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华文中宋" w:hAnsi="华文中宋" w:eastAsia="华文中宋"/>
          <w:color w:val="000000"/>
          <w:sz w:val="42"/>
          <w:szCs w:val="42"/>
        </w:rPr>
      </w:pPr>
      <w:r>
        <w:rPr>
          <w:rFonts w:hint="eastAsia" w:ascii="华文中宋" w:hAnsi="华文中宋" w:eastAsia="华文中宋"/>
          <w:color w:val="000000"/>
          <w:sz w:val="42"/>
          <w:szCs w:val="42"/>
        </w:rPr>
        <w:t>乡镇（街道）考核细则</w:t>
      </w:r>
    </w:p>
    <w:p>
      <w:pPr>
        <w:spacing w:line="160" w:lineRule="exact"/>
        <w:jc w:val="center"/>
        <w:rPr>
          <w:rFonts w:ascii="华文中宋" w:hAnsi="华文中宋" w:eastAsia="华文中宋"/>
          <w:color w:val="000000"/>
          <w:sz w:val="42"/>
          <w:szCs w:val="42"/>
        </w:rPr>
      </w:pPr>
    </w:p>
    <w:tbl>
      <w:tblPr>
        <w:tblStyle w:val="8"/>
        <w:tblW w:w="143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35" w:type="dxa"/>
          <w:left w:w="109" w:type="dxa"/>
          <w:bottom w:w="0" w:type="dxa"/>
          <w:right w:w="111" w:type="dxa"/>
        </w:tblCellMar>
      </w:tblPr>
      <w:tblGrid>
        <w:gridCol w:w="599"/>
        <w:gridCol w:w="1277"/>
        <w:gridCol w:w="1611"/>
        <w:gridCol w:w="10054"/>
        <w:gridCol w:w="8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35" w:type="dxa"/>
            <w:left w:w="109" w:type="dxa"/>
            <w:bottom w:w="0" w:type="dxa"/>
            <w:right w:w="111" w:type="dxa"/>
          </w:tblCellMar>
        </w:tblPrEx>
        <w:trPr>
          <w:trHeight w:val="343" w:hRule="atLeast"/>
          <w:tblHeader/>
          <w:jc w:val="center"/>
        </w:trPr>
        <w:tc>
          <w:tcPr>
            <w:tcW w:w="599" w:type="dxa"/>
            <w:vAlign w:val="center"/>
          </w:tcPr>
          <w:p>
            <w:pPr>
              <w:ind w:left="41" w:right="41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序号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ind w:left="1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指标内容</w:t>
            </w:r>
          </w:p>
        </w:tc>
        <w:tc>
          <w:tcPr>
            <w:tcW w:w="10054" w:type="dxa"/>
            <w:vAlign w:val="center"/>
          </w:tcPr>
          <w:p>
            <w:pPr>
              <w:ind w:left="3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评估内容和计分方法</w:t>
            </w:r>
          </w:p>
        </w:tc>
        <w:tc>
          <w:tcPr>
            <w:tcW w:w="800" w:type="dxa"/>
            <w:vAlign w:val="center"/>
          </w:tcPr>
          <w:p>
            <w:pPr>
              <w:ind w:left="63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35" w:type="dxa"/>
            <w:left w:w="109" w:type="dxa"/>
            <w:bottom w:w="0" w:type="dxa"/>
            <w:right w:w="111" w:type="dxa"/>
          </w:tblCellMar>
        </w:tblPrEx>
        <w:trPr>
          <w:trHeight w:val="1135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ind w:left="2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1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“放管服” 改革</w:t>
            </w: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基层公共服务（一门式）全覆盖</w:t>
            </w:r>
          </w:p>
        </w:tc>
        <w:tc>
          <w:tcPr>
            <w:tcW w:w="10054" w:type="dxa"/>
            <w:vAlign w:val="center"/>
          </w:tcPr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①乡镇（街道）可办事项低于61项，村（社区）可办事项低于44项，每少一项扣0.1分。</w:t>
            </w:r>
          </w:p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②村（社区）没有办理过业务或者因人员业务不熟无法办理业务每发现一个扣0.5 分。</w:t>
            </w:r>
          </w:p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③乡镇对村（社区）便民服务中心的业务指导与培训，视完成情况扣分。</w:t>
            </w:r>
          </w:p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④赋权下发的“5证”不能在村（社区）受理出证的，每少1证扣0.5分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ind w:left="3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35" w:type="dxa"/>
            <w:left w:w="109" w:type="dxa"/>
            <w:bottom w:w="0" w:type="dxa"/>
            <w:right w:w="111" w:type="dxa"/>
          </w:tblCellMar>
        </w:tblPrEx>
        <w:trPr>
          <w:trHeight w:val="534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ind w:left="2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领导重视</w:t>
            </w:r>
          </w:p>
        </w:tc>
        <w:tc>
          <w:tcPr>
            <w:tcW w:w="10054" w:type="dxa"/>
            <w:vAlign w:val="center"/>
          </w:tcPr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①乡镇主要领导专题研究政务服务工作每年不少于2次，每少1次扣1分</w:t>
            </w:r>
          </w:p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②未落实政务中心工作经费保障的扣2分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ind w:left="3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35" w:type="dxa"/>
            <w:left w:w="109" w:type="dxa"/>
            <w:bottom w:w="0" w:type="dxa"/>
            <w:right w:w="111" w:type="dxa"/>
          </w:tblCellMar>
        </w:tblPrEx>
        <w:trPr>
          <w:trHeight w:val="1988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ind w:left="2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大厅建设管理</w:t>
            </w:r>
          </w:p>
        </w:tc>
        <w:tc>
          <w:tcPr>
            <w:tcW w:w="10054" w:type="dxa"/>
            <w:vAlign w:val="center"/>
          </w:tcPr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①乡镇（街道）政务服务中心场地面积不达标扣2分。</w:t>
            </w:r>
          </w:p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②窗口设置不规范、标识标牌设置不到位扣2分。</w:t>
            </w:r>
          </w:p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③电脑、打印机等办公设施及便民设施配置不到位扣3分。</w:t>
            </w:r>
          </w:p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④大厅管理不规范、制度不健全的扣2分。</w:t>
            </w:r>
          </w:p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⑤未实行一枚印章管审批的扣3分。</w:t>
            </w:r>
          </w:p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⑥收费窗口设置不到位的扣1分。</w:t>
            </w:r>
          </w:p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⑦进驻窗口人员未纳入政务服务中心考勤管理扣2分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ind w:left="3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35" w:type="dxa"/>
            <w:left w:w="109" w:type="dxa"/>
            <w:bottom w:w="0" w:type="dxa"/>
            <w:right w:w="111" w:type="dxa"/>
          </w:tblCellMar>
        </w:tblPrEx>
        <w:trPr>
          <w:trHeight w:val="1694" w:hRule="atLeast"/>
          <w:jc w:val="center"/>
        </w:trPr>
        <w:tc>
          <w:tcPr>
            <w:tcW w:w="599" w:type="dxa"/>
            <w:vMerge w:val="continue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1277" w:type="dxa"/>
            <w:vMerge w:val="continue"/>
          </w:tcPr>
          <w:p>
            <w:pPr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“三集中三到位”</w:t>
            </w:r>
          </w:p>
        </w:tc>
        <w:tc>
          <w:tcPr>
            <w:tcW w:w="10054" w:type="dxa"/>
            <w:vAlign w:val="center"/>
          </w:tcPr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①窗口职能及服务事项进驻不到位，还在原站所办理业务的扣5分。</w:t>
            </w:r>
          </w:p>
          <w:p>
            <w:pPr>
              <w:pStyle w:val="11"/>
              <w:spacing w:line="280" w:lineRule="exact"/>
              <w:ind w:left="109" w:leftChars="52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②电子监察不到位扣1分，系统亮黄灯每次扣0.2分，亮红灯每次扣0.5 分；非常规极短时间审批，每次扣0.2分；未及时受理网上申请件的，每次扣0.2 分。</w:t>
            </w:r>
          </w:p>
          <w:p>
            <w:pPr>
              <w:pStyle w:val="11"/>
              <w:spacing w:line="280" w:lineRule="exact"/>
              <w:ind w:left="109" w:leftChars="52" w:right="88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③“好差评”覆盖率、差评有效处置率、实际评价率、数据汇集及时准确率在省平台综合得分低于80 分的，每降低3分，扣0.5分；“差评”经核实，每次扣0.5分；“差评”处置不及时，系统亮红灯，每次扣0.5 分。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ind w:left="3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35" w:type="dxa"/>
            <w:left w:w="109" w:type="dxa"/>
            <w:bottom w:w="0" w:type="dxa"/>
            <w:right w:w="111" w:type="dxa"/>
          </w:tblCellMar>
        </w:tblPrEx>
        <w:trPr>
          <w:trHeight w:val="1194" w:hRule="atLeast"/>
          <w:jc w:val="center"/>
        </w:trPr>
        <w:tc>
          <w:tcPr>
            <w:tcW w:w="599" w:type="dxa"/>
            <w:vMerge w:val="continue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1277" w:type="dxa"/>
            <w:vMerge w:val="continue"/>
          </w:tcPr>
          <w:p>
            <w:pPr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>
            <w:pPr>
              <w:ind w:left="44" w:right="45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事项梳理</w:t>
            </w:r>
          </w:p>
          <w:p>
            <w:pPr>
              <w:ind w:left="44" w:right="45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优化流程</w:t>
            </w:r>
          </w:p>
        </w:tc>
        <w:tc>
          <w:tcPr>
            <w:tcW w:w="10054" w:type="dxa"/>
            <w:vAlign w:val="center"/>
          </w:tcPr>
          <w:p>
            <w:pPr>
              <w:pStyle w:val="11"/>
              <w:spacing w:line="280" w:lineRule="exact"/>
              <w:ind w:firstLine="110" w:firstLineChars="50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①政务服务事项梳理不规范、标准、便利的，每1项扣0.1分。</w:t>
            </w:r>
          </w:p>
          <w:p>
            <w:pPr>
              <w:pStyle w:val="11"/>
              <w:spacing w:line="280" w:lineRule="exact"/>
              <w:ind w:firstLine="110" w:firstLineChars="50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②未编制精准化、便利化的《办事服务指南》（含网上办事指南）并进行公开，每1项扣 0.1 分。</w:t>
            </w:r>
          </w:p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③线上线下实施清单不一致的，每1项扣0.1分。</w:t>
            </w:r>
          </w:p>
          <w:p>
            <w:pPr>
              <w:spacing w:line="28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④服务前移事项未明确到人的每缺一项扣0.1分。</w:t>
            </w:r>
          </w:p>
        </w:tc>
        <w:tc>
          <w:tcPr>
            <w:tcW w:w="800" w:type="dxa"/>
            <w:vAlign w:val="center"/>
          </w:tcPr>
          <w:p>
            <w:pPr>
              <w:spacing w:line="280" w:lineRule="exact"/>
              <w:ind w:left="3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35" w:type="dxa"/>
            <w:left w:w="109" w:type="dxa"/>
            <w:bottom w:w="0" w:type="dxa"/>
            <w:right w:w="111" w:type="dxa"/>
          </w:tblCellMar>
        </w:tblPrEx>
        <w:trPr>
          <w:trHeight w:val="1146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ind w:left="2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2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数据资源</w:t>
            </w:r>
          </w:p>
        </w:tc>
        <w:tc>
          <w:tcPr>
            <w:tcW w:w="1611" w:type="dxa"/>
            <w:vAlign w:val="center"/>
          </w:tcPr>
          <w:p>
            <w:pPr>
              <w:ind w:left="43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网络管理</w:t>
            </w:r>
          </w:p>
        </w:tc>
        <w:tc>
          <w:tcPr>
            <w:tcW w:w="10054" w:type="dxa"/>
            <w:vAlign w:val="center"/>
          </w:tcPr>
          <w:p>
            <w:pPr>
              <w:spacing w:line="30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①自助服务终端机因网络不通导致无法正常使用的，扣2分</w:t>
            </w:r>
          </w:p>
          <w:p>
            <w:pPr>
              <w:spacing w:line="300" w:lineRule="exact"/>
              <w:ind w:left="109" w:leftChars="52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②因管理不到位，导致电子政务外网网络不通，影响业务办理的，每发现一次扣1分；出现网络安全事故的，每发现一次扣3分。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ind w:left="3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35" w:type="dxa"/>
            <w:left w:w="109" w:type="dxa"/>
            <w:bottom w:w="0" w:type="dxa"/>
            <w:right w:w="111" w:type="dxa"/>
          </w:tblCellMar>
        </w:tblPrEx>
        <w:trPr>
          <w:cantSplit/>
          <w:trHeight w:val="890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ind w:left="2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>
            <w:pPr>
              <w:ind w:left="43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“互联网+政务服务”</w:t>
            </w:r>
          </w:p>
        </w:tc>
        <w:tc>
          <w:tcPr>
            <w:tcW w:w="10054" w:type="dxa"/>
            <w:vAlign w:val="center"/>
          </w:tcPr>
          <w:p>
            <w:pPr>
              <w:spacing w:line="30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①不使用政务一体化平台办理业务的，每发现一个扣0.5分；</w:t>
            </w:r>
          </w:p>
          <w:p>
            <w:pPr>
              <w:spacing w:line="300" w:lineRule="exact"/>
              <w:ind w:firstLine="105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Cs w:val="22"/>
              </w:rPr>
              <w:t>②不认可政务一体化平台办件申请及材料的每一次扣0.5分。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ind w:left="3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35" w:type="dxa"/>
            <w:left w:w="109" w:type="dxa"/>
            <w:bottom w:w="0" w:type="dxa"/>
            <w:right w:w="111" w:type="dxa"/>
          </w:tblCellMar>
        </w:tblPrEx>
        <w:trPr>
          <w:trHeight w:val="1619" w:hRule="atLeast"/>
          <w:jc w:val="center"/>
        </w:trPr>
        <w:tc>
          <w:tcPr>
            <w:tcW w:w="599" w:type="dxa"/>
            <w:vMerge w:val="restart"/>
            <w:vAlign w:val="center"/>
          </w:tcPr>
          <w:p>
            <w:pPr>
              <w:ind w:left="2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3</w:t>
            </w:r>
          </w:p>
        </w:tc>
        <w:tc>
          <w:tcPr>
            <w:tcW w:w="1277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政务公开</w:t>
            </w:r>
          </w:p>
        </w:tc>
        <w:tc>
          <w:tcPr>
            <w:tcW w:w="1611" w:type="dxa"/>
            <w:vAlign w:val="center"/>
          </w:tcPr>
          <w:p>
            <w:pPr>
              <w:ind w:right="1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信息公开</w:t>
            </w:r>
          </w:p>
        </w:tc>
        <w:tc>
          <w:tcPr>
            <w:tcW w:w="10054" w:type="dxa"/>
            <w:vAlign w:val="center"/>
          </w:tcPr>
          <w:p>
            <w:pPr>
              <w:pStyle w:val="11"/>
              <w:spacing w:line="300" w:lineRule="exact"/>
              <w:ind w:right="98" w:firstLine="110" w:firstLineChars="50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①未按2021年度政务公开工作要点公开政府信息，扣0.3分。</w:t>
            </w:r>
          </w:p>
          <w:p>
            <w:pPr>
              <w:pStyle w:val="11"/>
              <w:spacing w:line="300" w:lineRule="exact"/>
              <w:ind w:right="98" w:firstLine="110" w:firstLineChars="50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②未按要求开展政策解读的，每次扣0.2分。</w:t>
            </w:r>
          </w:p>
          <w:p>
            <w:pPr>
              <w:pStyle w:val="11"/>
              <w:spacing w:line="300" w:lineRule="exact"/>
              <w:ind w:right="-15" w:firstLine="110" w:firstLineChars="50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③未按要求回应社会关切的，每次扣0.2分。</w:t>
            </w:r>
          </w:p>
          <w:p>
            <w:pPr>
              <w:pStyle w:val="11"/>
              <w:spacing w:line="300" w:lineRule="exact"/>
              <w:ind w:right="-15" w:firstLine="110" w:firstLineChars="50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④未依法依规答复依申请公开政府信息的， 每次扣0.2 分；被上级提起行政复议的，每次扣0.5分。</w:t>
            </w:r>
          </w:p>
          <w:p>
            <w:pPr>
              <w:pStyle w:val="11"/>
              <w:spacing w:line="300" w:lineRule="exact"/>
              <w:ind w:right="-15" w:firstLine="110" w:firstLineChars="50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⑤未设立线下信息公开查阅点的扣0.5分。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ind w:left="2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35" w:type="dxa"/>
            <w:left w:w="109" w:type="dxa"/>
            <w:bottom w:w="0" w:type="dxa"/>
            <w:right w:w="111" w:type="dxa"/>
          </w:tblCellMar>
        </w:tblPrEx>
        <w:trPr>
          <w:trHeight w:val="1357" w:hRule="atLeast"/>
          <w:jc w:val="center"/>
        </w:trPr>
        <w:tc>
          <w:tcPr>
            <w:tcW w:w="599" w:type="dxa"/>
            <w:vMerge w:val="continue"/>
            <w:vAlign w:val="center"/>
          </w:tcPr>
          <w:p>
            <w:pPr>
              <w:ind w:left="2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  <w:tc>
          <w:tcPr>
            <w:tcW w:w="1277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</w:p>
        </w:tc>
        <w:tc>
          <w:tcPr>
            <w:tcW w:w="1611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政府网站和政务新媒体</w:t>
            </w:r>
          </w:p>
        </w:tc>
        <w:tc>
          <w:tcPr>
            <w:tcW w:w="10054" w:type="dxa"/>
            <w:vAlign w:val="center"/>
          </w:tcPr>
          <w:p>
            <w:pPr>
              <w:pStyle w:val="11"/>
              <w:spacing w:line="300" w:lineRule="exact"/>
              <w:ind w:left="109" w:leftChars="52" w:right="941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①未及时按要求回复信箱的，每次扣0.2分；简单常见咨询问题未在1个工作日内答复，每次扣0.1分。</w:t>
            </w:r>
          </w:p>
          <w:p>
            <w:pPr>
              <w:pStyle w:val="11"/>
              <w:spacing w:line="300" w:lineRule="exact"/>
              <w:ind w:firstLine="110" w:firstLineChars="50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②发布信息未实行“三审”工作制度、审核不严，发生差错的，每次扣0.2分。</w:t>
            </w:r>
          </w:p>
          <w:p>
            <w:pPr>
              <w:pStyle w:val="11"/>
              <w:spacing w:line="300" w:lineRule="exact"/>
              <w:ind w:firstLine="110" w:firstLineChars="50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③被县级通报批评的，每次扣1分。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ind w:left="2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35" w:type="dxa"/>
            <w:left w:w="109" w:type="dxa"/>
            <w:bottom w:w="0" w:type="dxa"/>
            <w:right w:w="111" w:type="dxa"/>
          </w:tblCellMar>
        </w:tblPrEx>
        <w:trPr>
          <w:trHeight w:val="1411" w:hRule="atLeast"/>
          <w:jc w:val="center"/>
        </w:trPr>
        <w:tc>
          <w:tcPr>
            <w:tcW w:w="599" w:type="dxa"/>
            <w:vAlign w:val="center"/>
          </w:tcPr>
          <w:p>
            <w:pPr>
              <w:ind w:left="2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4</w:t>
            </w:r>
          </w:p>
        </w:tc>
        <w:tc>
          <w:tcPr>
            <w:tcW w:w="28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12345 政府服务热线</w:t>
            </w:r>
          </w:p>
        </w:tc>
        <w:tc>
          <w:tcPr>
            <w:tcW w:w="10054" w:type="dxa"/>
            <w:vAlign w:val="center"/>
          </w:tcPr>
          <w:p>
            <w:pPr>
              <w:pStyle w:val="11"/>
              <w:spacing w:line="300" w:lineRule="exact"/>
              <w:ind w:left="109" w:leftChars="52" w:right="-15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①“五率一度”未达标，接通率97%、在线办结率65%、按时办结率100%、回访率100%、回访满意率100%，每降低1个百分点分别扣0.2分。</w:t>
            </w:r>
          </w:p>
          <w:p>
            <w:pPr>
              <w:pStyle w:val="11"/>
              <w:spacing w:line="300" w:lineRule="exact"/>
              <w:ind w:firstLine="110" w:firstLineChars="50"/>
              <w:rPr>
                <w:rFonts w:ascii="仿宋_GB2312" w:hAnsi="Times New Roman" w:eastAsia="仿宋_GB2312" w:cs="仿宋_GB2312"/>
                <w:kern w:val="2"/>
                <w:szCs w:val="2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Cs w:val="22"/>
                <w:lang w:val="en-US"/>
              </w:rPr>
              <w:t>②工单未及时签收（退回），每超期1件扣0.1分。</w:t>
            </w:r>
          </w:p>
          <w:p>
            <w:pPr>
              <w:spacing w:line="300" w:lineRule="exact"/>
              <w:ind w:firstLine="110" w:firstLineChars="50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③被县级通报批评的，每次扣0.3 分。</w:t>
            </w:r>
          </w:p>
        </w:tc>
        <w:tc>
          <w:tcPr>
            <w:tcW w:w="800" w:type="dxa"/>
            <w:vAlign w:val="center"/>
          </w:tcPr>
          <w:p>
            <w:pPr>
              <w:spacing w:line="300" w:lineRule="exact"/>
              <w:ind w:left="2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35" w:type="dxa"/>
            <w:left w:w="109" w:type="dxa"/>
            <w:bottom w:w="0" w:type="dxa"/>
            <w:right w:w="111" w:type="dxa"/>
          </w:tblCellMar>
        </w:tblPrEx>
        <w:trPr>
          <w:trHeight w:val="646" w:hRule="atLeast"/>
          <w:jc w:val="center"/>
        </w:trPr>
        <w:tc>
          <w:tcPr>
            <w:tcW w:w="599" w:type="dxa"/>
            <w:vAlign w:val="center"/>
          </w:tcPr>
          <w:p>
            <w:pPr>
              <w:ind w:left="2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5</w:t>
            </w:r>
          </w:p>
        </w:tc>
        <w:tc>
          <w:tcPr>
            <w:tcW w:w="13742" w:type="dxa"/>
            <w:gridSpan w:val="4"/>
            <w:vAlign w:val="center"/>
          </w:tcPr>
          <w:p>
            <w:pPr>
              <w:ind w:left="2"/>
              <w:jc w:val="center"/>
              <w:rPr>
                <w:rFonts w:asci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sz w:val="22"/>
                <w:szCs w:val="22"/>
              </w:rPr>
              <w:t>被国、省、市通报批评，该年绩效考核一票否决</w:t>
            </w:r>
          </w:p>
        </w:tc>
      </w:tr>
    </w:tbl>
    <w:p>
      <w:pPr>
        <w:rPr>
          <w:rFonts w:ascii="黑体" w:hAnsi="黑体" w:eastAsia="黑体" w:cs="黑体"/>
          <w:sz w:val="28"/>
        </w:rPr>
      </w:pPr>
    </w:p>
    <w:sectPr>
      <w:footerReference r:id="rId3" w:type="default"/>
      <w:pgSz w:w="16838" w:h="11906" w:orient="landscape"/>
      <w:pgMar w:top="1559" w:right="1588" w:bottom="1588" w:left="1588" w:header="851" w:footer="1247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__WRD_EMBED_SUB_4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  <w:sz w:val="20"/>
        <w:szCs w:val="20"/>
      </w:rPr>
    </w:pPr>
    <w:r>
      <w:rPr>
        <w:rStyle w:val="10"/>
        <w:sz w:val="20"/>
        <w:szCs w:val="20"/>
      </w:rPr>
      <w:fldChar w:fldCharType="begin"/>
    </w:r>
    <w:r>
      <w:rPr>
        <w:rStyle w:val="10"/>
        <w:sz w:val="20"/>
        <w:szCs w:val="20"/>
      </w:rPr>
      <w:instrText xml:space="preserve">PAGE  </w:instrText>
    </w:r>
    <w:r>
      <w:rPr>
        <w:rStyle w:val="10"/>
        <w:sz w:val="20"/>
        <w:szCs w:val="20"/>
      </w:rPr>
      <w:fldChar w:fldCharType="separate"/>
    </w:r>
    <w:r>
      <w:rPr>
        <w:rStyle w:val="10"/>
        <w:sz w:val="20"/>
        <w:szCs w:val="20"/>
      </w:rPr>
      <w:t>- 8 -</w:t>
    </w:r>
    <w:r>
      <w:rPr>
        <w:rStyle w:val="10"/>
        <w:sz w:val="20"/>
        <w:szCs w:val="20"/>
      </w:rPr>
      <w:fldChar w:fldCharType="end"/>
    </w:r>
  </w:p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78"/>
    <w:rsid w:val="00003067"/>
    <w:rsid w:val="000256DC"/>
    <w:rsid w:val="000261BF"/>
    <w:rsid w:val="00032684"/>
    <w:rsid w:val="00064E8D"/>
    <w:rsid w:val="00071C77"/>
    <w:rsid w:val="00087E53"/>
    <w:rsid w:val="000A58F0"/>
    <w:rsid w:val="00115CBE"/>
    <w:rsid w:val="00137B18"/>
    <w:rsid w:val="00137CE7"/>
    <w:rsid w:val="001637B4"/>
    <w:rsid w:val="00190882"/>
    <w:rsid w:val="00194D57"/>
    <w:rsid w:val="001A5241"/>
    <w:rsid w:val="00210A3D"/>
    <w:rsid w:val="00220917"/>
    <w:rsid w:val="002B206C"/>
    <w:rsid w:val="002D2EC9"/>
    <w:rsid w:val="002E4A48"/>
    <w:rsid w:val="002E4C56"/>
    <w:rsid w:val="00317966"/>
    <w:rsid w:val="00317FB0"/>
    <w:rsid w:val="00357378"/>
    <w:rsid w:val="003A7E2B"/>
    <w:rsid w:val="003F198E"/>
    <w:rsid w:val="003F7306"/>
    <w:rsid w:val="0043218B"/>
    <w:rsid w:val="004329E6"/>
    <w:rsid w:val="004773B0"/>
    <w:rsid w:val="004959AD"/>
    <w:rsid w:val="00497AC5"/>
    <w:rsid w:val="004D13DE"/>
    <w:rsid w:val="004D2237"/>
    <w:rsid w:val="004D4A53"/>
    <w:rsid w:val="004E00CD"/>
    <w:rsid w:val="004E4BAF"/>
    <w:rsid w:val="004F6FE4"/>
    <w:rsid w:val="00510FA9"/>
    <w:rsid w:val="00513EB2"/>
    <w:rsid w:val="0052725B"/>
    <w:rsid w:val="005620F0"/>
    <w:rsid w:val="00562ED3"/>
    <w:rsid w:val="005948F6"/>
    <w:rsid w:val="005C72B5"/>
    <w:rsid w:val="005D6A36"/>
    <w:rsid w:val="005F23E8"/>
    <w:rsid w:val="00611EA1"/>
    <w:rsid w:val="006348F0"/>
    <w:rsid w:val="0066232E"/>
    <w:rsid w:val="0067118B"/>
    <w:rsid w:val="00676409"/>
    <w:rsid w:val="00681A29"/>
    <w:rsid w:val="00687540"/>
    <w:rsid w:val="006D140D"/>
    <w:rsid w:val="006F7A60"/>
    <w:rsid w:val="00716D41"/>
    <w:rsid w:val="00722F02"/>
    <w:rsid w:val="00774AD6"/>
    <w:rsid w:val="007846B7"/>
    <w:rsid w:val="00795B0C"/>
    <w:rsid w:val="007A5015"/>
    <w:rsid w:val="007C33D6"/>
    <w:rsid w:val="007C7962"/>
    <w:rsid w:val="007C7B6B"/>
    <w:rsid w:val="007D15D0"/>
    <w:rsid w:val="007E5919"/>
    <w:rsid w:val="007F5E1B"/>
    <w:rsid w:val="007F7787"/>
    <w:rsid w:val="00834422"/>
    <w:rsid w:val="00850EE5"/>
    <w:rsid w:val="00852A0B"/>
    <w:rsid w:val="00860B4D"/>
    <w:rsid w:val="00866ADA"/>
    <w:rsid w:val="0087668F"/>
    <w:rsid w:val="00895BC5"/>
    <w:rsid w:val="00895ED5"/>
    <w:rsid w:val="008A1B71"/>
    <w:rsid w:val="008B054A"/>
    <w:rsid w:val="008B750A"/>
    <w:rsid w:val="008D0355"/>
    <w:rsid w:val="008D147E"/>
    <w:rsid w:val="008D3371"/>
    <w:rsid w:val="00900BAE"/>
    <w:rsid w:val="00943A8F"/>
    <w:rsid w:val="00955704"/>
    <w:rsid w:val="00961910"/>
    <w:rsid w:val="009831CD"/>
    <w:rsid w:val="00992104"/>
    <w:rsid w:val="009E2758"/>
    <w:rsid w:val="009E32A0"/>
    <w:rsid w:val="00A2674E"/>
    <w:rsid w:val="00A50CB3"/>
    <w:rsid w:val="00A64A84"/>
    <w:rsid w:val="00A732C3"/>
    <w:rsid w:val="00A90DFD"/>
    <w:rsid w:val="00AA0A17"/>
    <w:rsid w:val="00AE0914"/>
    <w:rsid w:val="00B265B0"/>
    <w:rsid w:val="00B27292"/>
    <w:rsid w:val="00B56EAB"/>
    <w:rsid w:val="00B75701"/>
    <w:rsid w:val="00B77F8A"/>
    <w:rsid w:val="00B82A15"/>
    <w:rsid w:val="00BB4D59"/>
    <w:rsid w:val="00BC0F57"/>
    <w:rsid w:val="00BC5383"/>
    <w:rsid w:val="00BD0BED"/>
    <w:rsid w:val="00C023E8"/>
    <w:rsid w:val="00C07F15"/>
    <w:rsid w:val="00CA2333"/>
    <w:rsid w:val="00CC55D3"/>
    <w:rsid w:val="00CF5CF6"/>
    <w:rsid w:val="00D877D5"/>
    <w:rsid w:val="00DA2289"/>
    <w:rsid w:val="00DA418D"/>
    <w:rsid w:val="00DC12D8"/>
    <w:rsid w:val="00E22684"/>
    <w:rsid w:val="00E34331"/>
    <w:rsid w:val="00E52788"/>
    <w:rsid w:val="00E54900"/>
    <w:rsid w:val="00EB0CC1"/>
    <w:rsid w:val="00EF21BF"/>
    <w:rsid w:val="00F27134"/>
    <w:rsid w:val="00F27CB9"/>
    <w:rsid w:val="00F33978"/>
    <w:rsid w:val="00F428E2"/>
    <w:rsid w:val="00F44E65"/>
    <w:rsid w:val="00F7624B"/>
    <w:rsid w:val="00F96CC5"/>
    <w:rsid w:val="00FA5D6D"/>
    <w:rsid w:val="00FB03C1"/>
    <w:rsid w:val="00FB73EC"/>
    <w:rsid w:val="00FE19B1"/>
    <w:rsid w:val="015D2F9E"/>
    <w:rsid w:val="323571C0"/>
    <w:rsid w:val="34B763DD"/>
    <w:rsid w:val="6FD1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widowControl/>
      <w:spacing w:line="259" w:lineRule="auto"/>
      <w:ind w:left="10" w:hanging="10"/>
      <w:jc w:val="right"/>
      <w:outlineLvl w:val="1"/>
    </w:pPr>
    <w:rPr>
      <w:rFonts w:ascii="微软雅黑" w:hAnsi="微软雅黑" w:eastAsia="微软雅黑" w:cs="微软雅黑"/>
      <w:color w:val="000000"/>
      <w:sz w:val="44"/>
      <w:szCs w:val="22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autoSpaceDE w:val="0"/>
      <w:autoSpaceDN w:val="0"/>
      <w:jc w:val="left"/>
    </w:pPr>
    <w:rPr>
      <w:rFonts w:ascii="宋体" w:hAnsi="宋体" w:cs="宋体"/>
      <w:kern w:val="0"/>
      <w:sz w:val="32"/>
      <w:szCs w:val="32"/>
      <w:lang w:val="zh-CN"/>
    </w:rPr>
  </w:style>
  <w:style w:type="paragraph" w:styleId="4">
    <w:name w:val="Date"/>
    <w:basedOn w:val="1"/>
    <w:next w:val="1"/>
    <w:uiPriority w:val="0"/>
    <w:pPr>
      <w:ind w:left="100" w:leftChars="2500"/>
    </w:pPr>
  </w:style>
  <w:style w:type="paragraph" w:styleId="5">
    <w:name w:val="Balloon Text"/>
    <w:basedOn w:val="1"/>
    <w:link w:val="17"/>
    <w:uiPriority w:val="0"/>
    <w:rPr>
      <w:rFonts w:eastAsia="Times New Roman"/>
      <w:sz w:val="18"/>
      <w:szCs w:val="18"/>
    </w:rPr>
  </w:style>
  <w:style w:type="paragraph" w:styleId="6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basedOn w:val="9"/>
    <w:uiPriority w:val="0"/>
  </w:style>
  <w:style w:type="paragraph" w:customStyle="1" w:styleId="11">
    <w:name w:val="Table Paragraph"/>
    <w:basedOn w:val="1"/>
    <w:uiPriority w:val="0"/>
    <w:pPr>
      <w:autoSpaceDE w:val="0"/>
      <w:autoSpaceDN w:val="0"/>
    </w:pPr>
    <w:rPr>
      <w:rFonts w:ascii="宋体" w:hAnsi="宋体" w:cs="宋体"/>
      <w:kern w:val="0"/>
      <w:sz w:val="22"/>
      <w:lang w:val="zh-CN"/>
    </w:rPr>
  </w:style>
  <w:style w:type="character" w:customStyle="1" w:styleId="12">
    <w:name w:val="页脚 字符"/>
    <w:link w:val="6"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3">
    <w:name w:val="Header or footer|1_"/>
    <w:link w:val="14"/>
    <w:qFormat/>
    <w:uiPriority w:val="0"/>
    <w:rPr>
      <w:sz w:val="28"/>
      <w:szCs w:val="28"/>
      <w:lang w:val="zh-TW" w:eastAsia="zh-TW" w:bidi="zh-TW"/>
    </w:rPr>
  </w:style>
  <w:style w:type="paragraph" w:customStyle="1" w:styleId="14">
    <w:name w:val="Header or footer|1"/>
    <w:basedOn w:val="1"/>
    <w:link w:val="13"/>
    <w:qFormat/>
    <w:uiPriority w:val="0"/>
    <w:pPr>
      <w:jc w:val="left"/>
    </w:pPr>
    <w:rPr>
      <w:rFonts w:eastAsia="Times New Roman"/>
      <w:kern w:val="0"/>
      <w:sz w:val="28"/>
      <w:szCs w:val="28"/>
      <w:lang w:val="zh-TW" w:eastAsia="zh-TW" w:bidi="zh-TW"/>
    </w:rPr>
  </w:style>
  <w:style w:type="character" w:customStyle="1" w:styleId="15">
    <w:name w:val="Heading #2|1_"/>
    <w:link w:val="16"/>
    <w:qFormat/>
    <w:uiPriority w:val="0"/>
    <w:rPr>
      <w:rFonts w:ascii="宋体" w:hAnsi="宋体" w:cs="宋体"/>
      <w:sz w:val="38"/>
      <w:szCs w:val="38"/>
      <w:lang w:val="zh-TW" w:eastAsia="zh-TW" w:bidi="zh-TW"/>
    </w:rPr>
  </w:style>
  <w:style w:type="paragraph" w:customStyle="1" w:styleId="16">
    <w:name w:val="Heading #2|1"/>
    <w:basedOn w:val="1"/>
    <w:link w:val="15"/>
    <w:qFormat/>
    <w:uiPriority w:val="0"/>
    <w:pPr>
      <w:spacing w:after="560" w:line="605" w:lineRule="exact"/>
      <w:jc w:val="center"/>
      <w:outlineLvl w:val="1"/>
    </w:pPr>
    <w:rPr>
      <w:rFonts w:ascii="宋体" w:hAnsi="宋体" w:eastAsia="Times New Roman" w:cs="宋体"/>
      <w:kern w:val="0"/>
      <w:sz w:val="38"/>
      <w:szCs w:val="38"/>
      <w:lang w:val="zh-TW" w:eastAsia="zh-TW" w:bidi="zh-TW"/>
    </w:rPr>
  </w:style>
  <w:style w:type="character" w:customStyle="1" w:styleId="17">
    <w:name w:val="批注框文本 字符"/>
    <w:link w:val="5"/>
    <w:uiPriority w:val="0"/>
    <w:rPr>
      <w:kern w:val="2"/>
      <w:sz w:val="18"/>
      <w:szCs w:val="18"/>
      <w:lang w:bidi="ar-SA"/>
    </w:rPr>
  </w:style>
  <w:style w:type="character" w:customStyle="1" w:styleId="18">
    <w:name w:val="Other|1_"/>
    <w:link w:val="19"/>
    <w:qFormat/>
    <w:uiPriority w:val="0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spacing w:line="458" w:lineRule="auto"/>
      <w:ind w:firstLine="400"/>
      <w:jc w:val="left"/>
    </w:pPr>
    <w:rPr>
      <w:rFonts w:ascii="宋体" w:hAnsi="宋体" w:eastAsia="Times New Roman" w:cs="宋体"/>
      <w:kern w:val="0"/>
      <w:sz w:val="26"/>
      <w:szCs w:val="26"/>
      <w:lang w:val="zh-TW" w:eastAsia="zh-TW" w:bidi="zh-TW"/>
    </w:rPr>
  </w:style>
  <w:style w:type="character" w:customStyle="1" w:styleId="20">
    <w:name w:val="Body text|1_"/>
    <w:link w:val="21"/>
    <w:qFormat/>
    <w:uiPriority w:val="0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21">
    <w:name w:val="Body text|1"/>
    <w:basedOn w:val="1"/>
    <w:link w:val="20"/>
    <w:qFormat/>
    <w:uiPriority w:val="0"/>
    <w:pPr>
      <w:spacing w:line="458" w:lineRule="auto"/>
      <w:ind w:firstLine="400"/>
      <w:jc w:val="left"/>
    </w:pPr>
    <w:rPr>
      <w:rFonts w:ascii="宋体" w:hAnsi="宋体" w:eastAsia="Times New Roman" w:cs="宋体"/>
      <w:kern w:val="0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 China</Company>
  <Pages>1</Pages>
  <Words>691</Words>
  <Characters>3945</Characters>
  <Lines>32</Lines>
  <Paragraphs>9</Paragraphs>
  <TotalTime>3</TotalTime>
  <ScaleCrop>false</ScaleCrop>
  <LinksUpToDate>false</LinksUpToDate>
  <CharactersWithSpaces>4627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2021-07-12T01:38:00Z</dcterms:created>
  <dc:creator>webUser</dc:creator>
  <cp:lastModifiedBy>茜茜</cp:lastModifiedBy>
  <cp:lastPrinted>2021-07-11T01:58:00Z</cp:lastPrinted>
  <dcterms:modified xsi:type="dcterms:W3CDTF">2021-07-13T02:00:50Z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