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40" w:lineRule="exact"/>
        <w:rPr>
          <w:rFonts w:ascii="黑体" w:hAnsi="黑体" w:eastAsia="黑体" w:cs="黑体"/>
          <w:sz w:val="28"/>
        </w:rPr>
      </w:pPr>
      <w:bookmarkStart w:id="0" w:name="_GoBack"/>
      <w:bookmarkEnd w:id="0"/>
      <w:r>
        <w:rPr>
          <w:rFonts w:hint="eastAsia" w:ascii="黑体" w:hAnsi="黑体" w:eastAsia="黑体" w:cs="黑体"/>
          <w:sz w:val="28"/>
        </w:rPr>
        <w:t>附件2</w:t>
      </w:r>
    </w:p>
    <w:p>
      <w:pPr>
        <w:spacing w:line="440" w:lineRule="exact"/>
        <w:jc w:val="center"/>
        <w:rPr>
          <w:rFonts w:ascii="华文中宋" w:hAnsi="华文中宋" w:eastAsia="华文中宋" w:cs="黑体"/>
          <w:sz w:val="42"/>
          <w:szCs w:val="42"/>
        </w:rPr>
      </w:pPr>
      <w:r>
        <w:rPr>
          <w:rFonts w:hint="eastAsia" w:ascii="华文中宋" w:hAnsi="华文中宋" w:eastAsia="华文中宋" w:cs="黑体"/>
          <w:sz w:val="42"/>
          <w:szCs w:val="42"/>
        </w:rPr>
        <w:t>县直部门考核细则</w:t>
      </w:r>
    </w:p>
    <w:p>
      <w:pPr>
        <w:spacing w:line="160" w:lineRule="exact"/>
        <w:jc w:val="center"/>
        <w:rPr>
          <w:rFonts w:ascii="华文中宋" w:hAnsi="华文中宋" w:eastAsia="华文中宋" w:cs="黑体"/>
          <w:sz w:val="42"/>
          <w:szCs w:val="42"/>
        </w:rPr>
      </w:pPr>
    </w:p>
    <w:tbl>
      <w:tblPr>
        <w:tblStyle w:val="8"/>
        <w:tblW w:w="14489" w:type="dxa"/>
        <w:jc w:val="center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35" w:type="dxa"/>
          <w:left w:w="109" w:type="dxa"/>
          <w:bottom w:w="35" w:type="dxa"/>
          <w:right w:w="111" w:type="dxa"/>
        </w:tblCellMar>
      </w:tblPr>
      <w:tblGrid>
        <w:gridCol w:w="663"/>
        <w:gridCol w:w="1179"/>
        <w:gridCol w:w="1749"/>
        <w:gridCol w:w="10148"/>
        <w:gridCol w:w="750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35" w:type="dxa"/>
            <w:left w:w="109" w:type="dxa"/>
            <w:bottom w:w="35" w:type="dxa"/>
            <w:right w:w="111" w:type="dxa"/>
          </w:tblCellMar>
        </w:tblPrEx>
        <w:trPr>
          <w:trHeight w:val="536" w:hRule="atLeast"/>
          <w:tblHeader/>
          <w:jc w:val="center"/>
        </w:trPr>
        <w:tc>
          <w:tcPr>
            <w:tcW w:w="663" w:type="dxa"/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b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2"/>
                <w:szCs w:val="22"/>
              </w:rPr>
              <w:t>序号</w:t>
            </w:r>
          </w:p>
        </w:tc>
        <w:tc>
          <w:tcPr>
            <w:tcW w:w="2928" w:type="dxa"/>
            <w:gridSpan w:val="2"/>
            <w:vAlign w:val="center"/>
          </w:tcPr>
          <w:p>
            <w:pPr>
              <w:ind w:left="1"/>
              <w:jc w:val="center"/>
              <w:rPr>
                <w:rFonts w:ascii="仿宋_GB2312" w:eastAsia="仿宋_GB2312"/>
                <w:b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2"/>
                <w:szCs w:val="22"/>
              </w:rPr>
              <w:t>指标内容</w:t>
            </w:r>
          </w:p>
        </w:tc>
        <w:tc>
          <w:tcPr>
            <w:tcW w:w="10148" w:type="dxa"/>
            <w:vAlign w:val="center"/>
          </w:tcPr>
          <w:p>
            <w:pPr>
              <w:ind w:left="3"/>
              <w:jc w:val="center"/>
              <w:rPr>
                <w:rFonts w:ascii="仿宋_GB2312" w:eastAsia="仿宋_GB2312"/>
                <w:b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2"/>
                <w:szCs w:val="22"/>
              </w:rPr>
              <w:t>评估内容和计分方法</w:t>
            </w:r>
          </w:p>
        </w:tc>
        <w:tc>
          <w:tcPr>
            <w:tcW w:w="750" w:type="dxa"/>
            <w:vAlign w:val="center"/>
          </w:tcPr>
          <w:p>
            <w:pPr>
              <w:ind w:left="63"/>
              <w:rPr>
                <w:rFonts w:ascii="仿宋_GB2312" w:eastAsia="仿宋_GB2312"/>
                <w:b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2"/>
                <w:szCs w:val="22"/>
              </w:rPr>
              <w:t>分值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35" w:type="dxa"/>
            <w:left w:w="109" w:type="dxa"/>
            <w:bottom w:w="35" w:type="dxa"/>
            <w:right w:w="111" w:type="dxa"/>
          </w:tblCellMar>
        </w:tblPrEx>
        <w:trPr>
          <w:trHeight w:val="349" w:hRule="atLeast"/>
          <w:jc w:val="center"/>
        </w:trPr>
        <w:tc>
          <w:tcPr>
            <w:tcW w:w="663" w:type="dxa"/>
            <w:vMerge w:val="restart"/>
            <w:vAlign w:val="center"/>
          </w:tcPr>
          <w:p>
            <w:pPr>
              <w:ind w:left="2"/>
              <w:jc w:val="center"/>
              <w:rPr>
                <w:rFonts w:ascii="仿宋_GB2312" w:eastAsia="仿宋_GB2312"/>
                <w:b/>
                <w:sz w:val="22"/>
                <w:szCs w:val="22"/>
              </w:rPr>
            </w:pPr>
            <w:r>
              <w:rPr>
                <w:rFonts w:hint="eastAsia" w:ascii="仿宋_GB2312" w:eastAsia="仿宋_GB2312"/>
                <w:b/>
                <w:sz w:val="22"/>
                <w:szCs w:val="22"/>
              </w:rPr>
              <w:t>1</w:t>
            </w:r>
          </w:p>
        </w:tc>
        <w:tc>
          <w:tcPr>
            <w:tcW w:w="1179" w:type="dxa"/>
            <w:vMerge w:val="restart"/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sz w:val="22"/>
                <w:szCs w:val="22"/>
              </w:rPr>
            </w:pPr>
            <w:r>
              <w:rPr>
                <w:rFonts w:hint="eastAsia" w:ascii="仿宋_GB2312" w:eastAsia="仿宋_GB2312"/>
                <w:sz w:val="22"/>
                <w:szCs w:val="22"/>
              </w:rPr>
              <w:t>“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放管服</w:t>
            </w:r>
            <w:r>
              <w:rPr>
                <w:rFonts w:hint="eastAsia" w:ascii="仿宋_GB2312" w:eastAsia="仿宋_GB2312"/>
                <w:sz w:val="22"/>
                <w:szCs w:val="22"/>
              </w:rPr>
              <w:t xml:space="preserve">” 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改革</w:t>
            </w:r>
          </w:p>
        </w:tc>
        <w:tc>
          <w:tcPr>
            <w:tcW w:w="1749" w:type="dxa"/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改革推进</w:t>
            </w:r>
          </w:p>
        </w:tc>
        <w:tc>
          <w:tcPr>
            <w:tcW w:w="10148" w:type="dxa"/>
            <w:vAlign w:val="center"/>
          </w:tcPr>
          <w:p>
            <w:pPr>
              <w:spacing w:line="300" w:lineRule="exact"/>
              <w:ind w:firstLine="110" w:firstLineChars="50"/>
              <w:rPr>
                <w:rFonts w:ascii="仿宋_GB2312" w:eastAsia="仿宋_GB2312"/>
                <w:sz w:val="22"/>
                <w:szCs w:val="22"/>
              </w:rPr>
            </w:pPr>
            <w:r>
              <w:rPr>
                <w:rFonts w:hint="eastAsia" w:ascii="仿宋_GB2312" w:eastAsia="仿宋_GB2312"/>
                <w:sz w:val="22"/>
                <w:szCs w:val="22"/>
              </w:rPr>
              <w:t>①“</w:t>
            </w:r>
            <w:r>
              <w:rPr>
                <w:rFonts w:hint="eastAsia" w:ascii="仿宋_GB2312" w:eastAsia="仿宋_GB2312" w:cs="宋体"/>
                <w:sz w:val="22"/>
                <w:szCs w:val="22"/>
              </w:rPr>
              <w:t>放管服</w:t>
            </w:r>
            <w:r>
              <w:rPr>
                <w:rFonts w:hint="eastAsia" w:ascii="仿宋_GB2312" w:eastAsia="仿宋_GB2312"/>
                <w:sz w:val="22"/>
                <w:szCs w:val="22"/>
              </w:rPr>
              <w:t>”</w:t>
            </w:r>
            <w:r>
              <w:rPr>
                <w:rFonts w:hint="eastAsia" w:ascii="仿宋_GB2312" w:eastAsia="仿宋_GB2312" w:cs="宋体"/>
                <w:sz w:val="22"/>
                <w:szCs w:val="22"/>
              </w:rPr>
              <w:t>改革整体推进不力，被通报或媒体曝光的，视情形扣分。</w:t>
            </w:r>
          </w:p>
        </w:tc>
        <w:tc>
          <w:tcPr>
            <w:tcW w:w="750" w:type="dxa"/>
            <w:vAlign w:val="center"/>
          </w:tcPr>
          <w:p>
            <w:pPr>
              <w:spacing w:line="300" w:lineRule="exact"/>
              <w:ind w:left="3" w:firstLine="110" w:firstLineChars="50"/>
              <w:rPr>
                <w:rFonts w:ascii="仿宋_GB2312" w:eastAsia="仿宋_GB2312"/>
                <w:sz w:val="22"/>
                <w:szCs w:val="22"/>
              </w:rPr>
            </w:pPr>
            <w:r>
              <w:rPr>
                <w:rFonts w:hint="eastAsia" w:ascii="仿宋_GB2312" w:eastAsia="仿宋_GB2312"/>
                <w:sz w:val="22"/>
                <w:szCs w:val="22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35" w:type="dxa"/>
            <w:left w:w="109" w:type="dxa"/>
            <w:bottom w:w="35" w:type="dxa"/>
            <w:right w:w="111" w:type="dxa"/>
          </w:tblCellMar>
        </w:tblPrEx>
        <w:trPr>
          <w:trHeight w:val="1904" w:hRule="atLeast"/>
          <w:jc w:val="center"/>
        </w:trPr>
        <w:tc>
          <w:tcPr>
            <w:tcW w:w="663" w:type="dxa"/>
            <w:vMerge w:val="continue"/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2"/>
                <w:szCs w:val="22"/>
              </w:rPr>
            </w:pPr>
          </w:p>
        </w:tc>
        <w:tc>
          <w:tcPr>
            <w:tcW w:w="1179" w:type="dxa"/>
            <w:vMerge w:val="continue"/>
            <w:vAlign w:val="center"/>
          </w:tcPr>
          <w:p>
            <w:pPr>
              <w:spacing w:line="300" w:lineRule="exact"/>
              <w:rPr>
                <w:rFonts w:ascii="仿宋_GB2312" w:eastAsia="仿宋_GB2312"/>
                <w:sz w:val="22"/>
                <w:szCs w:val="22"/>
              </w:rPr>
            </w:pPr>
          </w:p>
        </w:tc>
        <w:tc>
          <w:tcPr>
            <w:tcW w:w="1749" w:type="dxa"/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sz w:val="22"/>
                <w:szCs w:val="22"/>
              </w:rPr>
            </w:pPr>
            <w:r>
              <w:rPr>
                <w:rFonts w:hint="eastAsia" w:ascii="仿宋_GB2312" w:eastAsia="仿宋_GB2312"/>
                <w:sz w:val="22"/>
                <w:szCs w:val="22"/>
              </w:rPr>
              <w:t>“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三集中三到位</w:t>
            </w:r>
            <w:r>
              <w:rPr>
                <w:rFonts w:hint="eastAsia" w:ascii="仿宋_GB2312" w:eastAsia="仿宋_GB2312"/>
                <w:sz w:val="22"/>
                <w:szCs w:val="22"/>
              </w:rPr>
              <w:t>”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改革</w:t>
            </w:r>
          </w:p>
        </w:tc>
        <w:tc>
          <w:tcPr>
            <w:tcW w:w="10148" w:type="dxa"/>
            <w:vAlign w:val="center"/>
          </w:tcPr>
          <w:p>
            <w:pPr>
              <w:spacing w:line="280" w:lineRule="exact"/>
              <w:ind w:left="109" w:leftChars="52"/>
              <w:rPr>
                <w:rFonts w:asci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eastAsia="仿宋_GB2312"/>
                <w:sz w:val="22"/>
                <w:szCs w:val="22"/>
              </w:rPr>
              <w:t>①</w:t>
            </w:r>
            <w:r>
              <w:rPr>
                <w:rFonts w:hint="eastAsia" w:ascii="仿宋_GB2312" w:eastAsia="仿宋_GB2312" w:cs="仿宋_GB2312"/>
                <w:spacing w:val="-6"/>
                <w:sz w:val="22"/>
                <w:szCs w:val="22"/>
              </w:rPr>
              <w:t>审批职能未向审批股室集中，</w:t>
            </w:r>
            <w:r>
              <w:rPr>
                <w:rFonts w:hint="eastAsia" w:ascii="仿宋_GB2312" w:eastAsia="仿宋_GB2312" w:cs="微软雅黑"/>
                <w:spacing w:val="-6"/>
                <w:sz w:val="22"/>
                <w:szCs w:val="22"/>
              </w:rPr>
              <w:t>职能和事项未全部进入政务服务中心，未做到应进必进</w:t>
            </w:r>
            <w:r>
              <w:rPr>
                <w:rFonts w:hint="eastAsia" w:ascii="仿宋_GB2312" w:eastAsia="仿宋_GB2312" w:cs="仿宋_GB2312"/>
                <w:spacing w:val="-6"/>
                <w:sz w:val="22"/>
                <w:szCs w:val="22"/>
              </w:rPr>
              <w:t>，每少一项扣0.5 分</w:t>
            </w:r>
            <w:r>
              <w:rPr>
                <w:rFonts w:hint="eastAsia" w:ascii="仿宋_GB2312" w:eastAsia="仿宋_GB2312" w:cs="仿宋_GB2312"/>
                <w:sz w:val="22"/>
                <w:szCs w:val="22"/>
              </w:rPr>
              <w:t>。</w:t>
            </w:r>
          </w:p>
          <w:p>
            <w:pPr>
              <w:spacing w:line="280" w:lineRule="exact"/>
              <w:ind w:firstLine="110" w:firstLineChars="50"/>
              <w:rPr>
                <w:rFonts w:asci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eastAsia="仿宋_GB2312" w:cs="宋体"/>
                <w:sz w:val="22"/>
                <w:szCs w:val="22"/>
              </w:rPr>
              <w:t>②</w:t>
            </w:r>
            <w:r>
              <w:rPr>
                <w:rFonts w:hint="eastAsia" w:ascii="仿宋_GB2312" w:eastAsia="仿宋_GB2312" w:cs="仿宋_GB2312"/>
                <w:sz w:val="22"/>
                <w:szCs w:val="22"/>
              </w:rPr>
              <w:t>未按审批规范进行受理审批的，出现体外循环的，每次扣0.5分。</w:t>
            </w:r>
          </w:p>
          <w:p>
            <w:pPr>
              <w:spacing w:line="280" w:lineRule="exact"/>
              <w:ind w:left="109" w:leftChars="52"/>
              <w:rPr>
                <w:rFonts w:ascii="仿宋_GB2312" w:eastAsia="仿宋_GB2312"/>
                <w:sz w:val="22"/>
                <w:szCs w:val="22"/>
              </w:rPr>
            </w:pPr>
            <w:r>
              <w:rPr>
                <w:rFonts w:hint="eastAsia" w:ascii="仿宋_GB2312" w:eastAsia="仿宋_GB2312"/>
                <w:sz w:val="22"/>
                <w:szCs w:val="22"/>
              </w:rPr>
              <w:t>③</w:t>
            </w:r>
            <w:r>
              <w:rPr>
                <w:rFonts w:hint="eastAsia" w:ascii="仿宋_GB2312" w:eastAsia="仿宋_GB2312" w:cs="宋体"/>
                <w:sz w:val="22"/>
                <w:szCs w:val="22"/>
              </w:rPr>
              <w:t>电子监察不到位扣</w:t>
            </w:r>
            <w:r>
              <w:rPr>
                <w:rFonts w:hint="eastAsia" w:ascii="仿宋_GB2312" w:eastAsia="仿宋_GB2312"/>
                <w:sz w:val="22"/>
                <w:szCs w:val="22"/>
              </w:rPr>
              <w:t>1</w:t>
            </w:r>
            <w:r>
              <w:rPr>
                <w:rFonts w:hint="eastAsia" w:ascii="仿宋_GB2312" w:eastAsia="仿宋_GB2312" w:cs="宋体"/>
                <w:sz w:val="22"/>
                <w:szCs w:val="22"/>
              </w:rPr>
              <w:t>分，系统亮黄灯每次扣</w:t>
            </w:r>
            <w:r>
              <w:rPr>
                <w:rFonts w:hint="eastAsia" w:ascii="仿宋_GB2312" w:eastAsia="仿宋_GB2312"/>
                <w:sz w:val="22"/>
                <w:szCs w:val="22"/>
              </w:rPr>
              <w:t xml:space="preserve"> 0.2 </w:t>
            </w:r>
            <w:r>
              <w:rPr>
                <w:rFonts w:hint="eastAsia" w:ascii="仿宋_GB2312" w:eastAsia="仿宋_GB2312" w:cs="宋体"/>
                <w:sz w:val="22"/>
                <w:szCs w:val="22"/>
              </w:rPr>
              <w:t>分，亮红灯每次扣</w:t>
            </w:r>
            <w:r>
              <w:rPr>
                <w:rFonts w:hint="eastAsia" w:ascii="仿宋_GB2312" w:eastAsia="仿宋_GB2312"/>
                <w:sz w:val="22"/>
                <w:szCs w:val="22"/>
              </w:rPr>
              <w:t xml:space="preserve"> 0.5 </w:t>
            </w:r>
            <w:r>
              <w:rPr>
                <w:rFonts w:hint="eastAsia" w:ascii="仿宋_GB2312" w:eastAsia="仿宋_GB2312" w:cs="宋体"/>
                <w:sz w:val="22"/>
                <w:szCs w:val="22"/>
              </w:rPr>
              <w:t>分；非常规极短时间审批，每次扣</w:t>
            </w:r>
            <w:r>
              <w:rPr>
                <w:rFonts w:hint="eastAsia" w:ascii="仿宋_GB2312" w:eastAsia="仿宋_GB2312"/>
                <w:sz w:val="22"/>
                <w:szCs w:val="22"/>
              </w:rPr>
              <w:t>0.2</w:t>
            </w:r>
            <w:r>
              <w:rPr>
                <w:rFonts w:hint="eastAsia" w:ascii="仿宋_GB2312" w:eastAsia="仿宋_GB2312" w:cs="宋体"/>
                <w:sz w:val="22"/>
                <w:szCs w:val="22"/>
              </w:rPr>
              <w:t>分；未及时受理网上申请件的，每次扣</w:t>
            </w:r>
            <w:r>
              <w:rPr>
                <w:rFonts w:hint="eastAsia" w:ascii="仿宋_GB2312" w:eastAsia="仿宋_GB2312"/>
                <w:sz w:val="22"/>
                <w:szCs w:val="22"/>
              </w:rPr>
              <w:t>0.2</w:t>
            </w:r>
            <w:r>
              <w:rPr>
                <w:rFonts w:hint="eastAsia" w:ascii="仿宋_GB2312" w:eastAsia="仿宋_GB2312" w:cs="宋体"/>
                <w:sz w:val="22"/>
                <w:szCs w:val="22"/>
              </w:rPr>
              <w:t>分。</w:t>
            </w:r>
          </w:p>
          <w:p>
            <w:pPr>
              <w:spacing w:line="280" w:lineRule="exact"/>
              <w:ind w:left="109" w:leftChars="52"/>
              <w:rPr>
                <w:rFonts w:ascii="仿宋_GB2312" w:eastAsia="仿宋_GB2312"/>
                <w:sz w:val="22"/>
                <w:szCs w:val="22"/>
              </w:rPr>
            </w:pPr>
            <w:r>
              <w:rPr>
                <w:rFonts w:hint="eastAsia" w:ascii="仿宋_GB2312" w:eastAsia="仿宋_GB2312"/>
                <w:sz w:val="22"/>
                <w:szCs w:val="22"/>
              </w:rPr>
              <w:t>④“</w:t>
            </w:r>
            <w:r>
              <w:rPr>
                <w:rFonts w:hint="eastAsia" w:ascii="仿宋_GB2312" w:eastAsia="仿宋_GB2312" w:cs="宋体"/>
                <w:sz w:val="22"/>
                <w:szCs w:val="22"/>
              </w:rPr>
              <w:t>好差评</w:t>
            </w:r>
            <w:r>
              <w:rPr>
                <w:rFonts w:hint="eastAsia" w:ascii="仿宋_GB2312" w:eastAsia="仿宋_GB2312"/>
                <w:sz w:val="22"/>
                <w:szCs w:val="22"/>
              </w:rPr>
              <w:t>”</w:t>
            </w:r>
            <w:r>
              <w:rPr>
                <w:rFonts w:hint="eastAsia" w:ascii="仿宋_GB2312" w:eastAsia="仿宋_GB2312" w:cs="宋体"/>
                <w:sz w:val="22"/>
                <w:szCs w:val="22"/>
              </w:rPr>
              <w:t>覆盖率、差评有效处置率、实际评价率、数据汇集及时准确率在省平台综合得分低于</w:t>
            </w:r>
            <w:r>
              <w:rPr>
                <w:rFonts w:hint="eastAsia" w:ascii="仿宋_GB2312" w:eastAsia="仿宋_GB2312"/>
                <w:sz w:val="22"/>
                <w:szCs w:val="22"/>
              </w:rPr>
              <w:t xml:space="preserve"> 80 </w:t>
            </w:r>
            <w:r>
              <w:rPr>
                <w:rFonts w:hint="eastAsia" w:ascii="仿宋_GB2312" w:eastAsia="仿宋_GB2312" w:cs="宋体"/>
                <w:sz w:val="22"/>
                <w:szCs w:val="22"/>
              </w:rPr>
              <w:t>分的，每降低</w:t>
            </w:r>
            <w:r>
              <w:rPr>
                <w:rFonts w:hint="eastAsia" w:ascii="仿宋_GB2312" w:eastAsia="仿宋_GB2312"/>
                <w:sz w:val="22"/>
                <w:szCs w:val="22"/>
              </w:rPr>
              <w:t>3</w:t>
            </w:r>
            <w:r>
              <w:rPr>
                <w:rFonts w:hint="eastAsia" w:ascii="仿宋_GB2312" w:eastAsia="仿宋_GB2312" w:cs="宋体"/>
                <w:sz w:val="22"/>
                <w:szCs w:val="22"/>
              </w:rPr>
              <w:t>分，扣</w:t>
            </w:r>
            <w:r>
              <w:rPr>
                <w:rFonts w:hint="eastAsia" w:ascii="仿宋_GB2312" w:eastAsia="仿宋_GB2312"/>
                <w:sz w:val="22"/>
                <w:szCs w:val="22"/>
              </w:rPr>
              <w:t>0.5</w:t>
            </w:r>
            <w:r>
              <w:rPr>
                <w:rFonts w:hint="eastAsia" w:ascii="仿宋_GB2312" w:eastAsia="仿宋_GB2312" w:cs="宋体"/>
                <w:sz w:val="22"/>
                <w:szCs w:val="22"/>
              </w:rPr>
              <w:t>分；</w:t>
            </w:r>
            <w:r>
              <w:rPr>
                <w:rFonts w:hint="eastAsia" w:ascii="仿宋_GB2312" w:eastAsia="仿宋_GB2312"/>
                <w:sz w:val="22"/>
                <w:szCs w:val="22"/>
              </w:rPr>
              <w:t>“</w:t>
            </w:r>
            <w:r>
              <w:rPr>
                <w:rFonts w:hint="eastAsia" w:ascii="仿宋_GB2312" w:eastAsia="仿宋_GB2312" w:cs="宋体"/>
                <w:sz w:val="22"/>
                <w:szCs w:val="22"/>
              </w:rPr>
              <w:t>差评</w:t>
            </w:r>
            <w:r>
              <w:rPr>
                <w:rFonts w:hint="eastAsia" w:ascii="仿宋_GB2312" w:eastAsia="仿宋_GB2312"/>
                <w:sz w:val="22"/>
                <w:szCs w:val="22"/>
              </w:rPr>
              <w:t>”</w:t>
            </w:r>
            <w:r>
              <w:rPr>
                <w:rFonts w:hint="eastAsia" w:ascii="仿宋_GB2312" w:eastAsia="仿宋_GB2312" w:cs="宋体"/>
                <w:sz w:val="22"/>
                <w:szCs w:val="22"/>
              </w:rPr>
              <w:t>经核实，每次扣</w:t>
            </w:r>
            <w:r>
              <w:rPr>
                <w:rFonts w:hint="eastAsia" w:ascii="仿宋_GB2312" w:eastAsia="仿宋_GB2312"/>
                <w:sz w:val="22"/>
                <w:szCs w:val="22"/>
              </w:rPr>
              <w:t xml:space="preserve">0.5 </w:t>
            </w:r>
            <w:r>
              <w:rPr>
                <w:rFonts w:hint="eastAsia" w:ascii="仿宋_GB2312" w:eastAsia="仿宋_GB2312" w:cs="宋体"/>
                <w:sz w:val="22"/>
                <w:szCs w:val="22"/>
              </w:rPr>
              <w:t>分；</w:t>
            </w:r>
            <w:r>
              <w:rPr>
                <w:rFonts w:hint="eastAsia" w:ascii="仿宋_GB2312" w:eastAsia="仿宋_GB2312"/>
                <w:sz w:val="22"/>
                <w:szCs w:val="22"/>
              </w:rPr>
              <w:t>“</w:t>
            </w:r>
            <w:r>
              <w:rPr>
                <w:rFonts w:hint="eastAsia" w:ascii="仿宋_GB2312" w:eastAsia="仿宋_GB2312" w:cs="宋体"/>
                <w:sz w:val="22"/>
                <w:szCs w:val="22"/>
              </w:rPr>
              <w:t>差评</w:t>
            </w:r>
            <w:r>
              <w:rPr>
                <w:rFonts w:hint="eastAsia" w:ascii="仿宋_GB2312" w:eastAsia="仿宋_GB2312"/>
                <w:sz w:val="22"/>
                <w:szCs w:val="22"/>
              </w:rPr>
              <w:t>”</w:t>
            </w:r>
            <w:r>
              <w:rPr>
                <w:rFonts w:hint="eastAsia" w:ascii="仿宋_GB2312" w:eastAsia="仿宋_GB2312" w:cs="宋体"/>
                <w:sz w:val="22"/>
                <w:szCs w:val="22"/>
              </w:rPr>
              <w:t>处置不及时，系统亮红灯，每次扣</w:t>
            </w:r>
            <w:r>
              <w:rPr>
                <w:rFonts w:hint="eastAsia" w:ascii="仿宋_GB2312" w:eastAsia="仿宋_GB2312"/>
                <w:sz w:val="22"/>
                <w:szCs w:val="22"/>
              </w:rPr>
              <w:t>0.5</w:t>
            </w:r>
            <w:r>
              <w:rPr>
                <w:rFonts w:hint="eastAsia" w:ascii="仿宋_GB2312" w:eastAsia="仿宋_GB2312" w:cs="宋体"/>
                <w:sz w:val="22"/>
                <w:szCs w:val="22"/>
              </w:rPr>
              <w:t>分。</w:t>
            </w:r>
          </w:p>
        </w:tc>
        <w:tc>
          <w:tcPr>
            <w:tcW w:w="750" w:type="dxa"/>
            <w:vAlign w:val="center"/>
          </w:tcPr>
          <w:p>
            <w:pPr>
              <w:spacing w:line="300" w:lineRule="exact"/>
              <w:ind w:firstLine="110" w:firstLineChars="50"/>
              <w:rPr>
                <w:rFonts w:ascii="仿宋_GB2312" w:eastAsia="仿宋_GB2312"/>
                <w:sz w:val="22"/>
                <w:szCs w:val="22"/>
              </w:rPr>
            </w:pPr>
            <w:r>
              <w:rPr>
                <w:rFonts w:hint="eastAsia" w:ascii="仿宋_GB2312" w:eastAsia="仿宋_GB2312"/>
                <w:sz w:val="22"/>
                <w:szCs w:val="22"/>
              </w:rPr>
              <w:t>15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35" w:type="dxa"/>
            <w:left w:w="109" w:type="dxa"/>
            <w:bottom w:w="35" w:type="dxa"/>
            <w:right w:w="111" w:type="dxa"/>
          </w:tblCellMar>
        </w:tblPrEx>
        <w:trPr>
          <w:trHeight w:val="1960" w:hRule="atLeast"/>
          <w:jc w:val="center"/>
        </w:trPr>
        <w:tc>
          <w:tcPr>
            <w:tcW w:w="663" w:type="dxa"/>
            <w:vMerge w:val="continue"/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2"/>
                <w:szCs w:val="22"/>
              </w:rPr>
            </w:pPr>
          </w:p>
        </w:tc>
        <w:tc>
          <w:tcPr>
            <w:tcW w:w="1179" w:type="dxa"/>
            <w:vMerge w:val="continue"/>
            <w:vAlign w:val="center"/>
          </w:tcPr>
          <w:p>
            <w:pPr>
              <w:spacing w:line="300" w:lineRule="exact"/>
              <w:rPr>
                <w:rFonts w:ascii="仿宋_GB2312" w:eastAsia="仿宋_GB2312"/>
                <w:sz w:val="22"/>
                <w:szCs w:val="22"/>
              </w:rPr>
            </w:pPr>
          </w:p>
        </w:tc>
        <w:tc>
          <w:tcPr>
            <w:tcW w:w="1749" w:type="dxa"/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sz w:val="22"/>
                <w:szCs w:val="22"/>
              </w:rPr>
            </w:pPr>
            <w:r>
              <w:rPr>
                <w:rFonts w:hint="eastAsia" w:ascii="仿宋_GB2312" w:eastAsia="仿宋_GB2312"/>
                <w:sz w:val="22"/>
                <w:szCs w:val="22"/>
              </w:rPr>
              <w:t>“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一件事一次办</w:t>
            </w:r>
            <w:r>
              <w:rPr>
                <w:rFonts w:hint="eastAsia" w:ascii="仿宋_GB2312" w:eastAsia="仿宋_GB2312"/>
                <w:sz w:val="22"/>
                <w:szCs w:val="22"/>
              </w:rPr>
              <w:t>”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改革</w:t>
            </w:r>
          </w:p>
        </w:tc>
        <w:tc>
          <w:tcPr>
            <w:tcW w:w="10148" w:type="dxa"/>
            <w:vAlign w:val="center"/>
          </w:tcPr>
          <w:p>
            <w:pPr>
              <w:spacing w:line="280" w:lineRule="exact"/>
              <w:ind w:firstLine="110" w:firstLineChars="50"/>
              <w:rPr>
                <w:rFonts w:ascii="仿宋_GB2312" w:eastAsia="仿宋_GB2312"/>
                <w:sz w:val="22"/>
                <w:szCs w:val="22"/>
              </w:rPr>
            </w:pPr>
            <w:r>
              <w:rPr>
                <w:rFonts w:hint="eastAsia" w:ascii="仿宋_GB2312" w:eastAsia="仿宋_GB2312"/>
                <w:sz w:val="22"/>
                <w:szCs w:val="22"/>
              </w:rPr>
              <w:t>①未建立专人负责机制，扣1分。</w:t>
            </w:r>
          </w:p>
          <w:p>
            <w:pPr>
              <w:spacing w:line="280" w:lineRule="exact"/>
              <w:ind w:firstLine="110" w:firstLineChars="50"/>
              <w:rPr>
                <w:rFonts w:ascii="仿宋_GB2312" w:eastAsia="仿宋_GB2312"/>
                <w:sz w:val="22"/>
                <w:szCs w:val="22"/>
              </w:rPr>
            </w:pPr>
            <w:r>
              <w:rPr>
                <w:rFonts w:hint="eastAsia" w:ascii="仿宋_GB2312" w:eastAsia="仿宋_GB2312"/>
                <w:sz w:val="22"/>
                <w:szCs w:val="22"/>
              </w:rPr>
              <w:t>②“一件事一次办”涉及事项未落地实施的，每项扣1分。</w:t>
            </w:r>
          </w:p>
          <w:p>
            <w:pPr>
              <w:spacing w:line="280" w:lineRule="exact"/>
              <w:ind w:firstLine="110" w:firstLineChars="50"/>
              <w:rPr>
                <w:rFonts w:ascii="仿宋_GB2312" w:eastAsia="仿宋_GB2312"/>
                <w:sz w:val="22"/>
                <w:szCs w:val="22"/>
              </w:rPr>
            </w:pPr>
            <w:r>
              <w:rPr>
                <w:rFonts w:hint="eastAsia" w:ascii="仿宋_GB2312" w:eastAsia="仿宋_GB2312"/>
                <w:sz w:val="22"/>
                <w:szCs w:val="22"/>
              </w:rPr>
              <w:t>③出现多环节审批、办件超时、反复退件等， 每一项扣 0.2 分。</w:t>
            </w:r>
          </w:p>
          <w:p>
            <w:pPr>
              <w:spacing w:line="280" w:lineRule="exact"/>
              <w:ind w:firstLine="110" w:firstLineChars="50"/>
              <w:rPr>
                <w:rFonts w:ascii="仿宋_GB2312" w:eastAsia="仿宋_GB2312"/>
                <w:sz w:val="22"/>
                <w:szCs w:val="22"/>
              </w:rPr>
            </w:pPr>
            <w:r>
              <w:rPr>
                <w:rFonts w:hint="eastAsia" w:ascii="仿宋_GB2312" w:eastAsia="仿宋_GB2312"/>
                <w:sz w:val="22"/>
                <w:szCs w:val="22"/>
              </w:rPr>
              <w:t>④窗口不执行一次告知，让群众多跑路，每发现一次扣1 分。</w:t>
            </w:r>
          </w:p>
          <w:p>
            <w:pPr>
              <w:spacing w:line="280" w:lineRule="exact"/>
              <w:ind w:firstLine="110" w:firstLineChars="50"/>
              <w:rPr>
                <w:rFonts w:ascii="仿宋_GB2312" w:eastAsia="仿宋_GB2312"/>
                <w:sz w:val="22"/>
                <w:szCs w:val="22"/>
              </w:rPr>
            </w:pPr>
            <w:r>
              <w:rPr>
                <w:rFonts w:hint="eastAsia" w:ascii="仿宋_GB2312" w:eastAsia="仿宋_GB2312"/>
                <w:sz w:val="22"/>
                <w:szCs w:val="22"/>
              </w:rPr>
              <w:t>⑤未推行“跨域通办”改革，扣2分。</w:t>
            </w:r>
          </w:p>
          <w:p>
            <w:pPr>
              <w:spacing w:line="280" w:lineRule="exact"/>
              <w:ind w:firstLine="110" w:firstLineChars="50"/>
              <w:rPr>
                <w:rFonts w:ascii="仿宋_GB2312" w:eastAsia="仿宋_GB2312"/>
                <w:sz w:val="22"/>
                <w:szCs w:val="22"/>
              </w:rPr>
            </w:pPr>
            <w:r>
              <w:rPr>
                <w:rFonts w:hint="eastAsia" w:ascii="仿宋_GB2312" w:eastAsia="仿宋_GB2312"/>
                <w:sz w:val="22"/>
                <w:szCs w:val="22"/>
              </w:rPr>
              <w:t>⑥未按要求在县政务中心设“一件事一次办”综窗或专窗的，扣2分。</w:t>
            </w:r>
          </w:p>
          <w:p>
            <w:pPr>
              <w:spacing w:line="280" w:lineRule="exact"/>
              <w:ind w:firstLine="110" w:firstLineChars="50"/>
              <w:rPr>
                <w:rFonts w:ascii="仿宋_GB2312" w:eastAsia="仿宋_GB2312"/>
                <w:sz w:val="22"/>
                <w:szCs w:val="22"/>
              </w:rPr>
            </w:pPr>
            <w:r>
              <w:rPr>
                <w:rFonts w:hint="eastAsia" w:ascii="仿宋_GB2312" w:eastAsia="仿宋_GB2312"/>
                <w:sz w:val="22"/>
                <w:szCs w:val="22"/>
              </w:rPr>
              <w:t>⑦县直相关单位对下放赋权的事项未进行业务指导与培训，扣1-3分。</w:t>
            </w:r>
          </w:p>
        </w:tc>
        <w:tc>
          <w:tcPr>
            <w:tcW w:w="750" w:type="dxa"/>
            <w:vAlign w:val="center"/>
          </w:tcPr>
          <w:p>
            <w:pPr>
              <w:spacing w:line="300" w:lineRule="exact"/>
              <w:ind w:firstLine="110" w:firstLineChars="50"/>
              <w:rPr>
                <w:rFonts w:ascii="仿宋_GB2312" w:eastAsia="仿宋_GB2312"/>
                <w:sz w:val="22"/>
                <w:szCs w:val="22"/>
              </w:rPr>
            </w:pPr>
            <w:r>
              <w:rPr>
                <w:rFonts w:hint="eastAsia" w:ascii="仿宋_GB2312" w:eastAsia="仿宋_GB2312"/>
                <w:sz w:val="22"/>
                <w:szCs w:val="22"/>
              </w:rPr>
              <w:t>15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35" w:type="dxa"/>
            <w:left w:w="109" w:type="dxa"/>
            <w:bottom w:w="35" w:type="dxa"/>
            <w:right w:w="111" w:type="dxa"/>
          </w:tblCellMar>
        </w:tblPrEx>
        <w:trPr>
          <w:trHeight w:val="1010" w:hRule="atLeast"/>
          <w:jc w:val="center"/>
        </w:trPr>
        <w:tc>
          <w:tcPr>
            <w:tcW w:w="663" w:type="dxa"/>
            <w:vMerge w:val="continue"/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2"/>
                <w:szCs w:val="22"/>
              </w:rPr>
            </w:pPr>
          </w:p>
        </w:tc>
        <w:tc>
          <w:tcPr>
            <w:tcW w:w="1179" w:type="dxa"/>
            <w:vMerge w:val="continue"/>
            <w:vAlign w:val="center"/>
          </w:tcPr>
          <w:p>
            <w:pPr>
              <w:spacing w:line="300" w:lineRule="exact"/>
              <w:rPr>
                <w:rFonts w:ascii="仿宋_GB2312" w:eastAsia="仿宋_GB2312"/>
                <w:sz w:val="22"/>
                <w:szCs w:val="22"/>
              </w:rPr>
            </w:pPr>
          </w:p>
        </w:tc>
        <w:tc>
          <w:tcPr>
            <w:tcW w:w="1749" w:type="dxa"/>
            <w:vAlign w:val="center"/>
          </w:tcPr>
          <w:p>
            <w:pPr>
              <w:spacing w:line="300" w:lineRule="exact"/>
              <w:ind w:left="43"/>
              <w:jc w:val="center"/>
              <w:rPr>
                <w:rFonts w:ascii="仿宋_GB2312" w:eastAsia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工程建设领域改革</w:t>
            </w:r>
          </w:p>
        </w:tc>
        <w:tc>
          <w:tcPr>
            <w:tcW w:w="10148" w:type="dxa"/>
            <w:vAlign w:val="center"/>
          </w:tcPr>
          <w:p>
            <w:pPr>
              <w:spacing w:line="280" w:lineRule="exact"/>
              <w:ind w:left="109" w:leftChars="52"/>
              <w:rPr>
                <w:rFonts w:ascii="仿宋_GB2312" w:eastAsia="仿宋_GB2312" w:cs="宋体"/>
                <w:sz w:val="22"/>
                <w:szCs w:val="22"/>
              </w:rPr>
            </w:pPr>
            <w:r>
              <w:rPr>
                <w:rFonts w:hint="eastAsia" w:ascii="仿宋_GB2312" w:eastAsia="仿宋_GB2312" w:cs="宋体"/>
                <w:sz w:val="22"/>
                <w:szCs w:val="22"/>
              </w:rPr>
              <w:t>①未使用省工改系统开展线上审批的，每次扣0.2分；供水、供电、供气、有线电视等市政公用单位未使用市政公用服务平台开展线上审批的，每次扣0.2分。</w:t>
            </w:r>
          </w:p>
          <w:p>
            <w:pPr>
              <w:spacing w:line="280" w:lineRule="exact"/>
              <w:ind w:firstLine="110" w:firstLineChars="50"/>
              <w:rPr>
                <w:rFonts w:ascii="仿宋_GB2312" w:eastAsia="仿宋_GB2312" w:cs="宋体"/>
                <w:sz w:val="22"/>
                <w:szCs w:val="22"/>
              </w:rPr>
            </w:pPr>
            <w:r>
              <w:rPr>
                <w:rFonts w:hint="eastAsia" w:ascii="仿宋_GB2312" w:eastAsia="仿宋_GB2312" w:cs="宋体"/>
                <w:sz w:val="22"/>
                <w:szCs w:val="22"/>
              </w:rPr>
              <w:t>②线下审批、线上补录审批流程的，每次扣0.1分。</w:t>
            </w:r>
          </w:p>
          <w:p>
            <w:pPr>
              <w:spacing w:line="280" w:lineRule="exact"/>
              <w:ind w:left="109" w:leftChars="52"/>
              <w:rPr>
                <w:rFonts w:ascii="仿宋_GB2312" w:eastAsia="仿宋_GB2312"/>
                <w:sz w:val="22"/>
                <w:szCs w:val="22"/>
              </w:rPr>
            </w:pPr>
            <w:r>
              <w:rPr>
                <w:rFonts w:hint="eastAsia" w:ascii="仿宋_GB2312" w:eastAsia="仿宋_GB2312" w:cs="宋体"/>
                <w:sz w:val="22"/>
                <w:szCs w:val="22"/>
              </w:rPr>
              <w:t>③一张蓝图、多测合一、联合验收、市政公用服务等重点领域改革未落实到位的，每项扣0.2分。</w:t>
            </w:r>
          </w:p>
        </w:tc>
        <w:tc>
          <w:tcPr>
            <w:tcW w:w="750" w:type="dxa"/>
            <w:vAlign w:val="center"/>
          </w:tcPr>
          <w:p>
            <w:pPr>
              <w:spacing w:line="300" w:lineRule="exact"/>
              <w:ind w:left="3" w:firstLine="110" w:firstLineChars="50"/>
              <w:rPr>
                <w:rFonts w:ascii="仿宋_GB2312" w:eastAsia="仿宋_GB2312"/>
                <w:sz w:val="22"/>
                <w:szCs w:val="22"/>
              </w:rPr>
            </w:pPr>
            <w:r>
              <w:rPr>
                <w:rFonts w:hint="eastAsia" w:ascii="仿宋_GB2312" w:eastAsia="仿宋_GB2312"/>
                <w:sz w:val="22"/>
                <w:szCs w:val="22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35" w:type="dxa"/>
            <w:left w:w="109" w:type="dxa"/>
            <w:bottom w:w="35" w:type="dxa"/>
            <w:right w:w="111" w:type="dxa"/>
          </w:tblCellMar>
        </w:tblPrEx>
        <w:trPr>
          <w:trHeight w:val="113" w:hRule="atLeast"/>
          <w:jc w:val="center"/>
        </w:trPr>
        <w:tc>
          <w:tcPr>
            <w:tcW w:w="663" w:type="dxa"/>
            <w:vMerge w:val="continue"/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2"/>
                <w:szCs w:val="22"/>
              </w:rPr>
            </w:pPr>
          </w:p>
        </w:tc>
        <w:tc>
          <w:tcPr>
            <w:tcW w:w="1179" w:type="dxa"/>
            <w:vMerge w:val="continue"/>
            <w:vAlign w:val="center"/>
          </w:tcPr>
          <w:p>
            <w:pPr>
              <w:spacing w:line="300" w:lineRule="exact"/>
              <w:rPr>
                <w:rFonts w:ascii="仿宋_GB2312" w:eastAsia="仿宋_GB2312"/>
                <w:sz w:val="22"/>
                <w:szCs w:val="22"/>
              </w:rPr>
            </w:pPr>
          </w:p>
        </w:tc>
        <w:tc>
          <w:tcPr>
            <w:tcW w:w="1749" w:type="dxa"/>
            <w:vAlign w:val="center"/>
          </w:tcPr>
          <w:p>
            <w:pPr>
              <w:spacing w:line="260" w:lineRule="exact"/>
              <w:ind w:left="44" w:right="45"/>
              <w:jc w:val="center"/>
              <w:rPr>
                <w:rFonts w:ascii="仿宋_GB2312" w:eastAsia="仿宋_GB2312"/>
                <w:sz w:val="22"/>
                <w:szCs w:val="22"/>
              </w:rPr>
            </w:pPr>
            <w:r>
              <w:rPr>
                <w:rFonts w:hint="eastAsia" w:eastAsia="仿宋_GB2312" w:cs="Calibri"/>
                <w:sz w:val="22"/>
                <w:szCs w:val="22"/>
              </w:rPr>
              <w:t> </w:t>
            </w:r>
            <w:r>
              <w:rPr>
                <w:rFonts w:hint="eastAsia" w:ascii="仿宋_GB2312" w:eastAsia="仿宋_GB2312" w:cs="仿宋_GB2312"/>
                <w:sz w:val="22"/>
                <w:szCs w:val="22"/>
              </w:rPr>
              <w:t>政务服务事项规范化、标准化、便</w:t>
            </w:r>
            <w:r>
              <w:rPr>
                <w:rFonts w:hint="eastAsia" w:ascii="仿宋_GB2312" w:eastAsia="仿宋_GB2312" w:cs="微软雅黑"/>
                <w:sz w:val="22"/>
                <w:szCs w:val="22"/>
              </w:rPr>
              <w:t>利</w:t>
            </w:r>
            <w:r>
              <w:rPr>
                <w:rFonts w:hint="eastAsia" w:ascii="仿宋_GB2312" w:eastAsia="仿宋_GB2312" w:cs="___WRD_EMBED_SUB_40"/>
                <w:sz w:val="22"/>
                <w:szCs w:val="22"/>
              </w:rPr>
              <w:t>化梳理</w:t>
            </w:r>
          </w:p>
        </w:tc>
        <w:tc>
          <w:tcPr>
            <w:tcW w:w="10148" w:type="dxa"/>
            <w:vAlign w:val="center"/>
          </w:tcPr>
          <w:p>
            <w:pPr>
              <w:autoSpaceDE w:val="0"/>
              <w:autoSpaceDN w:val="0"/>
              <w:spacing w:line="280" w:lineRule="exact"/>
              <w:ind w:right="-15" w:firstLine="110" w:firstLineChars="50"/>
              <w:rPr>
                <w:rFonts w:ascii="仿宋_GB2312" w:eastAsia="仿宋_GB2312" w:cs="宋体"/>
                <w:kern w:val="0"/>
                <w:sz w:val="22"/>
                <w:szCs w:val="22"/>
                <w:lang w:val="zh-CN"/>
              </w:rPr>
            </w:pPr>
            <w:r>
              <w:rPr>
                <w:rFonts w:hint="eastAsia" w:ascii="仿宋_GB2312" w:eastAsia="仿宋_GB2312" w:cs="宋体"/>
                <w:kern w:val="0"/>
                <w:sz w:val="22"/>
                <w:szCs w:val="22"/>
                <w:lang w:val="zh-CN"/>
              </w:rPr>
              <w:t>①政务服务事项梳理不规范、不标准、不便利的，每1项扣0.1分。</w:t>
            </w:r>
          </w:p>
          <w:p>
            <w:pPr>
              <w:autoSpaceDE w:val="0"/>
              <w:autoSpaceDN w:val="0"/>
              <w:spacing w:line="280" w:lineRule="exact"/>
              <w:ind w:left="109" w:leftChars="52" w:right="96"/>
              <w:rPr>
                <w:rFonts w:ascii="仿宋_GB2312" w:eastAsia="仿宋_GB2312" w:cs="宋体"/>
                <w:kern w:val="0"/>
                <w:sz w:val="22"/>
                <w:szCs w:val="22"/>
                <w:lang w:val="zh-CN"/>
              </w:rPr>
            </w:pPr>
            <w:r>
              <w:rPr>
                <w:rFonts w:hint="eastAsia" w:ascii="仿宋_GB2312" w:eastAsia="仿宋_GB2312" w:cs="宋体"/>
                <w:kern w:val="0"/>
                <w:sz w:val="22"/>
                <w:szCs w:val="22"/>
                <w:lang w:val="zh-CN"/>
              </w:rPr>
              <w:t>②未编制精准化、便利化的《办事服务指南》（含网上办事指南）并进行公开，每少1项扣0.1分。</w:t>
            </w:r>
          </w:p>
          <w:p>
            <w:pPr>
              <w:spacing w:line="280" w:lineRule="exact"/>
              <w:ind w:firstLine="110" w:firstLineChars="50"/>
              <w:rPr>
                <w:rFonts w:ascii="仿宋_GB2312" w:eastAsia="仿宋_GB2312"/>
                <w:sz w:val="22"/>
                <w:szCs w:val="22"/>
              </w:rPr>
            </w:pPr>
            <w:r>
              <w:rPr>
                <w:rFonts w:hint="eastAsia" w:ascii="仿宋_GB2312" w:eastAsia="仿宋_GB2312"/>
                <w:sz w:val="22"/>
                <w:szCs w:val="22"/>
              </w:rPr>
              <w:t>③线上线下实施清单不一致的，每1项扣0.1分。</w:t>
            </w:r>
          </w:p>
        </w:tc>
        <w:tc>
          <w:tcPr>
            <w:tcW w:w="750" w:type="dxa"/>
            <w:vAlign w:val="center"/>
          </w:tcPr>
          <w:p>
            <w:pPr>
              <w:spacing w:line="300" w:lineRule="exact"/>
              <w:ind w:left="3" w:firstLine="110" w:firstLineChars="50"/>
              <w:rPr>
                <w:rFonts w:ascii="仿宋_GB2312" w:eastAsia="仿宋_GB2312"/>
                <w:sz w:val="22"/>
                <w:szCs w:val="22"/>
              </w:rPr>
            </w:pPr>
            <w:r>
              <w:rPr>
                <w:rFonts w:hint="eastAsia" w:ascii="仿宋_GB2312" w:eastAsia="仿宋_GB2312"/>
                <w:sz w:val="22"/>
                <w:szCs w:val="22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35" w:type="dxa"/>
            <w:left w:w="109" w:type="dxa"/>
            <w:bottom w:w="35" w:type="dxa"/>
            <w:right w:w="111" w:type="dxa"/>
          </w:tblCellMar>
        </w:tblPrEx>
        <w:trPr>
          <w:trHeight w:val="297" w:hRule="atLeast"/>
          <w:jc w:val="center"/>
        </w:trPr>
        <w:tc>
          <w:tcPr>
            <w:tcW w:w="663" w:type="dxa"/>
            <w:vMerge w:val="continue"/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2"/>
                <w:szCs w:val="22"/>
              </w:rPr>
            </w:pPr>
          </w:p>
        </w:tc>
        <w:tc>
          <w:tcPr>
            <w:tcW w:w="1179" w:type="dxa"/>
            <w:vMerge w:val="continue"/>
            <w:vAlign w:val="center"/>
          </w:tcPr>
          <w:p>
            <w:pPr>
              <w:spacing w:line="300" w:lineRule="exact"/>
              <w:rPr>
                <w:rFonts w:ascii="仿宋_GB2312" w:eastAsia="仿宋_GB2312"/>
                <w:sz w:val="22"/>
                <w:szCs w:val="22"/>
              </w:rPr>
            </w:pPr>
          </w:p>
        </w:tc>
        <w:tc>
          <w:tcPr>
            <w:tcW w:w="1749" w:type="dxa"/>
            <w:vAlign w:val="center"/>
          </w:tcPr>
          <w:p>
            <w:pPr>
              <w:spacing w:line="260" w:lineRule="exact"/>
              <w:jc w:val="center"/>
              <w:rPr>
                <w:rFonts w:ascii="仿宋_GB2312" w:eastAsia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大厅管理</w:t>
            </w:r>
          </w:p>
        </w:tc>
        <w:tc>
          <w:tcPr>
            <w:tcW w:w="10148" w:type="dxa"/>
            <w:vAlign w:val="center"/>
          </w:tcPr>
          <w:p>
            <w:pPr>
              <w:spacing w:line="280" w:lineRule="exact"/>
              <w:ind w:firstLine="110" w:firstLineChars="50"/>
              <w:rPr>
                <w:rFonts w:ascii="仿宋_GB2312" w:eastAsia="仿宋_GB2312"/>
                <w:sz w:val="22"/>
                <w:szCs w:val="22"/>
              </w:rPr>
            </w:pPr>
            <w:r>
              <w:rPr>
                <w:rFonts w:hint="eastAsia" w:ascii="仿宋_GB2312" w:eastAsia="仿宋_GB2312"/>
                <w:sz w:val="22"/>
                <w:szCs w:val="22"/>
              </w:rPr>
              <w:t>①</w:t>
            </w:r>
            <w:r>
              <w:rPr>
                <w:rFonts w:hint="eastAsia" w:ascii="仿宋_GB2312" w:eastAsia="仿宋_GB2312" w:cs="仿宋_GB2312"/>
                <w:sz w:val="22"/>
                <w:szCs w:val="22"/>
              </w:rPr>
              <w:t>按政务服务中心《窗口管理办法》考核计分。</w:t>
            </w:r>
          </w:p>
        </w:tc>
        <w:tc>
          <w:tcPr>
            <w:tcW w:w="750" w:type="dxa"/>
            <w:vAlign w:val="center"/>
          </w:tcPr>
          <w:p>
            <w:pPr>
              <w:spacing w:line="300" w:lineRule="exact"/>
              <w:ind w:left="3" w:firstLine="110" w:firstLineChars="50"/>
              <w:rPr>
                <w:rFonts w:ascii="仿宋_GB2312" w:eastAsia="仿宋_GB2312"/>
                <w:sz w:val="22"/>
                <w:szCs w:val="22"/>
              </w:rPr>
            </w:pPr>
            <w:r>
              <w:rPr>
                <w:rFonts w:hint="eastAsia" w:ascii="仿宋_GB2312" w:eastAsia="仿宋_GB2312"/>
                <w:sz w:val="22"/>
                <w:szCs w:val="22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35" w:type="dxa"/>
            <w:left w:w="109" w:type="dxa"/>
            <w:bottom w:w="35" w:type="dxa"/>
            <w:right w:w="111" w:type="dxa"/>
          </w:tblCellMar>
        </w:tblPrEx>
        <w:trPr>
          <w:trHeight w:val="146" w:hRule="atLeast"/>
          <w:jc w:val="center"/>
        </w:trPr>
        <w:tc>
          <w:tcPr>
            <w:tcW w:w="663" w:type="dxa"/>
            <w:vMerge w:val="restart"/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2"/>
                <w:szCs w:val="22"/>
              </w:rPr>
            </w:pPr>
            <w:r>
              <w:rPr>
                <w:rFonts w:hint="eastAsia" w:ascii="仿宋_GB2312" w:eastAsia="仿宋_GB2312"/>
                <w:b/>
                <w:sz w:val="22"/>
                <w:szCs w:val="22"/>
              </w:rPr>
              <w:t>2</w:t>
            </w:r>
          </w:p>
        </w:tc>
        <w:tc>
          <w:tcPr>
            <w:tcW w:w="1179" w:type="dxa"/>
            <w:vMerge w:val="restart"/>
            <w:vAlign w:val="center"/>
          </w:tcPr>
          <w:p>
            <w:pPr>
              <w:spacing w:line="300" w:lineRule="exact"/>
              <w:rPr>
                <w:rFonts w:ascii="仿宋_GB2312" w:eastAsia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数据资源</w:t>
            </w:r>
          </w:p>
        </w:tc>
        <w:tc>
          <w:tcPr>
            <w:tcW w:w="1749" w:type="dxa"/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sz w:val="22"/>
                <w:szCs w:val="22"/>
              </w:rPr>
            </w:pPr>
            <w:r>
              <w:rPr>
                <w:rFonts w:hint="eastAsia" w:ascii="仿宋_GB2312" w:eastAsia="仿宋_GB2312"/>
                <w:sz w:val="22"/>
                <w:szCs w:val="22"/>
              </w:rPr>
              <w:t>“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互联网</w:t>
            </w:r>
            <w:r>
              <w:rPr>
                <w:rFonts w:hint="eastAsia" w:ascii="仿宋_GB2312" w:eastAsia="仿宋_GB2312"/>
                <w:sz w:val="22"/>
                <w:szCs w:val="22"/>
              </w:rPr>
              <w:t>+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政务服务</w:t>
            </w:r>
            <w:r>
              <w:rPr>
                <w:rFonts w:hint="eastAsia" w:ascii="仿宋_GB2312" w:eastAsia="仿宋_GB2312"/>
                <w:sz w:val="22"/>
                <w:szCs w:val="22"/>
              </w:rPr>
              <w:t>”</w:t>
            </w:r>
          </w:p>
        </w:tc>
        <w:tc>
          <w:tcPr>
            <w:tcW w:w="10148" w:type="dxa"/>
            <w:vAlign w:val="center"/>
          </w:tcPr>
          <w:p>
            <w:pPr>
              <w:pStyle w:val="11"/>
              <w:spacing w:line="300" w:lineRule="exact"/>
              <w:ind w:right="100" w:firstLine="110" w:firstLineChars="50"/>
              <w:rPr>
                <w:rFonts w:ascii="仿宋_GB2312" w:hAnsi="仿宋" w:eastAsia="仿宋_GB2312"/>
                <w:szCs w:val="22"/>
              </w:rPr>
            </w:pPr>
            <w:r>
              <w:rPr>
                <w:rFonts w:hint="eastAsia" w:ascii="仿宋_GB2312" w:hAnsi="仿宋" w:eastAsia="仿宋_GB2312"/>
                <w:szCs w:val="22"/>
              </w:rPr>
              <w:t>①未使用政务服务一体化平台同步审批业务的，每次扣0.2 分。</w:t>
            </w:r>
          </w:p>
          <w:p>
            <w:pPr>
              <w:pStyle w:val="11"/>
              <w:spacing w:line="300" w:lineRule="exact"/>
              <w:ind w:firstLine="110" w:firstLineChars="50"/>
              <w:rPr>
                <w:rFonts w:ascii="仿宋_GB2312" w:hAnsi="仿宋" w:eastAsia="仿宋_GB2312"/>
                <w:szCs w:val="22"/>
              </w:rPr>
            </w:pPr>
            <w:r>
              <w:rPr>
                <w:rFonts w:hint="eastAsia" w:ascii="仿宋_GB2312" w:hAnsi="仿宋" w:eastAsia="仿宋_GB2312"/>
                <w:szCs w:val="22"/>
              </w:rPr>
              <w:t>②自建业务系统未与政务服务一体化平台实现系统双向对接的，每个扣0.2分。</w:t>
            </w:r>
          </w:p>
        </w:tc>
        <w:tc>
          <w:tcPr>
            <w:tcW w:w="750" w:type="dxa"/>
            <w:vAlign w:val="center"/>
          </w:tcPr>
          <w:p>
            <w:pPr>
              <w:spacing w:line="300" w:lineRule="exact"/>
              <w:ind w:left="3" w:firstLine="110" w:firstLineChars="50"/>
              <w:rPr>
                <w:rFonts w:ascii="仿宋_GB2312" w:eastAsia="仿宋_GB2312"/>
                <w:sz w:val="22"/>
                <w:szCs w:val="22"/>
              </w:rPr>
            </w:pPr>
            <w:r>
              <w:rPr>
                <w:rFonts w:hint="eastAsia" w:ascii="仿宋_GB2312" w:eastAsia="仿宋_GB2312"/>
                <w:sz w:val="22"/>
                <w:szCs w:val="22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35" w:type="dxa"/>
            <w:left w:w="109" w:type="dxa"/>
            <w:bottom w:w="35" w:type="dxa"/>
            <w:right w:w="111" w:type="dxa"/>
          </w:tblCellMar>
        </w:tblPrEx>
        <w:trPr>
          <w:trHeight w:val="170" w:hRule="atLeast"/>
          <w:jc w:val="center"/>
        </w:trPr>
        <w:tc>
          <w:tcPr>
            <w:tcW w:w="663" w:type="dxa"/>
            <w:vMerge w:val="continue"/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2"/>
                <w:szCs w:val="22"/>
              </w:rPr>
            </w:pPr>
          </w:p>
        </w:tc>
        <w:tc>
          <w:tcPr>
            <w:tcW w:w="1179" w:type="dxa"/>
            <w:vMerge w:val="continue"/>
            <w:vAlign w:val="center"/>
          </w:tcPr>
          <w:p>
            <w:pPr>
              <w:spacing w:line="300" w:lineRule="exact"/>
              <w:rPr>
                <w:rFonts w:ascii="仿宋_GB2312" w:eastAsia="仿宋_GB2312"/>
                <w:sz w:val="22"/>
                <w:szCs w:val="22"/>
              </w:rPr>
            </w:pPr>
          </w:p>
        </w:tc>
        <w:tc>
          <w:tcPr>
            <w:tcW w:w="1749" w:type="dxa"/>
            <w:vAlign w:val="center"/>
          </w:tcPr>
          <w:p>
            <w:pPr>
              <w:spacing w:line="300" w:lineRule="exact"/>
              <w:ind w:left="43"/>
              <w:jc w:val="center"/>
              <w:rPr>
                <w:rFonts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政务信息资源整合</w:t>
            </w:r>
          </w:p>
        </w:tc>
        <w:tc>
          <w:tcPr>
            <w:tcW w:w="10148" w:type="dxa"/>
            <w:vAlign w:val="center"/>
          </w:tcPr>
          <w:p>
            <w:pPr>
              <w:spacing w:line="300" w:lineRule="exact"/>
              <w:ind w:firstLine="110" w:firstLineChars="50"/>
              <w:rPr>
                <w:rFonts w:ascii="仿宋_GB2312" w:eastAsia="仿宋_GB2312"/>
                <w:sz w:val="22"/>
                <w:szCs w:val="22"/>
              </w:rPr>
            </w:pPr>
            <w:r>
              <w:rPr>
                <w:rFonts w:hint="eastAsia" w:ascii="仿宋_GB2312" w:eastAsia="仿宋_GB2312"/>
                <w:sz w:val="22"/>
                <w:szCs w:val="22"/>
              </w:rPr>
              <w:t>①</w:t>
            </w:r>
            <w:r>
              <w:rPr>
                <w:rFonts w:hint="eastAsia" w:ascii="仿宋_GB2312" w:eastAsia="仿宋_GB2312" w:cs="宋体"/>
                <w:sz w:val="22"/>
                <w:szCs w:val="22"/>
              </w:rPr>
              <w:t>未配合梳理、制定、发布部门政务信息资源共享目录清单的，扣</w:t>
            </w:r>
            <w:r>
              <w:rPr>
                <w:rFonts w:hint="eastAsia" w:ascii="仿宋_GB2312" w:eastAsia="仿宋_GB2312"/>
                <w:sz w:val="22"/>
                <w:szCs w:val="22"/>
              </w:rPr>
              <w:t>0.5</w:t>
            </w:r>
            <w:r>
              <w:rPr>
                <w:rFonts w:hint="eastAsia" w:ascii="仿宋_GB2312" w:eastAsia="仿宋_GB2312" w:cs="宋体"/>
                <w:sz w:val="22"/>
                <w:szCs w:val="22"/>
              </w:rPr>
              <w:t>分。</w:t>
            </w:r>
            <w:r>
              <w:rPr>
                <w:rFonts w:hint="eastAsia" w:ascii="仿宋_GB2312" w:eastAsia="仿宋_GB2312"/>
                <w:sz w:val="22"/>
                <w:szCs w:val="22"/>
              </w:rPr>
              <w:t xml:space="preserve"> </w:t>
            </w:r>
          </w:p>
          <w:p>
            <w:pPr>
              <w:spacing w:line="300" w:lineRule="exact"/>
              <w:ind w:firstLine="110" w:firstLineChars="50"/>
              <w:rPr>
                <w:rFonts w:ascii="仿宋_GB2312" w:eastAsia="仿宋_GB2312"/>
                <w:sz w:val="22"/>
                <w:szCs w:val="22"/>
              </w:rPr>
            </w:pPr>
            <w:r>
              <w:rPr>
                <w:rFonts w:hint="eastAsia" w:ascii="仿宋_GB2312" w:eastAsia="仿宋_GB2312"/>
                <w:sz w:val="22"/>
                <w:szCs w:val="22"/>
              </w:rPr>
              <w:t>②</w:t>
            </w:r>
            <w:r>
              <w:rPr>
                <w:rFonts w:hint="eastAsia" w:ascii="仿宋_GB2312" w:eastAsia="仿宋_GB2312" w:cs="宋体"/>
                <w:sz w:val="22"/>
                <w:szCs w:val="22"/>
              </w:rPr>
              <w:t>未按国家规范要求生成并入库本部门电子证照的，每个扣</w:t>
            </w:r>
            <w:r>
              <w:rPr>
                <w:rFonts w:hint="eastAsia" w:ascii="仿宋_GB2312" w:eastAsia="仿宋_GB2312"/>
                <w:sz w:val="22"/>
                <w:szCs w:val="22"/>
              </w:rPr>
              <w:t>0.1</w:t>
            </w:r>
            <w:r>
              <w:rPr>
                <w:rFonts w:hint="eastAsia" w:ascii="仿宋_GB2312" w:eastAsia="仿宋_GB2312" w:cs="宋体"/>
                <w:sz w:val="22"/>
                <w:szCs w:val="22"/>
              </w:rPr>
              <w:t>分。</w:t>
            </w:r>
            <w:r>
              <w:rPr>
                <w:rFonts w:hint="eastAsia" w:ascii="仿宋_GB2312" w:eastAsia="仿宋_GB2312"/>
                <w:sz w:val="22"/>
                <w:szCs w:val="22"/>
              </w:rPr>
              <w:t xml:space="preserve"> </w:t>
            </w:r>
          </w:p>
          <w:p>
            <w:pPr>
              <w:spacing w:line="300" w:lineRule="exact"/>
              <w:ind w:firstLine="110" w:firstLineChars="50"/>
              <w:rPr>
                <w:rFonts w:ascii="仿宋_GB2312" w:eastAsia="仿宋_GB2312"/>
                <w:sz w:val="22"/>
                <w:szCs w:val="22"/>
              </w:rPr>
            </w:pPr>
            <w:r>
              <w:rPr>
                <w:rFonts w:hint="eastAsia" w:ascii="仿宋_GB2312" w:eastAsia="仿宋_GB2312"/>
                <w:sz w:val="22"/>
                <w:szCs w:val="22"/>
              </w:rPr>
              <w:t>③</w:t>
            </w:r>
            <w:r>
              <w:rPr>
                <w:rFonts w:hint="eastAsia" w:ascii="仿宋_GB2312" w:eastAsia="仿宋_GB2312" w:cs="宋体"/>
                <w:sz w:val="22"/>
                <w:szCs w:val="22"/>
              </w:rPr>
              <w:t>未充分授权或认可通过政府共享的办事材料，每次扣</w:t>
            </w:r>
            <w:r>
              <w:rPr>
                <w:rFonts w:hint="eastAsia" w:ascii="仿宋_GB2312" w:eastAsia="仿宋_GB2312"/>
                <w:sz w:val="22"/>
                <w:szCs w:val="22"/>
              </w:rPr>
              <w:t>0.5</w:t>
            </w:r>
            <w:r>
              <w:rPr>
                <w:rFonts w:hint="eastAsia" w:ascii="仿宋_GB2312" w:eastAsia="仿宋_GB2312" w:cs="宋体"/>
                <w:sz w:val="22"/>
                <w:szCs w:val="22"/>
              </w:rPr>
              <w:t>分。</w:t>
            </w:r>
          </w:p>
        </w:tc>
        <w:tc>
          <w:tcPr>
            <w:tcW w:w="750" w:type="dxa"/>
            <w:vAlign w:val="center"/>
          </w:tcPr>
          <w:p>
            <w:pPr>
              <w:spacing w:line="300" w:lineRule="exact"/>
              <w:ind w:left="3" w:firstLine="110" w:firstLineChars="50"/>
              <w:rPr>
                <w:rFonts w:ascii="仿宋_GB2312" w:eastAsia="仿宋_GB2312"/>
                <w:sz w:val="22"/>
                <w:szCs w:val="22"/>
              </w:rPr>
            </w:pPr>
            <w:r>
              <w:rPr>
                <w:rFonts w:hint="eastAsia" w:ascii="仿宋_GB2312" w:eastAsia="仿宋_GB2312"/>
                <w:sz w:val="22"/>
                <w:szCs w:val="22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35" w:type="dxa"/>
            <w:left w:w="109" w:type="dxa"/>
            <w:bottom w:w="35" w:type="dxa"/>
            <w:right w:w="111" w:type="dxa"/>
          </w:tblCellMar>
        </w:tblPrEx>
        <w:trPr>
          <w:trHeight w:val="217" w:hRule="atLeast"/>
          <w:jc w:val="center"/>
        </w:trPr>
        <w:tc>
          <w:tcPr>
            <w:tcW w:w="663" w:type="dxa"/>
            <w:vMerge w:val="restart"/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2"/>
                <w:szCs w:val="22"/>
              </w:rPr>
            </w:pPr>
            <w:r>
              <w:rPr>
                <w:rFonts w:hint="eastAsia" w:ascii="仿宋_GB2312" w:eastAsia="仿宋_GB2312"/>
                <w:b/>
                <w:sz w:val="22"/>
                <w:szCs w:val="22"/>
              </w:rPr>
              <w:t>3</w:t>
            </w:r>
          </w:p>
        </w:tc>
        <w:tc>
          <w:tcPr>
            <w:tcW w:w="1179" w:type="dxa"/>
            <w:vMerge w:val="restart"/>
            <w:vAlign w:val="center"/>
          </w:tcPr>
          <w:p>
            <w:pPr>
              <w:spacing w:line="300" w:lineRule="exact"/>
              <w:ind w:firstLine="220" w:firstLineChars="100"/>
              <w:rPr>
                <w:rFonts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政务</w:t>
            </w:r>
          </w:p>
          <w:p>
            <w:pPr>
              <w:spacing w:line="300" w:lineRule="exact"/>
              <w:ind w:firstLine="220" w:firstLineChars="100"/>
              <w:rPr>
                <w:rFonts w:ascii="仿宋_GB2312" w:eastAsia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公开</w:t>
            </w:r>
          </w:p>
        </w:tc>
        <w:tc>
          <w:tcPr>
            <w:tcW w:w="1749" w:type="dxa"/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信息公开</w:t>
            </w:r>
          </w:p>
        </w:tc>
        <w:tc>
          <w:tcPr>
            <w:tcW w:w="10148" w:type="dxa"/>
            <w:vAlign w:val="center"/>
          </w:tcPr>
          <w:p>
            <w:pPr>
              <w:spacing w:line="300" w:lineRule="exact"/>
              <w:ind w:firstLine="110" w:firstLineChars="50"/>
              <w:rPr>
                <w:rFonts w:asci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eastAsia="仿宋_GB2312"/>
                <w:sz w:val="22"/>
                <w:szCs w:val="22"/>
              </w:rPr>
              <w:t>①</w:t>
            </w:r>
            <w:r>
              <w:rPr>
                <w:rFonts w:hint="eastAsia" w:ascii="仿宋_GB2312" w:eastAsia="仿宋_GB2312" w:cs="宋体"/>
                <w:sz w:val="22"/>
                <w:szCs w:val="22"/>
              </w:rPr>
              <w:t>未按2021年度政务公开工作要点公开政府信息，扣</w:t>
            </w:r>
            <w:r>
              <w:rPr>
                <w:rFonts w:hint="eastAsia" w:ascii="仿宋_GB2312" w:eastAsia="仿宋_GB2312"/>
                <w:sz w:val="22"/>
                <w:szCs w:val="22"/>
              </w:rPr>
              <w:t>0.3</w:t>
            </w:r>
            <w:r>
              <w:rPr>
                <w:rFonts w:hint="eastAsia" w:ascii="仿宋_GB2312" w:eastAsia="仿宋_GB2312" w:cs="宋体"/>
                <w:sz w:val="22"/>
                <w:szCs w:val="22"/>
              </w:rPr>
              <w:t>分。</w:t>
            </w:r>
          </w:p>
          <w:p>
            <w:pPr>
              <w:spacing w:line="300" w:lineRule="exact"/>
              <w:ind w:firstLine="110" w:firstLineChars="50"/>
              <w:rPr>
                <w:rFonts w:asci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eastAsia="仿宋_GB2312" w:cs="微软雅黑"/>
                <w:sz w:val="22"/>
                <w:szCs w:val="22"/>
              </w:rPr>
              <w:t>②</w:t>
            </w:r>
            <w:r>
              <w:rPr>
                <w:rFonts w:hint="eastAsia" w:ascii="仿宋_GB2312" w:eastAsia="仿宋_GB2312" w:cs="仿宋_GB2312"/>
                <w:sz w:val="22"/>
                <w:szCs w:val="22"/>
              </w:rPr>
              <w:t>栏目更新不及时每次扣0.5分。（每月底系统抽检）</w:t>
            </w:r>
          </w:p>
          <w:p>
            <w:pPr>
              <w:spacing w:line="300" w:lineRule="exact"/>
              <w:ind w:firstLine="110" w:firstLineChars="50"/>
              <w:rPr>
                <w:rFonts w:ascii="仿宋_GB2312" w:eastAsia="仿宋_GB2312"/>
                <w:sz w:val="22"/>
                <w:szCs w:val="22"/>
              </w:rPr>
            </w:pPr>
            <w:r>
              <w:rPr>
                <w:rFonts w:hint="eastAsia" w:ascii="仿宋_GB2312" w:eastAsia="仿宋_GB2312"/>
                <w:sz w:val="22"/>
                <w:szCs w:val="22"/>
              </w:rPr>
              <w:t>③</w:t>
            </w:r>
            <w:r>
              <w:rPr>
                <w:rFonts w:hint="eastAsia" w:ascii="仿宋_GB2312" w:eastAsia="仿宋_GB2312" w:cs="仿宋_GB2312"/>
                <w:kern w:val="0"/>
                <w:sz w:val="22"/>
                <w:szCs w:val="22"/>
                <w:lang w:bidi="ar"/>
              </w:rPr>
              <w:t>未按要求开展政策解读及宣传的，每次扣1分。</w:t>
            </w:r>
          </w:p>
          <w:p>
            <w:pPr>
              <w:spacing w:line="300" w:lineRule="exact"/>
              <w:ind w:firstLine="110" w:firstLineChars="50"/>
              <w:rPr>
                <w:rFonts w:asci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eastAsia="仿宋_GB2312" w:cs="宋体"/>
                <w:sz w:val="22"/>
                <w:szCs w:val="22"/>
              </w:rPr>
              <w:t>④</w:t>
            </w:r>
            <w:r>
              <w:rPr>
                <w:rFonts w:hint="eastAsia" w:ascii="仿宋_GB2312" w:eastAsia="仿宋_GB2312" w:cs="仿宋_GB2312"/>
                <w:kern w:val="0"/>
                <w:sz w:val="22"/>
                <w:szCs w:val="22"/>
                <w:lang w:bidi="ar"/>
              </w:rPr>
              <w:t>未按要求回应社会关切的，每次扣1分。</w:t>
            </w:r>
          </w:p>
          <w:p>
            <w:pPr>
              <w:spacing w:line="300" w:lineRule="exact"/>
              <w:ind w:left="109" w:leftChars="52"/>
              <w:rPr>
                <w:rFonts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eastAsia="仿宋_GB2312" w:cs="宋体"/>
                <w:sz w:val="22"/>
                <w:szCs w:val="22"/>
              </w:rPr>
              <w:t>⑤</w:t>
            </w:r>
            <w:r>
              <w:rPr>
                <w:rFonts w:hint="eastAsia" w:ascii="仿宋_GB2312" w:eastAsia="仿宋_GB2312" w:cs="仿宋_GB2312"/>
                <w:sz w:val="22"/>
                <w:szCs w:val="22"/>
              </w:rPr>
              <w:t>未依法依规答复依申请公开政府信息的，每次扣</w:t>
            </w:r>
            <w:r>
              <w:rPr>
                <w:rFonts w:hint="eastAsia" w:ascii="仿宋_GB2312" w:eastAsia="仿宋_GB2312"/>
                <w:sz w:val="22"/>
                <w:szCs w:val="22"/>
              </w:rPr>
              <w:t>1</w:t>
            </w:r>
            <w:r>
              <w:rPr>
                <w:rFonts w:hint="eastAsia" w:ascii="仿宋_GB2312" w:eastAsia="仿宋_GB2312" w:cs="仿宋_GB2312"/>
                <w:sz w:val="22"/>
                <w:szCs w:val="22"/>
              </w:rPr>
              <w:t>分，依申请公开未依法依规进行答复，被上级提起行政复议的，每次扣</w:t>
            </w:r>
            <w:r>
              <w:rPr>
                <w:rFonts w:hint="eastAsia" w:ascii="仿宋_GB2312" w:eastAsia="仿宋_GB2312"/>
                <w:sz w:val="22"/>
                <w:szCs w:val="22"/>
              </w:rPr>
              <w:t>2</w:t>
            </w:r>
            <w:r>
              <w:rPr>
                <w:rFonts w:hint="eastAsia" w:ascii="仿宋_GB2312" w:eastAsia="仿宋_GB2312" w:cs="仿宋_GB2312"/>
                <w:sz w:val="22"/>
                <w:szCs w:val="22"/>
              </w:rPr>
              <w:t>分。</w:t>
            </w:r>
          </w:p>
        </w:tc>
        <w:tc>
          <w:tcPr>
            <w:tcW w:w="750" w:type="dxa"/>
            <w:vAlign w:val="center"/>
          </w:tcPr>
          <w:p>
            <w:pPr>
              <w:spacing w:line="300" w:lineRule="exact"/>
              <w:ind w:left="3" w:firstLine="110" w:firstLineChars="50"/>
              <w:rPr>
                <w:rFonts w:ascii="仿宋_GB2312" w:eastAsia="仿宋_GB2312"/>
                <w:sz w:val="22"/>
                <w:szCs w:val="22"/>
              </w:rPr>
            </w:pPr>
            <w:r>
              <w:rPr>
                <w:rFonts w:hint="eastAsia" w:ascii="仿宋_GB2312" w:eastAsia="仿宋_GB2312"/>
                <w:sz w:val="22"/>
                <w:szCs w:val="22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35" w:type="dxa"/>
            <w:left w:w="109" w:type="dxa"/>
            <w:bottom w:w="35" w:type="dxa"/>
            <w:right w:w="111" w:type="dxa"/>
          </w:tblCellMar>
        </w:tblPrEx>
        <w:trPr>
          <w:trHeight w:val="156" w:hRule="atLeast"/>
          <w:jc w:val="center"/>
        </w:trPr>
        <w:tc>
          <w:tcPr>
            <w:tcW w:w="663" w:type="dxa"/>
            <w:vMerge w:val="continue"/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2"/>
                <w:szCs w:val="22"/>
              </w:rPr>
            </w:pPr>
          </w:p>
        </w:tc>
        <w:tc>
          <w:tcPr>
            <w:tcW w:w="1179" w:type="dxa"/>
            <w:vMerge w:val="continue"/>
            <w:vAlign w:val="center"/>
          </w:tcPr>
          <w:p>
            <w:pPr>
              <w:spacing w:line="300" w:lineRule="exact"/>
              <w:rPr>
                <w:rFonts w:ascii="仿宋_GB2312" w:eastAsia="仿宋_GB2312"/>
                <w:sz w:val="22"/>
                <w:szCs w:val="22"/>
              </w:rPr>
            </w:pPr>
          </w:p>
        </w:tc>
        <w:tc>
          <w:tcPr>
            <w:tcW w:w="1749" w:type="dxa"/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政府网站和政务新媒体</w:t>
            </w:r>
          </w:p>
        </w:tc>
        <w:tc>
          <w:tcPr>
            <w:tcW w:w="10148" w:type="dxa"/>
            <w:vAlign w:val="center"/>
          </w:tcPr>
          <w:p>
            <w:pPr>
              <w:pStyle w:val="11"/>
              <w:spacing w:line="300" w:lineRule="exact"/>
              <w:ind w:left="109" w:leftChars="52" w:right="96"/>
              <w:rPr>
                <w:rFonts w:ascii="仿宋_GB2312" w:hAnsi="仿宋" w:eastAsia="仿宋_GB2312"/>
                <w:szCs w:val="22"/>
              </w:rPr>
            </w:pPr>
            <w:r>
              <w:rPr>
                <w:rFonts w:hint="eastAsia" w:ascii="仿宋_GB2312" w:hAnsi="仿宋" w:eastAsia="仿宋_GB2312"/>
                <w:szCs w:val="22"/>
              </w:rPr>
              <w:t>①</w:t>
            </w:r>
            <w:r>
              <w:rPr>
                <w:rFonts w:hint="eastAsia" w:ascii="仿宋_GB2312" w:hAnsi="仿宋" w:eastAsia="仿宋_GB2312"/>
                <w:spacing w:val="-6"/>
                <w:szCs w:val="22"/>
              </w:rPr>
              <w:t>未及时开展有效的互动交流，每次扣 0.2分；简单常见咨询问题未在1个工作日内答复，每次扣0.1分。</w:t>
            </w:r>
          </w:p>
          <w:p>
            <w:pPr>
              <w:pStyle w:val="11"/>
              <w:spacing w:line="300" w:lineRule="exact"/>
              <w:ind w:right="96" w:firstLine="110" w:firstLineChars="50"/>
              <w:rPr>
                <w:rFonts w:ascii="仿宋_GB2312" w:hAnsi="仿宋" w:eastAsia="仿宋_GB2312"/>
                <w:szCs w:val="22"/>
              </w:rPr>
            </w:pPr>
            <w:r>
              <w:rPr>
                <w:rFonts w:hint="eastAsia" w:ascii="仿宋_GB2312" w:hAnsi="仿宋" w:eastAsia="仿宋_GB2312"/>
                <w:szCs w:val="22"/>
              </w:rPr>
              <w:t>②办理“我为政府网站找错”网民留言不规范、不及时的，每次扣0.2分。</w:t>
            </w:r>
          </w:p>
          <w:p>
            <w:pPr>
              <w:spacing w:line="300" w:lineRule="exact"/>
              <w:ind w:firstLine="110" w:firstLineChars="50"/>
              <w:rPr>
                <w:rFonts w:ascii="仿宋_GB2312" w:eastAsia="仿宋_GB2312"/>
                <w:sz w:val="22"/>
                <w:szCs w:val="22"/>
              </w:rPr>
            </w:pPr>
            <w:r>
              <w:rPr>
                <w:rFonts w:hint="eastAsia" w:ascii="仿宋_GB2312" w:eastAsia="仿宋_GB2312"/>
                <w:sz w:val="22"/>
                <w:szCs w:val="22"/>
              </w:rPr>
              <w:t>③</w:t>
            </w:r>
            <w:r>
              <w:rPr>
                <w:rFonts w:hint="eastAsia" w:ascii="仿宋_GB2312" w:eastAsia="仿宋_GB2312" w:cs="仿宋_GB2312"/>
                <w:sz w:val="22"/>
                <w:szCs w:val="22"/>
              </w:rPr>
              <w:t>未按要求及时处理县长信箱来信的，每次扣</w:t>
            </w:r>
            <w:r>
              <w:rPr>
                <w:rFonts w:hint="eastAsia" w:ascii="仿宋_GB2312" w:eastAsia="仿宋_GB2312"/>
                <w:sz w:val="22"/>
                <w:szCs w:val="22"/>
              </w:rPr>
              <w:t>0.5</w:t>
            </w:r>
            <w:r>
              <w:rPr>
                <w:rFonts w:hint="eastAsia" w:ascii="仿宋_GB2312" w:eastAsia="仿宋_GB2312" w:cs="仿宋_GB2312"/>
                <w:sz w:val="22"/>
                <w:szCs w:val="22"/>
              </w:rPr>
              <w:t>分。</w:t>
            </w:r>
          </w:p>
          <w:p>
            <w:pPr>
              <w:spacing w:line="300" w:lineRule="exact"/>
              <w:ind w:firstLine="110" w:firstLineChars="50"/>
              <w:rPr>
                <w:rFonts w:asci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eastAsia="仿宋_GB2312"/>
                <w:sz w:val="22"/>
                <w:szCs w:val="22"/>
              </w:rPr>
              <w:t>④发布信息未实行“三审”工作制度、审核不严，发生差错的</w:t>
            </w:r>
            <w:r>
              <w:rPr>
                <w:rFonts w:hint="eastAsia" w:ascii="仿宋_GB2312" w:eastAsia="仿宋_GB2312" w:cs="仿宋_GB2312"/>
                <w:sz w:val="22"/>
                <w:szCs w:val="22"/>
              </w:rPr>
              <w:t>，每次扣</w:t>
            </w:r>
            <w:r>
              <w:rPr>
                <w:rFonts w:hint="eastAsia" w:ascii="仿宋_GB2312" w:eastAsia="仿宋_GB2312"/>
                <w:sz w:val="22"/>
                <w:szCs w:val="22"/>
              </w:rPr>
              <w:t>1</w:t>
            </w:r>
            <w:r>
              <w:rPr>
                <w:rFonts w:hint="eastAsia" w:ascii="仿宋_GB2312" w:eastAsia="仿宋_GB2312" w:cs="仿宋_GB2312"/>
                <w:sz w:val="22"/>
                <w:szCs w:val="22"/>
              </w:rPr>
              <w:t>分。</w:t>
            </w:r>
          </w:p>
          <w:p>
            <w:pPr>
              <w:spacing w:line="300" w:lineRule="exact"/>
              <w:ind w:firstLine="110" w:firstLineChars="50"/>
              <w:rPr>
                <w:rFonts w:ascii="仿宋_GB2312" w:eastAsia="仿宋_GB2312"/>
                <w:sz w:val="22"/>
                <w:szCs w:val="22"/>
              </w:rPr>
            </w:pPr>
            <w:r>
              <w:rPr>
                <w:rFonts w:hint="eastAsia" w:ascii="仿宋_GB2312" w:eastAsia="仿宋_GB2312"/>
                <w:sz w:val="22"/>
                <w:szCs w:val="22"/>
              </w:rPr>
              <w:t>⑤</w:t>
            </w:r>
            <w:r>
              <w:rPr>
                <w:rFonts w:hint="eastAsia" w:ascii="仿宋_GB2312" w:eastAsia="仿宋_GB2312" w:cs="仿宋_GB2312"/>
                <w:sz w:val="22"/>
                <w:szCs w:val="22"/>
              </w:rPr>
              <w:t>被县通报批评的，每次扣</w:t>
            </w:r>
            <w:r>
              <w:rPr>
                <w:rFonts w:hint="eastAsia" w:ascii="仿宋_GB2312" w:eastAsia="仿宋_GB2312"/>
                <w:sz w:val="22"/>
                <w:szCs w:val="22"/>
              </w:rPr>
              <w:t>2</w:t>
            </w:r>
            <w:r>
              <w:rPr>
                <w:rFonts w:hint="eastAsia" w:ascii="仿宋_GB2312" w:eastAsia="仿宋_GB2312" w:cs="仿宋_GB2312"/>
                <w:sz w:val="22"/>
                <w:szCs w:val="22"/>
              </w:rPr>
              <w:t>分。</w:t>
            </w:r>
          </w:p>
        </w:tc>
        <w:tc>
          <w:tcPr>
            <w:tcW w:w="750" w:type="dxa"/>
            <w:vAlign w:val="center"/>
          </w:tcPr>
          <w:p>
            <w:pPr>
              <w:spacing w:line="300" w:lineRule="exact"/>
              <w:ind w:left="3" w:firstLine="110" w:firstLineChars="50"/>
              <w:rPr>
                <w:rFonts w:ascii="仿宋_GB2312" w:eastAsia="仿宋_GB2312"/>
                <w:sz w:val="22"/>
                <w:szCs w:val="22"/>
              </w:rPr>
            </w:pPr>
            <w:r>
              <w:rPr>
                <w:rFonts w:hint="eastAsia" w:ascii="仿宋_GB2312" w:eastAsia="仿宋_GB2312"/>
                <w:sz w:val="22"/>
                <w:szCs w:val="22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35" w:type="dxa"/>
            <w:left w:w="109" w:type="dxa"/>
            <w:bottom w:w="35" w:type="dxa"/>
            <w:right w:w="111" w:type="dxa"/>
          </w:tblCellMar>
        </w:tblPrEx>
        <w:trPr>
          <w:trHeight w:val="166" w:hRule="atLeast"/>
          <w:jc w:val="center"/>
        </w:trPr>
        <w:tc>
          <w:tcPr>
            <w:tcW w:w="663" w:type="dxa"/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2"/>
                <w:szCs w:val="22"/>
              </w:rPr>
            </w:pPr>
            <w:r>
              <w:rPr>
                <w:rFonts w:hint="eastAsia" w:ascii="仿宋_GB2312" w:eastAsia="仿宋_GB2312"/>
                <w:b/>
                <w:sz w:val="22"/>
                <w:szCs w:val="22"/>
              </w:rPr>
              <w:t>4</w:t>
            </w:r>
          </w:p>
        </w:tc>
        <w:tc>
          <w:tcPr>
            <w:tcW w:w="2928" w:type="dxa"/>
            <w:gridSpan w:val="2"/>
            <w:vAlign w:val="center"/>
          </w:tcPr>
          <w:p>
            <w:pPr>
              <w:spacing w:line="300" w:lineRule="exact"/>
              <w:ind w:right="1"/>
              <w:jc w:val="center"/>
              <w:rPr>
                <w:rFonts w:ascii="仿宋_GB2312" w:eastAsia="仿宋_GB2312"/>
                <w:sz w:val="22"/>
                <w:szCs w:val="22"/>
              </w:rPr>
            </w:pPr>
            <w:r>
              <w:rPr>
                <w:rFonts w:hint="eastAsia" w:ascii="仿宋_GB2312" w:eastAsia="仿宋_GB2312"/>
                <w:sz w:val="22"/>
                <w:szCs w:val="22"/>
              </w:rPr>
              <w:t xml:space="preserve">12345 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政府服务热线</w:t>
            </w:r>
          </w:p>
        </w:tc>
        <w:tc>
          <w:tcPr>
            <w:tcW w:w="10148" w:type="dxa"/>
            <w:vAlign w:val="center"/>
          </w:tcPr>
          <w:p>
            <w:pPr>
              <w:pStyle w:val="11"/>
              <w:spacing w:line="300" w:lineRule="exact"/>
              <w:ind w:left="109" w:leftChars="52" w:right="-15"/>
              <w:rPr>
                <w:rFonts w:ascii="仿宋_GB2312" w:hAnsi="仿宋" w:eastAsia="仿宋_GB2312"/>
                <w:szCs w:val="22"/>
              </w:rPr>
            </w:pPr>
            <w:r>
              <w:rPr>
                <w:rFonts w:hint="eastAsia" w:ascii="仿宋_GB2312" w:hAnsi="仿宋" w:eastAsia="仿宋_GB2312"/>
                <w:szCs w:val="22"/>
              </w:rPr>
              <w:t>①“五率一度”未达标，接通率 97%、在线办结率65%、按时办结率100%、回访率100%、回访满意率 100%，每降低1个百分点分别扣0.2分。</w:t>
            </w:r>
          </w:p>
          <w:p>
            <w:pPr>
              <w:pStyle w:val="11"/>
              <w:spacing w:line="300" w:lineRule="exact"/>
              <w:ind w:firstLine="110" w:firstLineChars="50"/>
              <w:rPr>
                <w:rFonts w:ascii="仿宋_GB2312" w:hAnsi="仿宋" w:eastAsia="仿宋_GB2312"/>
                <w:szCs w:val="22"/>
              </w:rPr>
            </w:pPr>
            <w:r>
              <w:rPr>
                <w:rFonts w:hint="eastAsia" w:ascii="仿宋_GB2312" w:hAnsi="仿宋" w:eastAsia="仿宋_GB2312"/>
                <w:szCs w:val="22"/>
              </w:rPr>
              <w:t>②工单未及时签收（退回），每超期1件扣0.1 分。</w:t>
            </w:r>
          </w:p>
          <w:p>
            <w:pPr>
              <w:pStyle w:val="11"/>
              <w:spacing w:line="300" w:lineRule="exact"/>
              <w:ind w:right="100" w:firstLine="110" w:firstLineChars="50"/>
              <w:rPr>
                <w:rFonts w:ascii="仿宋_GB2312" w:hAnsi="仿宋" w:eastAsia="仿宋_GB2312"/>
                <w:szCs w:val="22"/>
              </w:rPr>
            </w:pPr>
            <w:r>
              <w:rPr>
                <w:rFonts w:hint="eastAsia" w:ascii="仿宋_GB2312" w:hAnsi="仿宋" w:eastAsia="仿宋_GB2312"/>
                <w:szCs w:val="22"/>
              </w:rPr>
              <w:t>③未积极响应（知识库更新、督办配合、热线问政参与），每次扣0.1分。</w:t>
            </w:r>
          </w:p>
          <w:p>
            <w:pPr>
              <w:spacing w:line="300" w:lineRule="exact"/>
              <w:ind w:firstLine="110" w:firstLineChars="50"/>
              <w:rPr>
                <w:rFonts w:ascii="仿宋_GB2312" w:eastAsia="仿宋_GB2312"/>
                <w:sz w:val="22"/>
                <w:szCs w:val="22"/>
              </w:rPr>
            </w:pPr>
            <w:r>
              <w:rPr>
                <w:rFonts w:hint="eastAsia" w:ascii="仿宋_GB2312" w:eastAsia="仿宋_GB2312"/>
                <w:sz w:val="22"/>
                <w:szCs w:val="22"/>
              </w:rPr>
              <w:t>④</w:t>
            </w:r>
            <w:r>
              <w:rPr>
                <w:rFonts w:hint="eastAsia" w:ascii="仿宋_GB2312" w:eastAsia="仿宋_GB2312" w:cs="宋体"/>
                <w:sz w:val="22"/>
                <w:szCs w:val="22"/>
              </w:rPr>
              <w:t>被县级通报批评的，每次扣</w:t>
            </w:r>
            <w:r>
              <w:rPr>
                <w:rFonts w:hint="eastAsia" w:ascii="仿宋_GB2312" w:eastAsia="仿宋_GB2312"/>
                <w:sz w:val="22"/>
                <w:szCs w:val="22"/>
              </w:rPr>
              <w:t>1</w:t>
            </w:r>
            <w:r>
              <w:rPr>
                <w:rFonts w:hint="eastAsia" w:ascii="仿宋_GB2312" w:eastAsia="仿宋_GB2312" w:cs="宋体"/>
                <w:sz w:val="22"/>
                <w:szCs w:val="22"/>
              </w:rPr>
              <w:t>分。</w:t>
            </w:r>
          </w:p>
        </w:tc>
        <w:tc>
          <w:tcPr>
            <w:tcW w:w="750" w:type="dxa"/>
            <w:vAlign w:val="center"/>
          </w:tcPr>
          <w:p>
            <w:pPr>
              <w:spacing w:line="300" w:lineRule="exact"/>
              <w:ind w:left="3" w:firstLine="110" w:firstLineChars="50"/>
              <w:rPr>
                <w:rFonts w:ascii="仿宋_GB2312" w:eastAsia="仿宋_GB2312"/>
                <w:sz w:val="22"/>
                <w:szCs w:val="22"/>
              </w:rPr>
            </w:pPr>
            <w:r>
              <w:rPr>
                <w:rFonts w:hint="eastAsia" w:ascii="仿宋_GB2312" w:eastAsia="仿宋_GB2312"/>
                <w:sz w:val="22"/>
                <w:szCs w:val="22"/>
              </w:rPr>
              <w:t>15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35" w:type="dxa"/>
            <w:left w:w="109" w:type="dxa"/>
            <w:bottom w:w="35" w:type="dxa"/>
            <w:right w:w="111" w:type="dxa"/>
          </w:tblCellMar>
        </w:tblPrEx>
        <w:trPr>
          <w:trHeight w:val="548" w:hRule="atLeast"/>
          <w:jc w:val="center"/>
        </w:trPr>
        <w:tc>
          <w:tcPr>
            <w:tcW w:w="663" w:type="dxa"/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2"/>
                <w:szCs w:val="22"/>
              </w:rPr>
            </w:pPr>
            <w:r>
              <w:rPr>
                <w:rFonts w:hint="eastAsia" w:ascii="仿宋_GB2312" w:eastAsia="仿宋_GB2312"/>
                <w:b/>
                <w:sz w:val="22"/>
                <w:szCs w:val="22"/>
              </w:rPr>
              <w:t>5</w:t>
            </w:r>
          </w:p>
        </w:tc>
        <w:tc>
          <w:tcPr>
            <w:tcW w:w="13826" w:type="dxa"/>
            <w:gridSpan w:val="4"/>
            <w:vAlign w:val="center"/>
          </w:tcPr>
          <w:p>
            <w:pPr>
              <w:spacing w:line="300" w:lineRule="exact"/>
              <w:ind w:left="3"/>
              <w:jc w:val="center"/>
              <w:rPr>
                <w:rFonts w:ascii="仿宋_GB2312" w:eastAsia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被国、省、市通报批评，该年绩效考核一票否决</w:t>
            </w:r>
          </w:p>
        </w:tc>
      </w:tr>
    </w:tbl>
    <w:p>
      <w:pPr>
        <w:spacing w:line="610" w:lineRule="exact"/>
        <w:rPr>
          <w:rFonts w:ascii="仿宋_GB2312" w:eastAsia="仿宋_GB2312"/>
          <w:color w:val="000000"/>
          <w:sz w:val="32"/>
          <w:szCs w:val="32"/>
        </w:rPr>
      </w:pPr>
    </w:p>
    <w:sectPr>
      <w:footerReference r:id="rId3" w:type="default"/>
      <w:pgSz w:w="16838" w:h="11906" w:orient="landscape"/>
      <w:pgMar w:top="1559" w:right="1588" w:bottom="1588" w:left="1588" w:header="851" w:footer="1247" w:gutter="0"/>
      <w:pgNumType w:fmt="numberInDash"/>
      <w:cols w:space="425" w:num="1"/>
      <w:docGrid w:type="linesAndChar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微软雅黑">
    <w:panose1 w:val="020B0503020204020204"/>
    <w:charset w:val="86"/>
    <w:family w:val="swiss"/>
    <w:pitch w:val="default"/>
    <w:sig w:usb0="80000287" w:usb1="28CF3C50" w:usb2="00000016" w:usb3="00000000" w:csb0="0004001F" w:csb1="00000000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___WRD_EMBED_SUB_40">
    <w:altName w:val="宋体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framePr w:wrap="around" w:vAnchor="text" w:hAnchor="margin" w:xAlign="center" w:y="1"/>
      <w:rPr>
        <w:rStyle w:val="10"/>
        <w:sz w:val="20"/>
        <w:szCs w:val="20"/>
      </w:rPr>
    </w:pPr>
    <w:r>
      <w:rPr>
        <w:rStyle w:val="10"/>
        <w:sz w:val="20"/>
        <w:szCs w:val="20"/>
      </w:rPr>
      <w:fldChar w:fldCharType="begin"/>
    </w:r>
    <w:r>
      <w:rPr>
        <w:rStyle w:val="10"/>
        <w:sz w:val="20"/>
        <w:szCs w:val="20"/>
      </w:rPr>
      <w:instrText xml:space="preserve">PAGE  </w:instrText>
    </w:r>
    <w:r>
      <w:rPr>
        <w:rStyle w:val="10"/>
        <w:sz w:val="20"/>
        <w:szCs w:val="20"/>
      </w:rPr>
      <w:fldChar w:fldCharType="separate"/>
    </w:r>
    <w:r>
      <w:rPr>
        <w:rStyle w:val="10"/>
        <w:sz w:val="20"/>
        <w:szCs w:val="20"/>
      </w:rPr>
      <w:t>- 8 -</w:t>
    </w:r>
    <w:r>
      <w:rPr>
        <w:rStyle w:val="10"/>
        <w:sz w:val="20"/>
        <w:szCs w:val="20"/>
      </w:rPr>
      <w:fldChar w:fldCharType="end"/>
    </w:r>
  </w:p>
  <w:p>
    <w:pPr>
      <w:pStyle w:val="3"/>
      <w:spacing w:line="14" w:lineRule="auto"/>
      <w:rPr>
        <w:sz w:val="2"/>
      </w:rPr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 w:val="1"/>
  <w:bordersDoNotSurroundFooter w:val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7378"/>
    <w:rsid w:val="00003067"/>
    <w:rsid w:val="000256DC"/>
    <w:rsid w:val="000261BF"/>
    <w:rsid w:val="00032684"/>
    <w:rsid w:val="00064E8D"/>
    <w:rsid w:val="00071C77"/>
    <w:rsid w:val="00087E53"/>
    <w:rsid w:val="000A58F0"/>
    <w:rsid w:val="00115CBE"/>
    <w:rsid w:val="00137B18"/>
    <w:rsid w:val="00137CE7"/>
    <w:rsid w:val="001637B4"/>
    <w:rsid w:val="00190882"/>
    <w:rsid w:val="00194D57"/>
    <w:rsid w:val="001A5241"/>
    <w:rsid w:val="00210A3D"/>
    <w:rsid w:val="00220917"/>
    <w:rsid w:val="002B206C"/>
    <w:rsid w:val="002D2EC9"/>
    <w:rsid w:val="002E4A48"/>
    <w:rsid w:val="002E4C56"/>
    <w:rsid w:val="00317966"/>
    <w:rsid w:val="00317FB0"/>
    <w:rsid w:val="00357378"/>
    <w:rsid w:val="003A7E2B"/>
    <w:rsid w:val="003F198E"/>
    <w:rsid w:val="003F7306"/>
    <w:rsid w:val="0043218B"/>
    <w:rsid w:val="004329E6"/>
    <w:rsid w:val="004773B0"/>
    <w:rsid w:val="004959AD"/>
    <w:rsid w:val="00497AC5"/>
    <w:rsid w:val="004D13DE"/>
    <w:rsid w:val="004D2237"/>
    <w:rsid w:val="004D4A53"/>
    <w:rsid w:val="004E00CD"/>
    <w:rsid w:val="004E4BAF"/>
    <w:rsid w:val="004F6FE4"/>
    <w:rsid w:val="00510FA9"/>
    <w:rsid w:val="00513EB2"/>
    <w:rsid w:val="0052725B"/>
    <w:rsid w:val="005620F0"/>
    <w:rsid w:val="00562ED3"/>
    <w:rsid w:val="005948F6"/>
    <w:rsid w:val="005C72B5"/>
    <w:rsid w:val="005D6A36"/>
    <w:rsid w:val="005F23E8"/>
    <w:rsid w:val="00611EA1"/>
    <w:rsid w:val="006348F0"/>
    <w:rsid w:val="0066232E"/>
    <w:rsid w:val="0067118B"/>
    <w:rsid w:val="00676409"/>
    <w:rsid w:val="00681A29"/>
    <w:rsid w:val="00687540"/>
    <w:rsid w:val="006D140D"/>
    <w:rsid w:val="006F7A60"/>
    <w:rsid w:val="00716D41"/>
    <w:rsid w:val="00722F02"/>
    <w:rsid w:val="00774AD6"/>
    <w:rsid w:val="007846B7"/>
    <w:rsid w:val="00795B0C"/>
    <w:rsid w:val="007A5015"/>
    <w:rsid w:val="007C33D6"/>
    <w:rsid w:val="007C7962"/>
    <w:rsid w:val="007C7B6B"/>
    <w:rsid w:val="007D15D0"/>
    <w:rsid w:val="007E5919"/>
    <w:rsid w:val="007F5E1B"/>
    <w:rsid w:val="007F7787"/>
    <w:rsid w:val="00834422"/>
    <w:rsid w:val="00850EE5"/>
    <w:rsid w:val="00852A0B"/>
    <w:rsid w:val="00860B4D"/>
    <w:rsid w:val="00866ADA"/>
    <w:rsid w:val="0087668F"/>
    <w:rsid w:val="00895BC5"/>
    <w:rsid w:val="00895ED5"/>
    <w:rsid w:val="008A1B71"/>
    <w:rsid w:val="008B054A"/>
    <w:rsid w:val="008B750A"/>
    <w:rsid w:val="008D0355"/>
    <w:rsid w:val="008D147E"/>
    <w:rsid w:val="008D3371"/>
    <w:rsid w:val="00900BAE"/>
    <w:rsid w:val="00943A8F"/>
    <w:rsid w:val="00955704"/>
    <w:rsid w:val="00961910"/>
    <w:rsid w:val="009831CD"/>
    <w:rsid w:val="00992104"/>
    <w:rsid w:val="009E2758"/>
    <w:rsid w:val="009E32A0"/>
    <w:rsid w:val="00A2674E"/>
    <w:rsid w:val="00A50CB3"/>
    <w:rsid w:val="00A64A84"/>
    <w:rsid w:val="00A732C3"/>
    <w:rsid w:val="00A90DFD"/>
    <w:rsid w:val="00AA0A17"/>
    <w:rsid w:val="00AE0914"/>
    <w:rsid w:val="00B265B0"/>
    <w:rsid w:val="00B27292"/>
    <w:rsid w:val="00B56EAB"/>
    <w:rsid w:val="00B75701"/>
    <w:rsid w:val="00B77F8A"/>
    <w:rsid w:val="00B82A15"/>
    <w:rsid w:val="00BB4D59"/>
    <w:rsid w:val="00BC0F57"/>
    <w:rsid w:val="00BC5383"/>
    <w:rsid w:val="00BD0BED"/>
    <w:rsid w:val="00C023E8"/>
    <w:rsid w:val="00C07F15"/>
    <w:rsid w:val="00CA2333"/>
    <w:rsid w:val="00CC55D3"/>
    <w:rsid w:val="00CF5CF6"/>
    <w:rsid w:val="00D877D5"/>
    <w:rsid w:val="00DA2289"/>
    <w:rsid w:val="00DA418D"/>
    <w:rsid w:val="00DC12D8"/>
    <w:rsid w:val="00E22684"/>
    <w:rsid w:val="00E34331"/>
    <w:rsid w:val="00E52788"/>
    <w:rsid w:val="00E54900"/>
    <w:rsid w:val="00EB0CC1"/>
    <w:rsid w:val="00EF21BF"/>
    <w:rsid w:val="00F27134"/>
    <w:rsid w:val="00F27CB9"/>
    <w:rsid w:val="00F33978"/>
    <w:rsid w:val="00F428E2"/>
    <w:rsid w:val="00F44E65"/>
    <w:rsid w:val="00F7624B"/>
    <w:rsid w:val="00F96CC5"/>
    <w:rsid w:val="00FA5D6D"/>
    <w:rsid w:val="00FB03C1"/>
    <w:rsid w:val="00FB73EC"/>
    <w:rsid w:val="00FE19B1"/>
    <w:rsid w:val="18DC4791"/>
    <w:rsid w:val="1DBC0B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qFormat/>
    <w:uiPriority w:val="0"/>
    <w:pPr>
      <w:keepNext/>
      <w:keepLines/>
      <w:widowControl/>
      <w:spacing w:line="259" w:lineRule="auto"/>
      <w:ind w:left="10" w:hanging="10"/>
      <w:jc w:val="right"/>
      <w:outlineLvl w:val="1"/>
    </w:pPr>
    <w:rPr>
      <w:rFonts w:ascii="微软雅黑" w:hAnsi="微软雅黑" w:eastAsia="微软雅黑" w:cs="微软雅黑"/>
      <w:color w:val="000000"/>
      <w:sz w:val="44"/>
      <w:szCs w:val="22"/>
    </w:rPr>
  </w:style>
  <w:style w:type="character" w:default="1" w:styleId="9">
    <w:name w:val="Default Paragraph Font"/>
    <w:semiHidden/>
    <w:unhideWhenUsed/>
    <w:uiPriority w:val="1"/>
  </w:style>
  <w:style w:type="table" w:default="1" w:styleId="8">
    <w:name w:val="Normal Table"/>
    <w:semiHidden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uiPriority w:val="0"/>
    <w:pPr>
      <w:autoSpaceDE w:val="0"/>
      <w:autoSpaceDN w:val="0"/>
      <w:jc w:val="left"/>
    </w:pPr>
    <w:rPr>
      <w:rFonts w:ascii="宋体" w:hAnsi="宋体" w:cs="宋体"/>
      <w:kern w:val="0"/>
      <w:sz w:val="32"/>
      <w:szCs w:val="32"/>
      <w:lang w:val="zh-CN"/>
    </w:rPr>
  </w:style>
  <w:style w:type="paragraph" w:styleId="4">
    <w:name w:val="Date"/>
    <w:basedOn w:val="1"/>
    <w:next w:val="1"/>
    <w:uiPriority w:val="0"/>
    <w:pPr>
      <w:ind w:left="100" w:leftChars="2500"/>
    </w:pPr>
  </w:style>
  <w:style w:type="paragraph" w:styleId="5">
    <w:name w:val="Balloon Text"/>
    <w:basedOn w:val="1"/>
    <w:link w:val="17"/>
    <w:uiPriority w:val="0"/>
    <w:rPr>
      <w:rFonts w:eastAsia="Times New Roman"/>
      <w:sz w:val="18"/>
      <w:szCs w:val="18"/>
    </w:rPr>
  </w:style>
  <w:style w:type="paragraph" w:styleId="6">
    <w:name w:val="footer"/>
    <w:basedOn w:val="1"/>
    <w:link w:val="12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header"/>
    <w:basedOn w:val="1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10">
    <w:name w:val="page number"/>
    <w:basedOn w:val="9"/>
    <w:uiPriority w:val="0"/>
  </w:style>
  <w:style w:type="paragraph" w:customStyle="1" w:styleId="11">
    <w:name w:val="Table Paragraph"/>
    <w:basedOn w:val="1"/>
    <w:uiPriority w:val="0"/>
    <w:pPr>
      <w:autoSpaceDE w:val="0"/>
      <w:autoSpaceDN w:val="0"/>
    </w:pPr>
    <w:rPr>
      <w:rFonts w:ascii="宋体" w:hAnsi="宋体" w:cs="宋体"/>
      <w:kern w:val="0"/>
      <w:sz w:val="22"/>
      <w:lang w:val="zh-CN"/>
    </w:rPr>
  </w:style>
  <w:style w:type="character" w:customStyle="1" w:styleId="12">
    <w:name w:val="页脚 字符"/>
    <w:link w:val="6"/>
    <w:uiPriority w:val="0"/>
    <w:rPr>
      <w:rFonts w:eastAsia="宋体"/>
      <w:kern w:val="2"/>
      <w:sz w:val="18"/>
      <w:szCs w:val="18"/>
      <w:lang w:val="en-US" w:eastAsia="zh-CN" w:bidi="ar-SA"/>
    </w:rPr>
  </w:style>
  <w:style w:type="character" w:customStyle="1" w:styleId="13">
    <w:name w:val="Header or footer|1_"/>
    <w:link w:val="14"/>
    <w:qFormat/>
    <w:uiPriority w:val="0"/>
    <w:rPr>
      <w:sz w:val="28"/>
      <w:szCs w:val="28"/>
      <w:lang w:val="zh-TW" w:eastAsia="zh-TW" w:bidi="zh-TW"/>
    </w:rPr>
  </w:style>
  <w:style w:type="paragraph" w:customStyle="1" w:styleId="14">
    <w:name w:val="Header or footer|1"/>
    <w:basedOn w:val="1"/>
    <w:link w:val="13"/>
    <w:qFormat/>
    <w:uiPriority w:val="0"/>
    <w:pPr>
      <w:jc w:val="left"/>
    </w:pPr>
    <w:rPr>
      <w:rFonts w:eastAsia="Times New Roman"/>
      <w:kern w:val="0"/>
      <w:sz w:val="28"/>
      <w:szCs w:val="28"/>
      <w:lang w:val="zh-TW" w:eastAsia="zh-TW" w:bidi="zh-TW"/>
    </w:rPr>
  </w:style>
  <w:style w:type="character" w:customStyle="1" w:styleId="15">
    <w:name w:val="Heading #2|1_"/>
    <w:link w:val="16"/>
    <w:qFormat/>
    <w:uiPriority w:val="0"/>
    <w:rPr>
      <w:rFonts w:ascii="宋体" w:hAnsi="宋体" w:cs="宋体"/>
      <w:sz w:val="38"/>
      <w:szCs w:val="38"/>
      <w:lang w:val="zh-TW" w:eastAsia="zh-TW" w:bidi="zh-TW"/>
    </w:rPr>
  </w:style>
  <w:style w:type="paragraph" w:customStyle="1" w:styleId="16">
    <w:name w:val="Heading #2|1"/>
    <w:basedOn w:val="1"/>
    <w:link w:val="15"/>
    <w:qFormat/>
    <w:uiPriority w:val="0"/>
    <w:pPr>
      <w:spacing w:after="560" w:line="605" w:lineRule="exact"/>
      <w:jc w:val="center"/>
      <w:outlineLvl w:val="1"/>
    </w:pPr>
    <w:rPr>
      <w:rFonts w:ascii="宋体" w:hAnsi="宋体" w:eastAsia="Times New Roman" w:cs="宋体"/>
      <w:kern w:val="0"/>
      <w:sz w:val="38"/>
      <w:szCs w:val="38"/>
      <w:lang w:val="zh-TW" w:eastAsia="zh-TW" w:bidi="zh-TW"/>
    </w:rPr>
  </w:style>
  <w:style w:type="character" w:customStyle="1" w:styleId="17">
    <w:name w:val="批注框文本 字符"/>
    <w:link w:val="5"/>
    <w:uiPriority w:val="0"/>
    <w:rPr>
      <w:kern w:val="2"/>
      <w:sz w:val="18"/>
      <w:szCs w:val="18"/>
      <w:lang w:bidi="ar-SA"/>
    </w:rPr>
  </w:style>
  <w:style w:type="character" w:customStyle="1" w:styleId="18">
    <w:name w:val="Other|1_"/>
    <w:link w:val="19"/>
    <w:qFormat/>
    <w:uiPriority w:val="0"/>
    <w:rPr>
      <w:rFonts w:ascii="宋体" w:hAnsi="宋体" w:cs="宋体"/>
      <w:sz w:val="26"/>
      <w:szCs w:val="26"/>
      <w:lang w:val="zh-TW" w:eastAsia="zh-TW" w:bidi="zh-TW"/>
    </w:rPr>
  </w:style>
  <w:style w:type="paragraph" w:customStyle="1" w:styleId="19">
    <w:name w:val="Other|1"/>
    <w:basedOn w:val="1"/>
    <w:link w:val="18"/>
    <w:qFormat/>
    <w:uiPriority w:val="0"/>
    <w:pPr>
      <w:spacing w:line="458" w:lineRule="auto"/>
      <w:ind w:firstLine="400"/>
      <w:jc w:val="left"/>
    </w:pPr>
    <w:rPr>
      <w:rFonts w:ascii="宋体" w:hAnsi="宋体" w:eastAsia="Times New Roman" w:cs="宋体"/>
      <w:kern w:val="0"/>
      <w:sz w:val="26"/>
      <w:szCs w:val="26"/>
      <w:lang w:val="zh-TW" w:eastAsia="zh-TW" w:bidi="zh-TW"/>
    </w:rPr>
  </w:style>
  <w:style w:type="character" w:customStyle="1" w:styleId="20">
    <w:name w:val="Body text|1_"/>
    <w:link w:val="21"/>
    <w:qFormat/>
    <w:uiPriority w:val="0"/>
    <w:rPr>
      <w:rFonts w:ascii="宋体" w:hAnsi="宋体" w:cs="宋体"/>
      <w:sz w:val="26"/>
      <w:szCs w:val="26"/>
      <w:lang w:val="zh-TW" w:eastAsia="zh-TW" w:bidi="zh-TW"/>
    </w:rPr>
  </w:style>
  <w:style w:type="paragraph" w:customStyle="1" w:styleId="21">
    <w:name w:val="Body text|1"/>
    <w:basedOn w:val="1"/>
    <w:link w:val="20"/>
    <w:qFormat/>
    <w:uiPriority w:val="0"/>
    <w:pPr>
      <w:spacing w:line="458" w:lineRule="auto"/>
      <w:ind w:firstLine="400"/>
      <w:jc w:val="left"/>
    </w:pPr>
    <w:rPr>
      <w:rFonts w:ascii="宋体" w:hAnsi="宋体" w:eastAsia="Times New Roman" w:cs="宋体"/>
      <w:kern w:val="0"/>
      <w:sz w:val="26"/>
      <w:szCs w:val="26"/>
      <w:lang w:val="zh-TW" w:eastAsia="zh-TW" w:bidi="zh-TW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 China</Company>
  <Pages>1</Pages>
  <Words>691</Words>
  <Characters>3945</Characters>
  <Lines>32</Lines>
  <Paragraphs>9</Paragraphs>
  <TotalTime>3</TotalTime>
  <ScaleCrop>false</ScaleCrop>
  <LinksUpToDate>false</LinksUpToDate>
  <CharactersWithSpaces>4627</CharactersWithSpaces>
  <Application>WPS Office_11.3.0.8775_F1E327BC-269C-435d-A152-05C5408002CA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2021-07-12T01:38:00Z</dcterms:created>
  <dc:creator>webUser</dc:creator>
  <cp:lastModifiedBy>茜茜</cp:lastModifiedBy>
  <cp:lastPrinted>2021-07-11T01:58:00Z</cp:lastPrinted>
  <dcterms:modified xsi:type="dcterms:W3CDTF">2021-07-13T02:02:13Z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2052-11.3.0.8775</vt:lpwstr>
  </property>
</Properties>
</file>