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;仿宋" w:hAnsi="仿宋_GB2312;仿宋" w:eastAsia="仿宋_GB2312;仿宋" w:cs="仿宋_GB2312;仿宋"/>
          <w:b/>
          <w:color w:val="000000"/>
          <w:sz w:val="52"/>
          <w:szCs w:val="52"/>
        </w:rPr>
      </w:pPr>
      <w:r>
        <w:rPr>
          <w:rFonts w:ascii="仿宋_GB2312;仿宋" w:hAnsi="仿宋_GB2312;仿宋" w:eastAsia="仿宋_GB2312;仿宋" w:cs="仿宋_GB2312;仿宋"/>
          <w:b/>
          <w:color w:val="000000"/>
          <w:sz w:val="52"/>
          <w:szCs w:val="52"/>
        </w:rPr>
        <w:t>衡南县信访局2019年部门预算公开</w:t>
      </w:r>
    </w:p>
    <w:p>
      <w:pPr>
        <w:widowControl/>
        <w:spacing w:after="5" w:line="355" w:lineRule="auto"/>
        <w:ind w:left="644" w:right="1505" w:firstLine="1044"/>
        <w:jc w:val="center"/>
        <w:rPr>
          <w:rFonts w:ascii="仿宋_GB2312;仿宋" w:hAnsi="仿宋_GB2312;仿宋" w:eastAsia="仿宋_GB2312;仿宋" w:cs="仿宋_GB2312;仿宋"/>
          <w:b/>
          <w:sz w:val="52"/>
          <w:szCs w:val="52"/>
        </w:rPr>
      </w:pPr>
      <w:r>
        <w:rPr>
          <w:rFonts w:ascii="仿宋_GB2312;仿宋" w:hAnsi="仿宋_GB2312;仿宋" w:eastAsia="仿宋_GB2312;仿宋" w:cs="仿宋_GB2312;仿宋"/>
          <w:b/>
          <w:sz w:val="52"/>
          <w:szCs w:val="52"/>
        </w:rPr>
        <w:t>目 录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第一部分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衡南县信访局20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19</w:t>
      </w:r>
      <w:r>
        <w:rPr>
          <w:rFonts w:ascii="仿宋" w:hAnsi="仿宋" w:eastAsia="仿宋" w:cs="仿宋"/>
          <w:color w:val="000000"/>
          <w:sz w:val="32"/>
          <w:szCs w:val="22"/>
        </w:rPr>
        <w:t>年部门预算说明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一、部门基本概况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二、部门预算单位构成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三、部门收支总体情况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四、一般公共预算拨款支出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五、政府性基金预算支出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六、其他重要事项的情况说明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七、名词解释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 xml:space="preserve">第二部分 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衡南县信访局20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19</w:t>
      </w:r>
      <w:r>
        <w:rPr>
          <w:rFonts w:ascii="仿宋" w:hAnsi="仿宋" w:eastAsia="仿宋" w:cs="仿宋"/>
          <w:color w:val="000000"/>
          <w:sz w:val="32"/>
          <w:szCs w:val="22"/>
        </w:rPr>
        <w:t>年部门预算表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部门</w:t>
      </w:r>
      <w:r>
        <w:rPr>
          <w:rFonts w:ascii="仿宋" w:hAnsi="仿宋" w:eastAsia="仿宋" w:cs="仿宋"/>
          <w:color w:val="000000"/>
          <w:sz w:val="32"/>
          <w:szCs w:val="22"/>
        </w:rPr>
        <w:t>收支总表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部门</w:t>
      </w:r>
      <w:r>
        <w:rPr>
          <w:rFonts w:ascii="仿宋" w:hAnsi="仿宋" w:eastAsia="仿宋" w:cs="仿宋"/>
          <w:color w:val="000000"/>
          <w:sz w:val="32"/>
          <w:szCs w:val="22"/>
        </w:rPr>
        <w:t>收入总表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3、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部门</w:t>
      </w:r>
      <w:r>
        <w:rPr>
          <w:rFonts w:ascii="仿宋" w:hAnsi="仿宋" w:eastAsia="仿宋" w:cs="仿宋"/>
          <w:color w:val="000000"/>
          <w:sz w:val="32"/>
          <w:szCs w:val="22"/>
        </w:rPr>
        <w:t>支出总表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部门支出总表（按部门预算经济分类）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5、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部门支出总表（按政府经济分类表）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6、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基本支出预算明细表-工资福利支出（按部门预算经济分类）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7、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基本支出预算明细表-工资福利支出（按政府预算经济分类）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8、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基本支出预算明细表-商品和服务支出（按部门预算经济分类）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9、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基本支出预算明细表-商品和服务支出（按政府预算经济分类）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10、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基本支出预算明细表-对个人和家庭的补助（按部门预算经济分类）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11、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基本支出预算明细表-对个人和家庭的补助（按政府预算经济分类）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12、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财政拨款收支总表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13、</w:t>
      </w:r>
      <w:r>
        <w:rPr>
          <w:rFonts w:ascii="仿宋" w:hAnsi="仿宋" w:eastAsia="仿宋" w:cs="仿宋"/>
          <w:color w:val="000000"/>
          <w:sz w:val="32"/>
          <w:szCs w:val="22"/>
        </w:rPr>
        <w:t>一般公共预算支出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情况表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14、</w:t>
      </w:r>
      <w:r>
        <w:rPr>
          <w:rFonts w:ascii="仿宋" w:hAnsi="仿宋" w:eastAsia="仿宋" w:cs="仿宋"/>
          <w:color w:val="000000"/>
          <w:sz w:val="32"/>
          <w:szCs w:val="22"/>
        </w:rPr>
        <w:t>一般公共预算支出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情况表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15、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一般公共预算基本支出预算明细表-工资福利支出（按部门预算经济分类）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16、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基本支出预算明细表--工资福利支出</w:t>
      </w:r>
      <w:r>
        <w:rPr>
          <w:rFonts w:ascii="仿宋" w:hAnsi="仿宋" w:eastAsia="仿宋" w:cs="仿宋"/>
          <w:color w:val="000000"/>
          <w:sz w:val="32"/>
          <w:szCs w:val="22"/>
        </w:rPr>
        <w:t>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17、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一般公共预算基本支出预算明细表-商品服务支出（按部门预算经济分类）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18、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一般公共预算基本支出预算明细表-商品服务支出（按政府预算经济分类）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19、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一般公共预算基本支出预算明细表-对个人和家庭的补助（按部门预算经济分类）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20、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一般公共预算基本支出预算明细表-对个人和家庭的补助（按政府预算经济分类）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21、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一般公共预算拨款-经费拨款预算表（按部门预算经济分类）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hint="eastAsia"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22、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一般公共预算拨款-经费拨款预算表（按政府预算经济分类）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23、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政府性基金预算支出情况表（按部门预算经济分类）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24、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政府性基金预算支出情况表（按政府预算经济分类）</w:t>
      </w:r>
    </w:p>
    <w:p>
      <w:pPr>
        <w:widowControl/>
        <w:overflowPunct w:val="0"/>
        <w:spacing w:after="5" w:line="355" w:lineRule="auto"/>
        <w:ind w:right="-96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hint="eastAsia" w:ascii="仿宋" w:hAnsi="仿宋" w:eastAsia="仿宋" w:cs="仿宋"/>
          <w:color w:val="000000"/>
          <w:sz w:val="32"/>
          <w:szCs w:val="22"/>
          <w:lang w:val="en-US" w:eastAsia="zh-CN"/>
        </w:rPr>
        <w:t>25、</w:t>
      </w:r>
      <w:r>
        <w:rPr>
          <w:rFonts w:hint="eastAsia" w:ascii="仿宋" w:hAnsi="仿宋" w:eastAsia="仿宋" w:cs="仿宋"/>
          <w:color w:val="000000"/>
          <w:sz w:val="32"/>
          <w:szCs w:val="22"/>
        </w:rPr>
        <w:t>一般公共预算“三公”经费预算表</w:t>
      </w: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widowControl/>
        <w:overflowPunct w:val="0"/>
        <w:spacing w:after="5" w:line="355" w:lineRule="auto"/>
        <w:ind w:left="6" w:right="-96" w:firstLine="214"/>
        <w:rPr>
          <w:rFonts w:ascii="仿宋" w:hAnsi="仿宋" w:eastAsia="仿宋" w:cs="仿宋"/>
          <w:color w:val="000000"/>
          <w:sz w:val="32"/>
          <w:szCs w:val="22"/>
        </w:rPr>
      </w:pPr>
      <w:r>
        <w:rPr>
          <w:rFonts w:ascii="仿宋" w:hAnsi="仿宋" w:eastAsia="仿宋" w:cs="仿宋"/>
          <w:color w:val="000000"/>
          <w:sz w:val="32"/>
          <w:szCs w:val="22"/>
        </w:rPr>
        <w:t>注：以上部门预算报表中，空表表示本部门无相关收支情况。</w:t>
      </w:r>
    </w:p>
    <w:p>
      <w:pPr>
        <w:widowControl/>
        <w:spacing w:after="5" w:line="355" w:lineRule="auto"/>
        <w:ind w:left="644" w:right="1505" w:firstLine="640"/>
        <w:jc w:val="left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pStyle w:val="2"/>
        <w:rPr>
          <w:rFonts w:ascii="仿宋" w:hAnsi="仿宋" w:eastAsia="仿宋" w:cs="仿宋"/>
          <w:color w:val="000000"/>
          <w:sz w:val="32"/>
          <w:szCs w:val="22"/>
        </w:rPr>
      </w:pPr>
    </w:p>
    <w:p>
      <w:pPr>
        <w:widowControl/>
        <w:spacing w:before="312" w:after="312" w:line="320" w:lineRule="atLeast"/>
        <w:textAlignment w:val="baseline"/>
        <w:rPr>
          <w:rFonts w:ascii="仿宋" w:hAnsi="仿宋" w:eastAsia="仿宋" w:cs="仿宋"/>
          <w:color w:val="000000"/>
          <w:sz w:val="24"/>
        </w:rPr>
      </w:pPr>
      <w:r>
        <w:rPr>
          <w:rFonts w:ascii="仿宋" w:hAnsi="仿宋" w:eastAsia="仿宋" w:cs="仿宋"/>
          <w:b/>
          <w:color w:val="000000"/>
          <w:kern w:val="0"/>
          <w:sz w:val="36"/>
          <w:szCs w:val="36"/>
          <w:lang w:bidi="ar"/>
        </w:rPr>
        <w:t>第一部分：</w:t>
      </w:r>
    </w:p>
    <w:p>
      <w:pPr>
        <w:widowControl/>
        <w:spacing w:before="312" w:after="312" w:line="320" w:lineRule="atLeast"/>
        <w:textAlignment w:val="baseline"/>
        <w:rPr>
          <w:rFonts w:ascii="仿宋" w:hAnsi="仿宋" w:eastAsia="仿宋" w:cs="仿宋"/>
          <w:color w:val="000000"/>
          <w:sz w:val="24"/>
        </w:rPr>
      </w:pPr>
      <w:r>
        <w:rPr>
          <w:rFonts w:ascii="仿宋" w:hAnsi="仿宋" w:eastAsia="仿宋" w:cs="仿宋"/>
          <w:b/>
          <w:color w:val="000000"/>
          <w:kern w:val="0"/>
          <w:sz w:val="36"/>
          <w:szCs w:val="36"/>
          <w:lang w:bidi="ar"/>
        </w:rPr>
        <w:t>衡南县信访局2019年部门预算说明</w:t>
      </w:r>
    </w:p>
    <w:p>
      <w:pPr>
        <w:widowControl/>
        <w:overflowPunct w:val="0"/>
        <w:spacing w:before="180" w:after="180" w:line="360" w:lineRule="auto"/>
        <w:ind w:left="-840" w:right="-932" w:firstLine="482"/>
        <w:textAlignment w:val="baseline"/>
        <w:rPr>
          <w:rFonts w:ascii="仿宋" w:hAnsi="仿宋" w:eastAsia="仿宋" w:cs="仿宋"/>
          <w:b/>
          <w:color w:val="000000"/>
          <w:kern w:val="0"/>
          <w:sz w:val="32"/>
          <w:szCs w:val="32"/>
          <w:lang w:bidi="ar"/>
        </w:rPr>
      </w:pPr>
      <w:r>
        <w:rPr>
          <w:rFonts w:ascii="仿宋" w:hAnsi="仿宋" w:eastAsia="仿宋" w:cs="仿宋"/>
          <w:b/>
          <w:color w:val="000000"/>
          <w:kern w:val="0"/>
          <w:sz w:val="32"/>
          <w:szCs w:val="32"/>
          <w:lang w:bidi="ar"/>
        </w:rPr>
        <w:t>　一、部门基本概况 </w:t>
      </w:r>
    </w:p>
    <w:p>
      <w:pPr>
        <w:widowControl/>
        <w:overflowPunct w:val="0"/>
        <w:spacing w:before="180" w:after="180" w:line="360" w:lineRule="auto"/>
        <w:ind w:left="-840" w:right="-932" w:firstLine="482"/>
        <w:textAlignment w:val="baseline"/>
        <w:rPr>
          <w:rFonts w:ascii="仿宋" w:hAnsi="仿宋" w:eastAsia="仿宋" w:cs="仿宋"/>
          <w:b/>
          <w:color w:val="000000"/>
          <w:kern w:val="0"/>
          <w:sz w:val="32"/>
          <w:szCs w:val="32"/>
          <w:lang w:bidi="ar"/>
        </w:rPr>
      </w:pPr>
      <w:r>
        <w:rPr>
          <w:rFonts w:ascii="仿宋" w:hAnsi="仿宋" w:eastAsia="仿宋" w:cs="仿宋"/>
          <w:b/>
          <w:color w:val="000000"/>
          <w:kern w:val="0"/>
          <w:sz w:val="32"/>
          <w:szCs w:val="32"/>
          <w:lang w:bidi="ar"/>
        </w:rPr>
        <w:t>（一）职能职责</w:t>
      </w:r>
    </w:p>
    <w:p>
      <w:pPr>
        <w:widowControl/>
        <w:overflowPunct w:val="0"/>
        <w:spacing w:before="180" w:after="180" w:line="360" w:lineRule="auto"/>
        <w:ind w:left="-519" w:right="-932" w:firstLine="16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　1.贯彻执行中央、省、市颁发的各项信访工作法律、法规及规章制度，并拟定实施意见。</w:t>
      </w:r>
    </w:p>
    <w:p>
      <w:pPr>
        <w:widowControl/>
        <w:overflowPunct w:val="0"/>
        <w:spacing w:before="180" w:after="180" w:line="360" w:lineRule="auto"/>
        <w:ind w:left="-519" w:right="-932" w:firstLine="48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2.负责受理、交办、转送信访人向县委、县政府提出的信访事项。负责做好县委、县政府领导同志接待上访群众的组织服务工作。</w:t>
      </w:r>
    </w:p>
    <w:p>
      <w:pPr>
        <w:widowControl/>
        <w:overflowPunct w:val="0"/>
        <w:spacing w:before="180" w:after="180" w:line="360" w:lineRule="auto"/>
        <w:ind w:left="-519" w:right="-932" w:firstLine="16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3.承办中央和国家机关、省委和省政府、市委和市政府及县委、县政府交办的信访事项，督促检查领导同志有关信访批示件的落实情况。向乡镇和县直部门交办信访事项，督促检查信访事项的处理和落实情况。</w:t>
      </w:r>
    </w:p>
    <w:p>
      <w:pPr>
        <w:widowControl/>
        <w:overflowPunct w:val="0"/>
        <w:spacing w:before="180" w:after="180" w:line="360" w:lineRule="auto"/>
        <w:ind w:left="-519" w:right="-932" w:firstLine="16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4.综合反映群众信访中的重要情况和带政策性、倾向性、苗头性问题和社会动态，研究、统计、分析信访情况，及时向县委、县政府提出完善政策和改进工作的建议。</w:t>
      </w:r>
    </w:p>
    <w:p>
      <w:pPr>
        <w:widowControl/>
        <w:overflowPunct w:val="0"/>
        <w:spacing w:before="180" w:after="180" w:line="360" w:lineRule="auto"/>
        <w:ind w:left="-519" w:right="-932" w:firstLine="16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5.协同有关部门处理跨地区、跨部门的重大信访问题。协调处理群众到来县到市赴省进京上访和异常、突发性信访事项。</w:t>
      </w:r>
    </w:p>
    <w:p>
      <w:pPr>
        <w:widowControl/>
        <w:overflowPunct w:val="0"/>
        <w:spacing w:before="180" w:after="180" w:line="360" w:lineRule="auto"/>
        <w:ind w:left="-520" w:right="-932" w:hanging="320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   6.承担县信访工作联席会议的日常工作，督促落实联席会议决定的事项。承担县政府信访事项复查复核办公室的日常工作，负责县政府信访事项的复查复核工作。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     7.负责信访工作宣传和理论研讨，总结推广信访工作经验，提出改进和加强信访工作的意见。对全县各级党政单位的信访工作进行指导、督促、协调、检查、考核。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    8.负责全县网上投诉处理工作。指导全县信访信息系统建设和应用。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    9.掌握全县信访工作队伍建设情况，提出加强信访队伍建设意见措施。对信访工作中失职、渎职行为提出处理意见。组织信访干部培训。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     （二）机构设置</w:t>
      </w:r>
    </w:p>
    <w:p>
      <w:pPr>
        <w:overflowPunct w:val="0"/>
        <w:ind w:left="-519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本局现有在职干部职工10人，其中全额拨款行政编制9人，差额编制1 人，退休人员4人，设内设机构6个：办公室、接访股、网信股、督查股、复查复核股、人民来访接待中心。</w:t>
      </w:r>
    </w:p>
    <w:p>
      <w:pPr>
        <w:overflowPunct w:val="0"/>
        <w:ind w:left="-519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  </w:t>
      </w:r>
      <w:r>
        <w:rPr>
          <w:rFonts w:ascii="仿宋" w:hAnsi="仿宋" w:eastAsia="仿宋" w:cs="仿宋"/>
          <w:b/>
          <w:bCs/>
          <w:sz w:val="32"/>
          <w:szCs w:val="32"/>
        </w:rPr>
        <w:t xml:space="preserve"> 二、部门预算单位构成</w:t>
      </w:r>
    </w:p>
    <w:p>
      <w:pPr>
        <w:overflowPunct w:val="0"/>
        <w:ind w:left="-519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纳入2019年部门预算编制范围：衡南县信访局本级。　</w:t>
      </w:r>
    </w:p>
    <w:p>
      <w:pPr>
        <w:overflowPunct w:val="0"/>
        <w:ind w:right="-932" w:firstLine="32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ascii="仿宋" w:hAnsi="仿宋" w:eastAsia="仿宋" w:cs="仿宋"/>
          <w:b/>
          <w:bCs/>
          <w:sz w:val="32"/>
          <w:szCs w:val="32"/>
        </w:rPr>
        <w:t>三、部门收支总体情况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　　  </w:t>
      </w:r>
      <w:r>
        <w:rPr>
          <w:rFonts w:ascii="仿宋" w:hAnsi="仿宋" w:eastAsia="仿宋" w:cs="仿宋"/>
          <w:sz w:val="32"/>
          <w:szCs w:val="32"/>
        </w:rPr>
        <w:t>2019年部门预算即我局本级预算。2019年政府性基金预算拨款0元、国有资本经营预算收入0元、纳入专户管理的非税收入拨款收入0元，政府性基金预算拨款0元、国有资本经营预算收入和纳入专户管理的非税收入拨款安排的支出0元。收入均为财政经费拨款；支出包括工资福利支出、一般商品和服务支出、专项商品和服务支出。全年预算收支平衡。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（一）收入预算：2019年年初预算数133.47万元。收入较去年减少207.6万元，减少156%，主要是因为县财政调整了我办专项经费预算支出。 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　　（二）支出预算：2019年年初预算数133.47万元，其中，工资福利支出74.67万元，占比55.9%；一般商品和服务支出4.8万元，占比3.6%；专项经费54万元，40.45%。支出较去年减少207.83万元，减少幅度156%。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　　</w:t>
      </w:r>
      <w:r>
        <w:rPr>
          <w:rFonts w:ascii="仿宋" w:hAnsi="仿宋" w:eastAsia="仿宋" w:cs="仿宋"/>
          <w:b/>
          <w:bCs/>
          <w:sz w:val="32"/>
          <w:szCs w:val="32"/>
        </w:rPr>
        <w:t xml:space="preserve"> 四、一般公共预算拨款支出预算 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2019年一般公共预算拨款收入133.47万元，具体安排情况如下： 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（一）基本支出：2019年基本支出年初预算数为79.47万元，是指为保障单位机构正常运转、完成日常工作任务而发生的各项支出，包括用于基本工资、津贴补贴等人员经费以及办公费、印刷费、水电费、办公设备购置等日常公用经费。 </w:t>
      </w:r>
    </w:p>
    <w:p>
      <w:pPr>
        <w:overflowPunct w:val="0"/>
        <w:ind w:left="-520" w:right="-932" w:hanging="3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　　（二）项目支出：2019年项目支出年初预算数为54万元，是指单位为完成特定行政工作任务或事业发展目标而发生的支出，包括有关业务工作经费和运行维护经费。我局主要是为了做好人民信访工作，更好地维护群众合法权益、促进社会和谐稳定，受理、交办、转送信访事项，做好网上信访工作，承担县信访工作联席会议的日常工作以及接访劝访、信访救助等工作而发生的支出。</w:t>
      </w:r>
    </w:p>
    <w:p>
      <w:pPr>
        <w:spacing w:line="600" w:lineRule="exact"/>
        <w:ind w:firstLine="301" w:firstLineChars="100"/>
        <w:jc w:val="left"/>
        <w:rPr>
          <w:rFonts w:ascii="仿宋" w:hAnsi="仿宋" w:eastAsia="仿宋" w:cs="仿宋"/>
          <w:b/>
          <w:bCs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kern w:val="0"/>
          <w:sz w:val="30"/>
          <w:szCs w:val="30"/>
        </w:rPr>
        <w:t>五、无政府性基金预算支出</w:t>
      </w:r>
    </w:p>
    <w:p>
      <w:pPr>
        <w:pStyle w:val="2"/>
      </w:pP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</w:t>
      </w:r>
      <w:r>
        <w:rPr>
          <w:rFonts w:ascii="仿宋" w:hAnsi="仿宋" w:eastAsia="仿宋" w:cs="仿宋"/>
          <w:b/>
          <w:bCs/>
          <w:sz w:val="32"/>
          <w:szCs w:val="32"/>
        </w:rPr>
        <w:t xml:space="preserve"> 六、其他重要事项的情况说明 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 1、机关运行经费 </w:t>
      </w:r>
    </w:p>
    <w:p>
      <w:pPr>
        <w:overflowPunct w:val="0"/>
        <w:ind w:left="-840" w:right="-932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 2019年我局运行经费为8.2万元，与2018年预算持平。 </w:t>
      </w:r>
    </w:p>
    <w:p>
      <w:pPr>
        <w:overflowPunct w:val="0"/>
        <w:ind w:left="-200" w:right="-932" w:firstLine="320"/>
      </w:pPr>
      <w:r>
        <w:rPr>
          <w:rFonts w:ascii="仿宋" w:hAnsi="仿宋" w:eastAsia="仿宋" w:cs="仿宋"/>
          <w:sz w:val="32"/>
          <w:szCs w:val="32"/>
        </w:rPr>
        <w:t xml:space="preserve">2、“三公”经费预算 </w:t>
      </w:r>
    </w:p>
    <w:p>
      <w:pPr>
        <w:overflowPunct w:val="0"/>
        <w:ind w:left="120" w:right="-932" w:hanging="96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　　  2019年我局“三公”经费预算数为3.4万元，其中，公务接待费3.4万元，比2018年“三公”经费减少38%，公务用车购置及运行费 0万元（其中，公务用车购置费0万元，公务用车运行费0万元），因公出国（境）费0 万元。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比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2018年预算减少3.1万元，下降47.69%，</w:t>
      </w:r>
      <w:r>
        <w:rPr>
          <w:rFonts w:ascii="仿宋" w:hAnsi="仿宋" w:eastAsia="仿宋" w:cs="仿宋"/>
          <w:sz w:val="32"/>
          <w:szCs w:val="32"/>
        </w:rPr>
        <w:t xml:space="preserve">主要原因遵循国家政策厉行节约。 </w:t>
      </w:r>
    </w:p>
    <w:p>
      <w:pPr>
        <w:overflowPunct w:val="0"/>
        <w:ind w:left="-2" w:right="-932" w:hanging="8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     3、政府采购情况 </w:t>
      </w:r>
    </w:p>
    <w:p>
      <w:pPr>
        <w:overflowPunct w:val="0"/>
        <w:ind w:left="-2" w:right="-932" w:hanging="8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    2019年我局政府采购预算总额40.23万元，其中，政府采购货物预算29.23万元，政府采购服务预算11万元。 </w:t>
      </w:r>
    </w:p>
    <w:p>
      <w:pPr>
        <w:widowControl/>
        <w:overflowPunct w:val="0"/>
        <w:spacing w:line="360" w:lineRule="auto"/>
        <w:ind w:left="122" w:right="-313" w:firstLine="75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4、国有资产占用使用情况说明：截止2018年12月31日，我局无大额固定资产购入，本单位共有车辆0辆，单位价值50万元以上通用设备0台（套），单位价值100万元以上专用设备0台（套）。</w:t>
      </w:r>
    </w:p>
    <w:p>
      <w:pPr>
        <w:overflowPunct w:val="0"/>
        <w:ind w:left="122" w:right="-932" w:firstLine="75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5、预算绩效目标说明：本部门整体支出和项目支出实行绩效目标管理，纳入2019年部门整体支出绩效目标的金额为133.47万元，其中基本支出79.47万元，项目支出54万元。　　</w:t>
      </w:r>
    </w:p>
    <w:p>
      <w:pPr>
        <w:overflowPunct w:val="0"/>
        <w:ind w:left="122" w:right="-932" w:firstLine="755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七</w:t>
      </w:r>
      <w:r>
        <w:rPr>
          <w:rFonts w:ascii="仿宋" w:hAnsi="仿宋" w:eastAsia="仿宋" w:cs="仿宋"/>
          <w:b/>
          <w:bCs/>
          <w:sz w:val="32"/>
          <w:szCs w:val="32"/>
        </w:rPr>
        <w:t>、名词解释</w:t>
      </w:r>
      <w:r>
        <w:rPr>
          <w:rFonts w:ascii="仿宋" w:hAnsi="仿宋" w:eastAsia="仿宋" w:cs="仿宋"/>
          <w:sz w:val="32"/>
          <w:szCs w:val="32"/>
        </w:rPr>
        <w:t xml:space="preserve"> </w:t>
      </w:r>
    </w:p>
    <w:p>
      <w:pPr>
        <w:overflowPunct w:val="0"/>
        <w:ind w:left="120" w:right="-932" w:hanging="96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　　     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 </w:t>
      </w:r>
    </w:p>
    <w:p>
      <w:pPr>
        <w:overflowPunct w:val="0"/>
        <w:ind w:right="-932" w:firstLine="64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2、“三公”经费：纳入县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>
      <w:pPr>
        <w:pStyle w:val="2"/>
        <w:overflowPunct w:val="0"/>
        <w:ind w:left="-840" w:right="-932" w:firstLine="270"/>
        <w:rPr>
          <w:rFonts w:ascii="仿宋" w:hAnsi="仿宋" w:eastAsia="仿宋" w:cs="仿宋"/>
          <w:sz w:val="32"/>
          <w:szCs w:val="32"/>
        </w:rPr>
      </w:pPr>
    </w:p>
    <w:p>
      <w:pPr>
        <w:pStyle w:val="2"/>
        <w:overflowPunct w:val="0"/>
        <w:ind w:left="-840" w:right="-932" w:firstLine="270"/>
      </w:pPr>
    </w:p>
    <w:p>
      <w:pPr>
        <w:widowControl/>
        <w:shd w:val="clear" w:color="auto" w:fill="FFFFFF"/>
        <w:jc w:val="left"/>
      </w:pPr>
      <w:r>
        <w:rPr>
          <w:rFonts w:ascii="仿宋" w:hAnsi="仿宋" w:eastAsia="仿宋" w:cs="仿宋"/>
          <w:b/>
          <w:bCs/>
          <w:kern w:val="0"/>
          <w:sz w:val="32"/>
          <w:szCs w:val="32"/>
        </w:rPr>
        <w:t>第二部分：</w:t>
      </w:r>
    </w:p>
    <w:p>
      <w:pPr>
        <w:widowControl/>
        <w:shd w:val="clear" w:color="auto" w:fill="FFFFFF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ascii="仿宋" w:hAnsi="仿宋" w:eastAsia="仿宋" w:cs="仿宋"/>
          <w:kern w:val="0"/>
          <w:sz w:val="32"/>
          <w:szCs w:val="32"/>
        </w:rPr>
        <w:t>　附件：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衡南县信访局</w:t>
      </w:r>
      <w:bookmarkStart w:id="0" w:name="_GoBack"/>
      <w:bookmarkEnd w:id="0"/>
      <w:r>
        <w:rPr>
          <w:rFonts w:ascii="仿宋" w:hAnsi="仿宋" w:eastAsia="仿宋" w:cs="仿宋"/>
          <w:color w:val="000000"/>
          <w:sz w:val="32"/>
          <w:szCs w:val="32"/>
        </w:rPr>
        <w:t>2019年预算公开表(25张表）</w:t>
      </w:r>
    </w:p>
    <w:sectPr>
      <w:footerReference r:id="rId3" w:type="default"/>
      <w:pgSz w:w="11906" w:h="16838"/>
      <w:pgMar w:top="1440" w:right="1800" w:bottom="1440" w:left="1380" w:header="0" w:footer="992" w:gutter="0"/>
      <w:cols w:space="720" w:num="1"/>
      <w:formProt w:val="0"/>
      <w:docGrid w:type="lines" w:linePitch="312" w:charSpace="430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_GB2312;仿宋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0325" cy="114935"/>
              <wp:effectExtent l="0" t="0" r="0" b="0"/>
              <wp:wrapNone/>
              <wp:docPr id="1" name="框架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760" cy="1144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720" tIns="720" rIns="720" bIns="72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框架1" o:spid="_x0000_s1026" o:spt="1" style="position:absolute;left:0pt;margin-top:0.05pt;height:9.05pt;width:4.75pt;mso-position-horizontal:center;mso-position-horizontal-relative:margin;z-index:-251657216;mso-width-relative:page;mso-height-relative:page;" filled="f" stroked="f" coordsize="21600,21600" o:allowincell="f" o:gfxdata="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vzN3k9MAAAACAQAADwAAAAAAAAABACAAAAAiAAAAZHJzL2Rvd25yZXYueG1sUEsBAhQAFAAAAAgA&#10;h07iQPkcjm64AQAAfgMAAA4AAAAAAAAAAQAgAAAAIgEAAGRycy9lMm9Eb2MueG1sUEsFBgAAAAAG&#10;AAYAWQEAAEwFAAAAAA==&#10;">
              <v:fill on="f" focussize="0,0"/>
              <v:stroke on="f" weight="0pt"/>
              <v:imagedata o:title=""/>
              <o:lock v:ext="edit" aspectratio="f"/>
              <v:textbox inset="0.02mm,0.02mm,0.02mm,0.02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autoHyphenation/>
  <w:characterSpacingControl w:val="doNotCompress"/>
  <w:compat>
    <w:noLeading/>
    <w:balanceSingleByteDoubleByteWidth/>
    <w:doNotExpandShiftReturn/>
    <w:useFELayout/>
    <w:compatSetting w:name="compatibilityMode" w:uri="http://schemas.microsoft.com/office/word" w:val="14"/>
  </w:compat>
  <w:rsids>
    <w:rsidRoot w:val="00914E81"/>
    <w:rsid w:val="00166FA1"/>
    <w:rsid w:val="001C2954"/>
    <w:rsid w:val="005B6DEE"/>
    <w:rsid w:val="0077308A"/>
    <w:rsid w:val="00895FDD"/>
    <w:rsid w:val="00914E81"/>
    <w:rsid w:val="00B909F8"/>
    <w:rsid w:val="00D53460"/>
    <w:rsid w:val="29415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新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eastAsia="宋体"/>
      <w:kern w:val="2"/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8</Pages>
  <Words>468</Words>
  <Characters>2670</Characters>
  <Lines>22</Lines>
  <Paragraphs>6</Paragraphs>
  <TotalTime>17</TotalTime>
  <ScaleCrop>false</ScaleCrop>
  <LinksUpToDate>false</LinksUpToDate>
  <CharactersWithSpaces>3132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2021-06-01T16:26:00Z</dcterms:created>
  <dc:creator>webUser</dc:creator>
  <cp:lastModifiedBy>Administrator</cp:lastModifiedBy>
  <dcterms:modified xsi:type="dcterms:W3CDTF">2021-06-29T02:31:57Z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5D041DF1E26C44A8B732E2B85E9705A4</vt:lpwstr>
  </property>
  <property fmtid="{D5CDD505-2E9C-101B-9397-08002B2CF9AE}" pid="3" name="KSOProductBuildVer">
    <vt:lpwstr>2052-11.1.0.10495</vt:lpwstr>
  </property>
</Properties>
</file>