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pBdr>
          <w:top w:val="none" w:color="000000" w:sz="0" w:space="0"/>
          <w:left w:val="none" w:color="000000" w:sz="0" w:space="0"/>
          <w:bottom w:val="none" w:color="000000" w:sz="0" w:space="0"/>
          <w:right w:val="none" w:color="000000" w:sz="0" w:space="0"/>
        </w:pBdr>
        <w:spacing w:before="312" w:after="312" w:line="320" w:lineRule="atLeast"/>
        <w:jc w:val="center"/>
        <w:textAlignment w:val="baseline"/>
        <w:rPr>
          <w:rFonts w:hint="eastAsia" w:ascii="黑体" w:hAnsi="宋体" w:eastAsia="黑体" w:cs="黑体"/>
          <w:b/>
          <w:color w:val="000000"/>
          <w:kern w:val="0"/>
          <w:sz w:val="36"/>
          <w:szCs w:val="36"/>
          <w:lang w:bidi="ar"/>
        </w:rPr>
      </w:pPr>
      <w:r>
        <w:rPr>
          <w:rFonts w:ascii="黑体" w:hAnsi="宋体" w:eastAsia="黑体" w:cs="黑体"/>
          <w:b/>
          <w:color w:val="000000"/>
          <w:kern w:val="0"/>
          <w:sz w:val="36"/>
          <w:szCs w:val="36"/>
          <w:lang w:bidi="ar"/>
        </w:rPr>
        <w:t>衡南县</w:t>
      </w:r>
      <w:r>
        <w:rPr>
          <w:rFonts w:hint="eastAsia" w:ascii="黑体" w:hAnsi="宋体" w:eastAsia="黑体" w:cs="黑体"/>
          <w:b/>
          <w:color w:val="000000"/>
          <w:kern w:val="0"/>
          <w:sz w:val="36"/>
          <w:szCs w:val="36"/>
          <w:lang w:bidi="ar"/>
        </w:rPr>
        <w:t>人民政府政务服务中心</w:t>
      </w:r>
      <w:r>
        <w:rPr>
          <w:rFonts w:ascii="黑体" w:hAnsi="宋体" w:eastAsia="黑体" w:cs="黑体"/>
          <w:b/>
          <w:color w:val="000000"/>
          <w:kern w:val="0"/>
          <w:sz w:val="36"/>
          <w:szCs w:val="36"/>
          <w:lang w:bidi="ar"/>
        </w:rPr>
        <w:t>2019年部门预算公开</w:t>
      </w:r>
    </w:p>
    <w:p>
      <w:pPr>
        <w:widowControl/>
        <w:spacing w:after="5" w:line="355" w:lineRule="auto"/>
        <w:ind w:left="644" w:right="1505" w:firstLine="1044"/>
        <w:jc w:val="center"/>
        <w:rPr>
          <w:rFonts w:ascii="仿宋_GB2312;仿宋" w:hAnsi="仿宋_GB2312;仿宋" w:eastAsia="仿宋_GB2312;仿宋" w:cs="仿宋_GB2312;仿宋"/>
          <w:b/>
          <w:sz w:val="52"/>
          <w:szCs w:val="52"/>
        </w:rPr>
      </w:pPr>
      <w:r>
        <w:rPr>
          <w:rFonts w:ascii="仿宋_GB2312;仿宋" w:hAnsi="仿宋_GB2312;仿宋" w:eastAsia="仿宋_GB2312;仿宋" w:cs="仿宋_GB2312;仿宋"/>
          <w:b/>
          <w:sz w:val="52"/>
          <w:szCs w:val="52"/>
        </w:rPr>
        <w:t>目 录</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第一部分</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衡南县</w:t>
      </w:r>
      <w:r>
        <w:rPr>
          <w:rFonts w:hint="eastAsia" w:ascii="仿宋" w:hAnsi="仿宋" w:eastAsia="仿宋" w:cs="仿宋"/>
          <w:color w:val="000000"/>
          <w:sz w:val="32"/>
        </w:rPr>
        <w:t>人民政府政务服务中心</w:t>
      </w:r>
      <w:r>
        <w:rPr>
          <w:rFonts w:ascii="仿宋" w:hAnsi="仿宋" w:eastAsia="仿宋" w:cs="仿宋"/>
          <w:color w:val="000000"/>
          <w:sz w:val="32"/>
        </w:rPr>
        <w:t>20</w:t>
      </w:r>
      <w:r>
        <w:rPr>
          <w:rFonts w:hint="eastAsia" w:ascii="仿宋" w:hAnsi="仿宋" w:eastAsia="仿宋" w:cs="仿宋"/>
          <w:color w:val="000000"/>
          <w:sz w:val="32"/>
        </w:rPr>
        <w:t>19</w:t>
      </w:r>
      <w:r>
        <w:rPr>
          <w:rFonts w:ascii="仿宋" w:hAnsi="仿宋" w:eastAsia="仿宋" w:cs="仿宋"/>
          <w:color w:val="000000"/>
          <w:sz w:val="32"/>
        </w:rPr>
        <w:t>年部门预算说明</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一、部门基本概况</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二、部门预算单位构成</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三、部门收支总体情况</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四、一般公共预算拨款支出</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五、政府性基金预算支出</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六、其他重要事项的情况说明</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七、名词解释</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 xml:space="preserve">第二部分 </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衡南县信访局20</w:t>
      </w:r>
      <w:r>
        <w:rPr>
          <w:rFonts w:hint="eastAsia" w:ascii="仿宋" w:hAnsi="仿宋" w:eastAsia="仿宋" w:cs="仿宋"/>
          <w:color w:val="000000"/>
          <w:sz w:val="32"/>
        </w:rPr>
        <w:t>19</w:t>
      </w:r>
      <w:r>
        <w:rPr>
          <w:rFonts w:ascii="仿宋" w:hAnsi="仿宋" w:eastAsia="仿宋" w:cs="仿宋"/>
          <w:color w:val="000000"/>
          <w:sz w:val="32"/>
        </w:rPr>
        <w:t>年部门预算表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w:t>
      </w:r>
      <w:r>
        <w:rPr>
          <w:rFonts w:hint="eastAsia" w:ascii="仿宋" w:hAnsi="仿宋" w:eastAsia="仿宋" w:cs="仿宋"/>
          <w:color w:val="000000"/>
          <w:sz w:val="32"/>
        </w:rPr>
        <w:t>部门</w:t>
      </w:r>
      <w:r>
        <w:rPr>
          <w:rFonts w:ascii="仿宋" w:hAnsi="仿宋" w:eastAsia="仿宋" w:cs="仿宋"/>
          <w:color w:val="000000"/>
          <w:sz w:val="32"/>
        </w:rPr>
        <w:t>收支总表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w:t>
      </w:r>
      <w:r>
        <w:rPr>
          <w:rFonts w:hint="eastAsia" w:ascii="仿宋" w:hAnsi="仿宋" w:eastAsia="仿宋" w:cs="仿宋"/>
          <w:color w:val="000000"/>
          <w:sz w:val="32"/>
        </w:rPr>
        <w:t>部门</w:t>
      </w:r>
      <w:r>
        <w:rPr>
          <w:rFonts w:ascii="仿宋" w:hAnsi="仿宋" w:eastAsia="仿宋" w:cs="仿宋"/>
          <w:color w:val="000000"/>
          <w:sz w:val="32"/>
        </w:rPr>
        <w:t>收入总表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3、</w:t>
      </w:r>
      <w:r>
        <w:rPr>
          <w:rFonts w:hint="eastAsia" w:ascii="仿宋" w:hAnsi="仿宋" w:eastAsia="仿宋" w:cs="仿宋"/>
          <w:color w:val="000000"/>
          <w:sz w:val="32"/>
        </w:rPr>
        <w:t>部门</w:t>
      </w:r>
      <w:r>
        <w:rPr>
          <w:rFonts w:ascii="仿宋" w:hAnsi="仿宋" w:eastAsia="仿宋" w:cs="仿宋"/>
          <w:color w:val="000000"/>
          <w:sz w:val="32"/>
        </w:rPr>
        <w:t>支出总表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4、</w:t>
      </w:r>
      <w:r>
        <w:rPr>
          <w:rFonts w:hint="eastAsia" w:ascii="仿宋" w:hAnsi="仿宋" w:eastAsia="仿宋" w:cs="仿宋"/>
          <w:color w:val="000000"/>
          <w:sz w:val="32"/>
        </w:rPr>
        <w:t>部门支出总表（按部门预算经济分类）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5、</w:t>
      </w:r>
      <w:r>
        <w:rPr>
          <w:rFonts w:hint="eastAsia" w:ascii="仿宋" w:hAnsi="仿宋" w:eastAsia="仿宋" w:cs="仿宋"/>
          <w:color w:val="000000"/>
          <w:sz w:val="32"/>
        </w:rPr>
        <w:t>部门支出总表（按政府经济分类表）</w:t>
      </w:r>
    </w:p>
    <w:p>
      <w:pPr>
        <w:widowControl/>
        <w:overflowPunct w:val="0"/>
        <w:spacing w:after="5" w:line="355" w:lineRule="auto"/>
        <w:ind w:right="-96" w:firstLine="320" w:firstLineChars="100"/>
        <w:rPr>
          <w:rFonts w:ascii="仿宋" w:hAnsi="仿宋" w:eastAsia="仿宋" w:cs="仿宋"/>
          <w:color w:val="000000"/>
          <w:sz w:val="32"/>
        </w:rPr>
      </w:pPr>
      <w:r>
        <w:rPr>
          <w:rFonts w:hint="eastAsia" w:ascii="仿宋" w:hAnsi="仿宋" w:eastAsia="仿宋" w:cs="仿宋"/>
          <w:color w:val="000000"/>
          <w:sz w:val="32"/>
          <w:lang w:val="en-US" w:eastAsia="zh-CN"/>
        </w:rPr>
        <w:t>6、</w:t>
      </w:r>
      <w:r>
        <w:rPr>
          <w:rFonts w:hint="eastAsia" w:ascii="仿宋" w:hAnsi="仿宋" w:eastAsia="仿宋" w:cs="仿宋"/>
          <w:color w:val="000000"/>
          <w:sz w:val="32"/>
        </w:rPr>
        <w:t>基本支出预算明细表-工资福利支出（按部门预算经济分类）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7、</w:t>
      </w:r>
      <w:r>
        <w:rPr>
          <w:rFonts w:hint="eastAsia" w:ascii="仿宋" w:hAnsi="仿宋" w:eastAsia="仿宋" w:cs="仿宋"/>
          <w:color w:val="000000"/>
          <w:sz w:val="32"/>
        </w:rPr>
        <w:t>基本支出预算明细表-工资福利支出（按政府预算经济分类）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8、</w:t>
      </w:r>
      <w:r>
        <w:rPr>
          <w:rFonts w:hint="eastAsia" w:ascii="仿宋" w:hAnsi="仿宋" w:eastAsia="仿宋" w:cs="仿宋"/>
          <w:color w:val="000000"/>
          <w:sz w:val="32"/>
        </w:rPr>
        <w:t>基本支出预算明细表-商品和服务支出（按部门预算经济分类）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9、</w:t>
      </w:r>
      <w:r>
        <w:rPr>
          <w:rFonts w:hint="eastAsia" w:ascii="仿宋" w:hAnsi="仿宋" w:eastAsia="仿宋" w:cs="仿宋"/>
          <w:color w:val="000000"/>
          <w:sz w:val="32"/>
        </w:rPr>
        <w:t>基本支出预算明细表-商品和服务支出（按政府预算经济分类）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10、</w:t>
      </w:r>
      <w:r>
        <w:rPr>
          <w:rFonts w:hint="eastAsia" w:ascii="仿宋" w:hAnsi="仿宋" w:eastAsia="仿宋" w:cs="仿宋"/>
          <w:color w:val="000000"/>
          <w:sz w:val="32"/>
        </w:rPr>
        <w:t>基本支出预算明细表-对个人和家庭的补助（按部门预算经济分类）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11、</w:t>
      </w:r>
      <w:r>
        <w:rPr>
          <w:rFonts w:hint="eastAsia" w:ascii="仿宋" w:hAnsi="仿宋" w:eastAsia="仿宋" w:cs="仿宋"/>
          <w:color w:val="000000"/>
          <w:sz w:val="32"/>
        </w:rPr>
        <w:t>基本支出预算明细表-对个人和家庭的补助（按政府预算经济分类）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12、</w:t>
      </w:r>
      <w:r>
        <w:rPr>
          <w:rFonts w:hint="eastAsia" w:ascii="仿宋" w:hAnsi="仿宋" w:eastAsia="仿宋" w:cs="仿宋"/>
          <w:color w:val="000000"/>
          <w:sz w:val="32"/>
        </w:rPr>
        <w:t>财政拨款收支总表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13、</w:t>
      </w:r>
      <w:r>
        <w:rPr>
          <w:rFonts w:ascii="仿宋" w:hAnsi="仿宋" w:eastAsia="仿宋" w:cs="仿宋"/>
          <w:color w:val="000000"/>
          <w:sz w:val="32"/>
        </w:rPr>
        <w:t>一般公共预算支出</w:t>
      </w:r>
      <w:r>
        <w:rPr>
          <w:rFonts w:hint="eastAsia" w:ascii="仿宋" w:hAnsi="仿宋" w:eastAsia="仿宋" w:cs="仿宋"/>
          <w:color w:val="000000"/>
          <w:sz w:val="32"/>
        </w:rPr>
        <w:t>情况表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14、</w:t>
      </w:r>
      <w:r>
        <w:rPr>
          <w:rFonts w:ascii="仿宋" w:hAnsi="仿宋" w:eastAsia="仿宋" w:cs="仿宋"/>
          <w:color w:val="000000"/>
          <w:sz w:val="32"/>
        </w:rPr>
        <w:t>一般公共预算支出</w:t>
      </w:r>
      <w:r>
        <w:rPr>
          <w:rFonts w:hint="eastAsia" w:ascii="仿宋" w:hAnsi="仿宋" w:eastAsia="仿宋" w:cs="仿宋"/>
          <w:color w:val="000000"/>
          <w:sz w:val="32"/>
        </w:rPr>
        <w:t>情况表</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15、</w:t>
      </w:r>
      <w:r>
        <w:rPr>
          <w:rFonts w:hint="eastAsia" w:ascii="仿宋" w:hAnsi="仿宋" w:eastAsia="仿宋" w:cs="仿宋"/>
          <w:color w:val="000000"/>
          <w:sz w:val="32"/>
        </w:rPr>
        <w:t>一般公共预算基本支出预算明细表-工资福利支出（按部门预算经济分类）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16、</w:t>
      </w:r>
      <w:r>
        <w:rPr>
          <w:rFonts w:hint="eastAsia" w:ascii="仿宋" w:hAnsi="仿宋" w:eastAsia="仿宋" w:cs="仿宋"/>
          <w:color w:val="000000"/>
          <w:sz w:val="32"/>
        </w:rPr>
        <w:t>基本支出预算明细表--工资福利支出</w:t>
      </w:r>
      <w:r>
        <w:rPr>
          <w:rFonts w:ascii="仿宋" w:hAnsi="仿宋" w:eastAsia="仿宋" w:cs="仿宋"/>
          <w:color w:val="000000"/>
          <w:sz w:val="32"/>
        </w:rPr>
        <w:t>（按政府预算经济分类）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17、</w:t>
      </w:r>
      <w:r>
        <w:rPr>
          <w:rFonts w:hint="eastAsia" w:ascii="仿宋" w:hAnsi="仿宋" w:eastAsia="仿宋" w:cs="仿宋"/>
          <w:color w:val="000000"/>
          <w:sz w:val="32"/>
        </w:rPr>
        <w:t>一般公共预算基本支出预算明细表-商品服务支出（按部门预算经济分类）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18、</w:t>
      </w:r>
      <w:r>
        <w:rPr>
          <w:rFonts w:hint="eastAsia" w:ascii="仿宋" w:hAnsi="仿宋" w:eastAsia="仿宋" w:cs="仿宋"/>
          <w:color w:val="000000"/>
          <w:sz w:val="32"/>
        </w:rPr>
        <w:t>一般公共预算基本支出预算明细表-商品服务支出（按政府预算经济分类）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19、</w:t>
      </w:r>
      <w:r>
        <w:rPr>
          <w:rFonts w:hint="eastAsia" w:ascii="仿宋" w:hAnsi="仿宋" w:eastAsia="仿宋" w:cs="仿宋"/>
          <w:color w:val="000000"/>
          <w:sz w:val="32"/>
        </w:rPr>
        <w:t>一般公共预算基本支出预算明细表-对个人和家庭的补助（按部门预算经济分类）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20、</w:t>
      </w:r>
      <w:r>
        <w:rPr>
          <w:rFonts w:hint="eastAsia" w:ascii="仿宋" w:hAnsi="仿宋" w:eastAsia="仿宋" w:cs="仿宋"/>
          <w:color w:val="000000"/>
          <w:sz w:val="32"/>
        </w:rPr>
        <w:t>一般公共预算基本支出预算明细表-对个人和家庭的补助（按政府预算经济分类）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21、</w:t>
      </w:r>
      <w:r>
        <w:rPr>
          <w:rFonts w:hint="eastAsia" w:ascii="仿宋" w:hAnsi="仿宋" w:eastAsia="仿宋" w:cs="仿宋"/>
          <w:color w:val="000000"/>
          <w:sz w:val="32"/>
        </w:rPr>
        <w:t>一般公共预算拨款-经费拨款预算表（按部门预算经济分类）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22、</w:t>
      </w:r>
      <w:r>
        <w:rPr>
          <w:rFonts w:hint="eastAsia" w:ascii="仿宋" w:hAnsi="仿宋" w:eastAsia="仿宋" w:cs="仿宋"/>
          <w:color w:val="000000"/>
          <w:sz w:val="32"/>
        </w:rPr>
        <w:t>一般公共预算拨款-经费拨款预算表（按政府预算经济分类）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23、</w:t>
      </w:r>
      <w:r>
        <w:rPr>
          <w:rFonts w:hint="eastAsia" w:ascii="仿宋" w:hAnsi="仿宋" w:eastAsia="仿宋" w:cs="仿宋"/>
          <w:color w:val="000000"/>
          <w:sz w:val="32"/>
        </w:rPr>
        <w:t>政府性基金预算支出情况表（按部门预算经济分类）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24、</w:t>
      </w:r>
      <w:r>
        <w:rPr>
          <w:rFonts w:hint="eastAsia" w:ascii="仿宋" w:hAnsi="仿宋" w:eastAsia="仿宋" w:cs="仿宋"/>
          <w:color w:val="000000"/>
          <w:sz w:val="32"/>
        </w:rPr>
        <w:t>政府性基金预算支出情况表（按政府预算经济分类）</w:t>
      </w:r>
    </w:p>
    <w:p>
      <w:pPr>
        <w:widowControl/>
        <w:overflowPunct w:val="0"/>
        <w:spacing w:after="5" w:line="355" w:lineRule="auto"/>
        <w:ind w:left="6" w:right="-96" w:firstLine="214"/>
        <w:rPr>
          <w:rFonts w:ascii="仿宋" w:hAnsi="仿宋" w:eastAsia="仿宋" w:cs="仿宋"/>
          <w:color w:val="000000"/>
          <w:sz w:val="32"/>
        </w:rPr>
      </w:pPr>
      <w:r>
        <w:rPr>
          <w:rFonts w:hint="eastAsia" w:ascii="仿宋" w:hAnsi="仿宋" w:eastAsia="仿宋" w:cs="仿宋"/>
          <w:color w:val="000000"/>
          <w:sz w:val="32"/>
          <w:lang w:val="en-US" w:eastAsia="zh-CN"/>
        </w:rPr>
        <w:t>25、</w:t>
      </w:r>
      <w:r>
        <w:rPr>
          <w:rFonts w:hint="eastAsia" w:ascii="仿宋" w:hAnsi="仿宋" w:eastAsia="仿宋" w:cs="仿宋"/>
          <w:color w:val="000000"/>
          <w:sz w:val="32"/>
        </w:rPr>
        <w:t>一般公共预算“三公”经费预算表</w:t>
      </w:r>
    </w:p>
    <w:p>
      <w:pPr>
        <w:widowControl/>
        <w:overflowPunct w:val="0"/>
        <w:spacing w:after="5" w:line="355" w:lineRule="auto"/>
        <w:ind w:left="6" w:right="-96" w:firstLine="214"/>
        <w:rPr>
          <w:rFonts w:ascii="仿宋" w:hAnsi="仿宋" w:eastAsia="仿宋" w:cs="仿宋"/>
          <w:color w:val="000000"/>
          <w:sz w:val="32"/>
        </w:rPr>
      </w:pPr>
      <w:r>
        <w:rPr>
          <w:rFonts w:ascii="仿宋" w:hAnsi="仿宋" w:eastAsia="仿宋" w:cs="仿宋"/>
          <w:color w:val="000000"/>
          <w:sz w:val="32"/>
        </w:rPr>
        <w:t>注：以上部门预算报表中，空表表示本部门无相关收支情况。</w:t>
      </w:r>
    </w:p>
    <w:p>
      <w:pPr>
        <w:widowControl/>
        <w:pBdr>
          <w:top w:val="none" w:color="000000" w:sz="0" w:space="0"/>
          <w:left w:val="none" w:color="000000" w:sz="0" w:space="0"/>
          <w:bottom w:val="none" w:color="000000" w:sz="0" w:space="0"/>
          <w:right w:val="none" w:color="000000" w:sz="0" w:space="0"/>
        </w:pBdr>
        <w:spacing w:before="312" w:after="312" w:line="320" w:lineRule="atLeast"/>
        <w:jc w:val="center"/>
        <w:textAlignment w:val="baseline"/>
        <w:rPr>
          <w:rFonts w:ascii="Helvetica" w:hAnsi="Helvetica" w:eastAsia="Helvetica" w:cs="Helvetica"/>
          <w:color w:val="000000"/>
          <w:sz w:val="24"/>
          <w:szCs w:val="24"/>
        </w:rPr>
      </w:pPr>
    </w:p>
    <w:p>
      <w:pPr>
        <w:widowControl/>
        <w:pBdr>
          <w:top w:val="none" w:color="000000" w:sz="0" w:space="0"/>
          <w:left w:val="none" w:color="000000" w:sz="0" w:space="0"/>
          <w:bottom w:val="none" w:color="000000" w:sz="0" w:space="0"/>
          <w:right w:val="none" w:color="000000" w:sz="0" w:space="0"/>
        </w:pBdr>
        <w:spacing w:before="312" w:after="312" w:line="320" w:lineRule="atLeast"/>
        <w:textAlignment w:val="baseline"/>
        <w:rPr>
          <w:rFonts w:ascii="Helvetica" w:hAnsi="Helvetica" w:eastAsia="Helvetica" w:cs="Helvetica"/>
          <w:color w:val="000000"/>
          <w:sz w:val="24"/>
          <w:szCs w:val="24"/>
        </w:rPr>
      </w:pPr>
      <w:r>
        <w:rPr>
          <w:rFonts w:hint="eastAsia" w:ascii="黑体" w:hAnsi="宋体" w:eastAsia="黑体" w:cs="黑体"/>
          <w:b/>
          <w:color w:val="000000"/>
          <w:kern w:val="0"/>
          <w:sz w:val="36"/>
          <w:szCs w:val="36"/>
          <w:lang w:bidi="ar"/>
        </w:rPr>
        <w:t>第一部分：</w:t>
      </w:r>
    </w:p>
    <w:p>
      <w:pPr>
        <w:widowControl/>
        <w:pBdr>
          <w:top w:val="none" w:color="000000" w:sz="0" w:space="0"/>
          <w:left w:val="none" w:color="000000" w:sz="0" w:space="0"/>
          <w:bottom w:val="none" w:color="000000" w:sz="0" w:space="0"/>
          <w:right w:val="none" w:color="000000" w:sz="0" w:space="0"/>
        </w:pBdr>
        <w:spacing w:before="312" w:after="312" w:line="320" w:lineRule="atLeast"/>
        <w:jc w:val="left"/>
        <w:textAlignment w:val="baseline"/>
        <w:rPr>
          <w:rFonts w:ascii="黑体" w:hAnsi="黑体" w:eastAsia="黑体" w:cs="宋体"/>
          <w:b/>
          <w:color w:val="000000"/>
          <w:kern w:val="0"/>
          <w:sz w:val="28"/>
          <w:szCs w:val="28"/>
          <w:lang w:bidi="ar"/>
        </w:rPr>
      </w:pPr>
      <w:r>
        <w:rPr>
          <w:rFonts w:ascii="宋体" w:hAnsi="宋体" w:eastAsia="宋体" w:cs="宋体"/>
          <w:b/>
          <w:color w:val="000000"/>
          <w:kern w:val="0"/>
          <w:sz w:val="28"/>
          <w:szCs w:val="28"/>
          <w:lang w:bidi="ar"/>
        </w:rPr>
        <w:t>　</w:t>
      </w:r>
      <w:r>
        <w:rPr>
          <w:rFonts w:ascii="黑体" w:hAnsi="黑体" w:eastAsia="黑体" w:cs="宋体"/>
          <w:b/>
          <w:color w:val="000000"/>
          <w:kern w:val="0"/>
          <w:sz w:val="28"/>
          <w:szCs w:val="28"/>
          <w:lang w:bidi="ar"/>
        </w:rPr>
        <w:t>一、部门基本概况</w:t>
      </w:r>
      <w:r>
        <w:rPr>
          <w:rFonts w:ascii="宋体" w:hAnsi="宋体" w:eastAsia="黑体" w:cs="宋体"/>
          <w:b/>
          <w:color w:val="000000"/>
          <w:kern w:val="0"/>
          <w:sz w:val="28"/>
          <w:szCs w:val="28"/>
          <w:lang w:bidi="ar"/>
        </w:rPr>
        <w:t> </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
          <w:color w:val="000000"/>
          <w:kern w:val="0"/>
          <w:sz w:val="28"/>
          <w:szCs w:val="28"/>
          <w:lang w:bidi="ar"/>
        </w:rPr>
      </w:pPr>
      <w:r>
        <w:rPr>
          <w:rFonts w:hint="eastAsia" w:ascii="宋体" w:hAnsi="宋体" w:eastAsia="宋体" w:cs="宋体"/>
          <w:b/>
          <w:color w:val="000000"/>
          <w:kern w:val="0"/>
          <w:sz w:val="28"/>
          <w:szCs w:val="28"/>
          <w:lang w:bidi="ar"/>
        </w:rPr>
        <w:t>一、主要职责</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（一）会同相关部门规范县级行政审批事项、公共服务事项办理，并组织对其流程进行优化。</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（二）负责全县政务公开、公共企事业单位办事公开、村务公开的指导、协调、服务、监督和考核；</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（三）负责县政务服务中心的建设和管理，制定各项制度、管理办法，并组织实施；</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（四）组织县级部门集中开展行政审批和公共服务；负责对县级行政审批事项、公共服务事项办理工作进行监督；对涉及两个及以上部门的行政审批、公共服务事项，组织开展并联审批并督促检查；</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（五）指导进入县政务服务中心的部门窗口开展规范、优质、高效的政务服务，组织对窗口及其工作人员进行管理考核；组织进驻窗口的党员开展组织活动；参与县级组织部门对其行政审批股负责人的任免；</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（六）负责管理电子政务大厅，完善全县政务服务网络建设；组织实施网上审批，对县级所有行政审批与公共服务事项相关信息进行公开并提供查询；</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（七）受理公民、法人或其他组织对县政务服务中心的工作人员投诉、举报并及时处理；</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（八）指导乡镇（办事处）政务服务工作和全县政务服务中心建设工作；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（九）负责为县级重大投资项目提供行政审批绿色通道、全程代办和跟踪服务，为企业和投资者提供行政审批信息咨询，对投资项目办理提供跟踪服务；</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（十）负责组织建设项目竣工综合验收；</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（十一）承办县人民政府交办的其他事项。</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二、内设机构</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根据上述职责，县政务服务中心设4个内设机构：</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（一）办公室</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负责中心的日常事务和综合性工作；负责中心的文件起草、文字综合、档案管理、财务管理和财产管理工作；负责中心的组织、人事、机构编制、社会保障、宣传和党务等工作；负责后勤服务保障工作。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 xml:space="preserve">    （二）审批服务股</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会同相关部门规范全县行政审批事项、公共服务事项和其他事项办理；组织相关部门对行政审批事项、公共服务事项和其他事项进行流程优化，对政务服务中心各窗口政务服务事项办事指南进行审核；对进驻中心的公共服务部门和中介服务机构的业务办理进行指导和管理；对部门在政务服务中心设置服务窗口进行审核并提出建议；对进入和退出政务服务中心集中受理、办理的政务服务事项进行审核；负责指导乡镇（办事处）政务服务工作和政务服务中心建设；会同相关部门拟订并联审批实施方案和工作制度，组织相关部门在县政务服务中心开展并联审批工作；负责组织建设项目竣工综合验收；负责县级重大投资项目审批代理服务。</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（三）督查协调股</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拟订政务服务中心业务管理制度并监督实施；对政务服务中心工作人员进行日常管理和考核；对依法决定撤销或者停止执行的已纳入政务服务中心集中受理、办理的政务服务事项，确保该事项在规定期限内停止执行；负责受理各类政务服务的咨询、查询；监督集中受理、办理的政务服务事项，适时通报政务服务工作情况；负责对进驻中心的部门（单位）的服务工作实施绩效考核，对派驻中心的工作人员实施日常管理和年度考核；会同县监察局受理并办理服务对象的投诉，并进行行政效能监督；负责政务服务中心大厅突发事件处置；负责网上在线办理系统的日常管理工作。</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（四）政务公开指导股</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贯彻执行有关政务公开工作的法律法规；负责全县政务公开、政府信息公开、公共企事业单位办事公开、村务公开工作规划的制订并组织实施；负责编制政府信息公开指南、政府信息公开目录、政府信息公开年度报告；负责监督考核公共企事业单位（水、电、气、公交、医院、学校、中介机构等）办事公开；负责指导乡镇（办事处）便民服务中心规范化建设和村（社区）便民服务点建设；负责全县政务公开工作的业务培训；负责全县政务公开工作的业务指导、组织协调、考核管理。</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宋体" w:hAnsi="宋体" w:eastAsia="宋体" w:cs="宋体"/>
          <w:bCs/>
          <w:color w:val="000000"/>
          <w:kern w:val="0"/>
          <w:sz w:val="28"/>
          <w:szCs w:val="28"/>
          <w:lang w:bidi="ar"/>
        </w:rPr>
      </w:pPr>
      <w:r>
        <w:rPr>
          <w:rFonts w:hint="eastAsia" w:ascii="宋体" w:hAnsi="宋体" w:eastAsia="宋体" w:cs="宋体"/>
          <w:bCs/>
          <w:color w:val="000000"/>
          <w:kern w:val="0"/>
          <w:sz w:val="28"/>
          <w:szCs w:val="28"/>
          <w:lang w:bidi="ar"/>
        </w:rPr>
        <w:t>纪检监察、工会、共青团、妇委会按相关规定和章程设置。</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480"/>
        <w:jc w:val="left"/>
        <w:textAlignment w:val="baseline"/>
        <w:rPr>
          <w:rFonts w:ascii="黑体" w:hAnsi="黑体" w:eastAsia="黑体" w:cs="仿宋_GB2312"/>
          <w:bCs/>
          <w:color w:val="000000"/>
          <w:kern w:val="0"/>
          <w:sz w:val="28"/>
          <w:szCs w:val="28"/>
          <w:lang w:bidi="ar"/>
        </w:rPr>
      </w:pPr>
      <w:r>
        <w:rPr>
          <w:rFonts w:ascii="Arial" w:hAnsi="Arial" w:eastAsia="宋体" w:cs="Arial"/>
          <w:bCs/>
          <w:color w:val="333333"/>
          <w:sz w:val="28"/>
          <w:szCs w:val="28"/>
          <w:shd w:val="clear" w:color="auto" w:fill="FFFFFF"/>
        </w:rPr>
        <w:t>　</w:t>
      </w:r>
      <w:r>
        <w:rPr>
          <w:rFonts w:ascii="黑体" w:hAnsi="黑体" w:eastAsia="黑体" w:cs="仿宋_GB2312"/>
          <w:bCs/>
          <w:color w:val="000000"/>
          <w:kern w:val="0"/>
          <w:sz w:val="28"/>
          <w:szCs w:val="28"/>
          <w:lang w:bidi="ar"/>
        </w:rPr>
        <w:t>二、部门预算单位构成</w:t>
      </w:r>
    </w:p>
    <w:p>
      <w:pPr>
        <w:widowControl/>
        <w:pBdr>
          <w:top w:val="none" w:color="000000" w:sz="0" w:space="0"/>
          <w:left w:val="none" w:color="000000" w:sz="0" w:space="0"/>
          <w:bottom w:val="none" w:color="000000" w:sz="0" w:space="0"/>
          <w:right w:val="none" w:color="000000" w:sz="0" w:space="0"/>
        </w:pBdr>
        <w:spacing w:before="312" w:after="312" w:line="320" w:lineRule="atLeast"/>
        <w:ind w:left="23" w:leftChars="11" w:firstLine="733" w:firstLineChars="262"/>
        <w:jc w:val="left"/>
        <w:textAlignment w:val="baseline"/>
        <w:rPr>
          <w:rFonts w:ascii="Calibri" w:hAnsi="Calibri" w:eastAsia="宋体" w:cs="Times New Roman"/>
          <w:bCs/>
          <w:sz w:val="28"/>
          <w:szCs w:val="28"/>
        </w:rPr>
      </w:pPr>
      <w:r>
        <w:rPr>
          <w:rFonts w:hint="eastAsia" w:ascii="Calibri" w:hAnsi="Calibri" w:eastAsia="宋体" w:cs="Times New Roman"/>
          <w:bCs/>
          <w:sz w:val="28"/>
          <w:szCs w:val="28"/>
        </w:rPr>
        <w:t>我中心只有本级，没有二级预算单位，因此，纳入2019年部门预算编制范围的只有中心本级。本次纳入涉改单位待三定出来后再定。</w:t>
      </w:r>
    </w:p>
    <w:p>
      <w:pPr>
        <w:widowControl/>
        <w:pBdr>
          <w:top w:val="none" w:color="000000" w:sz="0" w:space="0"/>
          <w:left w:val="none" w:color="000000" w:sz="0" w:space="0"/>
          <w:bottom w:val="none" w:color="000000" w:sz="0" w:space="0"/>
          <w:right w:val="none" w:color="000000" w:sz="0" w:space="0"/>
        </w:pBdr>
        <w:spacing w:before="312" w:after="312" w:line="320" w:lineRule="atLeast"/>
        <w:ind w:left="23" w:leftChars="11" w:firstLine="733" w:firstLineChars="262"/>
        <w:jc w:val="left"/>
        <w:textAlignment w:val="baseline"/>
        <w:rPr>
          <w:rFonts w:ascii="黑体" w:hAnsi="黑体" w:eastAsia="黑体" w:cs="Arial"/>
          <w:bCs/>
          <w:color w:val="333333"/>
          <w:sz w:val="28"/>
          <w:szCs w:val="28"/>
        </w:rPr>
      </w:pPr>
      <w:r>
        <w:rPr>
          <w:rFonts w:ascii="黑体" w:hAnsi="黑体" w:eastAsia="黑体" w:cs="仿宋_GB2312"/>
          <w:bCs/>
          <w:color w:val="000000"/>
          <w:kern w:val="0"/>
          <w:sz w:val="28"/>
          <w:szCs w:val="28"/>
          <w:lang w:bidi="ar"/>
        </w:rPr>
        <w:t>三、部门收支总体情况</w:t>
      </w:r>
    </w:p>
    <w:p>
      <w:pPr>
        <w:rPr>
          <w:rFonts w:ascii="Calibri" w:hAnsi="Calibri" w:eastAsia="宋体" w:cs="Times New Roman"/>
          <w:bCs/>
          <w:sz w:val="28"/>
          <w:szCs w:val="28"/>
        </w:rPr>
      </w:pPr>
      <w:r>
        <w:rPr>
          <w:rFonts w:ascii="Arial" w:hAnsi="Arial" w:eastAsia="宋体" w:cs="Arial"/>
          <w:bCs/>
          <w:color w:val="333333"/>
          <w:sz w:val="28"/>
          <w:szCs w:val="28"/>
          <w:shd w:val="clear" w:color="auto" w:fill="FFFFFF"/>
        </w:rPr>
        <w:t>　　</w:t>
      </w:r>
      <w:r>
        <w:rPr>
          <w:rFonts w:hint="eastAsia" w:ascii="Calibri" w:hAnsi="Calibri" w:eastAsia="宋体" w:cs="Times New Roman"/>
          <w:bCs/>
          <w:sz w:val="28"/>
          <w:szCs w:val="28"/>
        </w:rPr>
        <w:t>2019年部门预算即我中心本级预算。我局2019年没有政府性基金预算拨款、国有资本经营预算收入和纳入专户管理的非税收入拨款收入，也没有使用政府性基金预算拨款、国有资本经营预算收入和纳入专户管理的非税收入拨款安排的支出。收入均为财政经费拨款；支出包括工资福利支出、一般商品和服务支出、专项商品和服务支出。全年预算收支平衡。</w:t>
      </w:r>
    </w:p>
    <w:p>
      <w:pPr>
        <w:rPr>
          <w:rFonts w:ascii="Calibri" w:hAnsi="Calibri" w:eastAsia="宋体" w:cs="Times New Roman"/>
          <w:bCs/>
          <w:sz w:val="28"/>
          <w:szCs w:val="28"/>
        </w:rPr>
      </w:pPr>
      <w:r>
        <w:rPr>
          <w:rFonts w:hint="eastAsia" w:ascii="Calibri" w:hAnsi="Calibri" w:eastAsia="宋体" w:cs="Times New Roman"/>
          <w:bCs/>
          <w:sz w:val="28"/>
          <w:szCs w:val="28"/>
        </w:rPr>
        <w:t>　　（一）收入预算：2019年年初预算数</w:t>
      </w:r>
      <w:r>
        <w:rPr>
          <w:rFonts w:ascii="Calibri" w:hAnsi="Calibri" w:eastAsia="宋体" w:cs="Times New Roman"/>
          <w:bCs/>
          <w:sz w:val="28"/>
          <w:szCs w:val="28"/>
        </w:rPr>
        <w:t>172.25</w:t>
      </w:r>
      <w:r>
        <w:rPr>
          <w:rFonts w:hint="eastAsia" w:ascii="Calibri" w:hAnsi="Calibri" w:eastAsia="宋体" w:cs="Times New Roman"/>
          <w:bCs/>
          <w:sz w:val="28"/>
          <w:szCs w:val="28"/>
        </w:rPr>
        <w:t>万元。收入较去年减少</w:t>
      </w:r>
      <w:r>
        <w:rPr>
          <w:rFonts w:ascii="Calibri" w:hAnsi="Calibri" w:eastAsia="宋体" w:cs="Times New Roman"/>
          <w:bCs/>
          <w:sz w:val="28"/>
          <w:szCs w:val="28"/>
        </w:rPr>
        <w:t>61.26</w:t>
      </w:r>
      <w:r>
        <w:rPr>
          <w:rFonts w:hint="eastAsia" w:ascii="Calibri" w:hAnsi="Calibri" w:eastAsia="宋体" w:cs="Times New Roman"/>
          <w:bCs/>
          <w:sz w:val="28"/>
          <w:szCs w:val="28"/>
        </w:rPr>
        <w:t xml:space="preserve">万元，主要是因为县财政调整了我办专项经费预算支出。 </w:t>
      </w:r>
    </w:p>
    <w:p>
      <w:pPr>
        <w:rPr>
          <w:rFonts w:ascii="Calibri" w:hAnsi="Calibri" w:eastAsia="宋体" w:cs="Times New Roman"/>
          <w:bCs/>
          <w:sz w:val="28"/>
          <w:szCs w:val="28"/>
        </w:rPr>
      </w:pPr>
      <w:r>
        <w:rPr>
          <w:rFonts w:hint="eastAsia" w:ascii="Calibri" w:hAnsi="Calibri" w:eastAsia="宋体" w:cs="Times New Roman"/>
          <w:bCs/>
          <w:sz w:val="28"/>
          <w:szCs w:val="28"/>
        </w:rPr>
        <w:t>　　（二）支出预算：2019年年初预算数</w:t>
      </w:r>
      <w:r>
        <w:rPr>
          <w:rFonts w:ascii="Calibri" w:hAnsi="Calibri" w:eastAsia="宋体" w:cs="Times New Roman"/>
          <w:bCs/>
          <w:sz w:val="28"/>
          <w:szCs w:val="28"/>
        </w:rPr>
        <w:t>172.25</w:t>
      </w:r>
      <w:r>
        <w:rPr>
          <w:rFonts w:hint="eastAsia" w:ascii="Calibri" w:hAnsi="Calibri" w:eastAsia="宋体" w:cs="Times New Roman"/>
          <w:bCs/>
          <w:sz w:val="28"/>
          <w:szCs w:val="28"/>
        </w:rPr>
        <w:t>万元，其中，工资福利支出</w:t>
      </w:r>
      <w:r>
        <w:rPr>
          <w:rFonts w:ascii="Calibri" w:hAnsi="Calibri" w:eastAsia="宋体" w:cs="Times New Roman"/>
          <w:bCs/>
          <w:sz w:val="28"/>
          <w:szCs w:val="28"/>
        </w:rPr>
        <w:t>118.19</w:t>
      </w:r>
      <w:r>
        <w:rPr>
          <w:rFonts w:hint="eastAsia" w:ascii="Calibri" w:hAnsi="Calibri" w:eastAsia="宋体" w:cs="Times New Roman"/>
          <w:bCs/>
          <w:sz w:val="28"/>
          <w:szCs w:val="28"/>
        </w:rPr>
        <w:t>万元，一般商品和服务支出</w:t>
      </w:r>
      <w:r>
        <w:rPr>
          <w:rFonts w:ascii="Calibri" w:hAnsi="Calibri" w:eastAsia="宋体" w:cs="Times New Roman"/>
          <w:bCs/>
          <w:sz w:val="28"/>
          <w:szCs w:val="28"/>
        </w:rPr>
        <w:t>8.4</w:t>
      </w:r>
      <w:r>
        <w:rPr>
          <w:rFonts w:hint="eastAsia" w:ascii="Calibri" w:hAnsi="Calibri" w:eastAsia="宋体" w:cs="Times New Roman"/>
          <w:bCs/>
          <w:sz w:val="28"/>
          <w:szCs w:val="28"/>
        </w:rPr>
        <w:t>万元，专项经费</w:t>
      </w:r>
      <w:r>
        <w:rPr>
          <w:rFonts w:ascii="Calibri" w:hAnsi="Calibri" w:eastAsia="宋体" w:cs="Times New Roman"/>
          <w:bCs/>
          <w:sz w:val="28"/>
          <w:szCs w:val="28"/>
        </w:rPr>
        <w:t>45.66</w:t>
      </w:r>
      <w:r>
        <w:rPr>
          <w:rFonts w:hint="eastAsia" w:ascii="Calibri" w:hAnsi="Calibri" w:eastAsia="宋体" w:cs="Times New Roman"/>
          <w:bCs/>
          <w:sz w:val="28"/>
          <w:szCs w:val="28"/>
        </w:rPr>
        <w:t>万元。支出较去年减少</w:t>
      </w:r>
      <w:r>
        <w:rPr>
          <w:rFonts w:ascii="Calibri" w:hAnsi="Calibri" w:eastAsia="宋体" w:cs="Times New Roman"/>
          <w:bCs/>
          <w:sz w:val="28"/>
          <w:szCs w:val="28"/>
        </w:rPr>
        <w:t>118.19</w:t>
      </w:r>
      <w:r>
        <w:rPr>
          <w:rFonts w:hint="eastAsia" w:ascii="Calibri" w:hAnsi="Calibri" w:eastAsia="宋体" w:cs="Times New Roman"/>
          <w:bCs/>
          <w:sz w:val="28"/>
          <w:szCs w:val="28"/>
        </w:rPr>
        <w:t>万元。主要是减少了专项经费预算支出</w:t>
      </w:r>
    </w:p>
    <w:p>
      <w:pPr>
        <w:rPr>
          <w:rFonts w:ascii="黑体" w:hAnsi="黑体" w:eastAsia="黑体" w:cs="Times New Roman"/>
          <w:bCs/>
          <w:sz w:val="28"/>
          <w:szCs w:val="28"/>
        </w:rPr>
      </w:pPr>
      <w:r>
        <w:rPr>
          <w:rFonts w:hint="eastAsia" w:ascii="Calibri" w:hAnsi="Calibri" w:eastAsia="宋体" w:cs="Times New Roman"/>
          <w:bCs/>
          <w:sz w:val="28"/>
          <w:szCs w:val="28"/>
        </w:rPr>
        <w:t>　</w:t>
      </w:r>
      <w:r>
        <w:rPr>
          <w:rFonts w:hint="eastAsia" w:ascii="黑体" w:hAnsi="黑体" w:eastAsia="黑体" w:cs="Times New Roman"/>
          <w:bCs/>
          <w:sz w:val="28"/>
          <w:szCs w:val="28"/>
        </w:rPr>
        <w:t xml:space="preserve">　四、一般公共预算拨款支出预算 </w:t>
      </w:r>
    </w:p>
    <w:p>
      <w:pPr>
        <w:rPr>
          <w:rFonts w:ascii="Calibri" w:hAnsi="Calibri" w:eastAsia="宋体" w:cs="Times New Roman"/>
          <w:bCs/>
          <w:sz w:val="28"/>
          <w:szCs w:val="28"/>
        </w:rPr>
      </w:pPr>
      <w:r>
        <w:rPr>
          <w:rFonts w:hint="eastAsia" w:ascii="Calibri" w:hAnsi="Calibri" w:eastAsia="宋体" w:cs="Times New Roman"/>
          <w:bCs/>
          <w:sz w:val="28"/>
          <w:szCs w:val="28"/>
        </w:rPr>
        <w:t>　　2019年一般公共预算拨款收入</w:t>
      </w:r>
      <w:r>
        <w:rPr>
          <w:rFonts w:ascii="Calibri" w:hAnsi="Calibri" w:eastAsia="宋体" w:cs="Times New Roman"/>
          <w:bCs/>
          <w:sz w:val="28"/>
          <w:szCs w:val="28"/>
        </w:rPr>
        <w:t>172.25</w:t>
      </w:r>
      <w:r>
        <w:rPr>
          <w:rFonts w:hint="eastAsia" w:ascii="Calibri" w:hAnsi="Calibri" w:eastAsia="宋体" w:cs="Times New Roman"/>
          <w:bCs/>
          <w:sz w:val="28"/>
          <w:szCs w:val="28"/>
        </w:rPr>
        <w:t xml:space="preserve">万元，具体安排情况如下： </w:t>
      </w:r>
    </w:p>
    <w:p>
      <w:pPr>
        <w:rPr>
          <w:rFonts w:ascii="Calibri" w:hAnsi="Calibri" w:eastAsia="宋体" w:cs="Times New Roman"/>
          <w:bCs/>
          <w:sz w:val="28"/>
          <w:szCs w:val="28"/>
        </w:rPr>
      </w:pPr>
      <w:r>
        <w:rPr>
          <w:rFonts w:hint="eastAsia" w:ascii="Calibri" w:hAnsi="Calibri" w:eastAsia="宋体" w:cs="Times New Roman"/>
          <w:bCs/>
          <w:sz w:val="28"/>
          <w:szCs w:val="28"/>
        </w:rPr>
        <w:t>　　（一）基本支出：2019年基本支出年初预算数为</w:t>
      </w:r>
      <w:r>
        <w:rPr>
          <w:rFonts w:ascii="Calibri" w:hAnsi="Calibri" w:eastAsia="宋体" w:cs="Times New Roman"/>
          <w:bCs/>
          <w:sz w:val="28"/>
          <w:szCs w:val="28"/>
        </w:rPr>
        <w:t>126.59</w:t>
      </w:r>
      <w:r>
        <w:rPr>
          <w:rFonts w:hint="eastAsia" w:ascii="Calibri" w:hAnsi="Calibri" w:eastAsia="宋体" w:cs="Times New Roman"/>
          <w:bCs/>
          <w:sz w:val="28"/>
          <w:szCs w:val="28"/>
        </w:rPr>
        <w:t xml:space="preserve">万元，是指为保障单位机构正常运转、完成日常工作任务而发生的各项支出，包括用于基本工资、津贴补贴等人员经费以及办公费、等日常公用经费。 </w:t>
      </w:r>
    </w:p>
    <w:p>
      <w:pPr>
        <w:ind w:firstLine="570"/>
        <w:rPr>
          <w:rFonts w:hint="eastAsia" w:ascii="Calibri" w:hAnsi="Calibri" w:eastAsia="宋体" w:cs="Times New Roman"/>
          <w:bCs/>
          <w:sz w:val="28"/>
          <w:szCs w:val="28"/>
        </w:rPr>
      </w:pPr>
      <w:r>
        <w:rPr>
          <w:rFonts w:hint="eastAsia" w:ascii="Calibri" w:hAnsi="Calibri" w:eastAsia="宋体" w:cs="Times New Roman"/>
          <w:bCs/>
          <w:sz w:val="28"/>
          <w:szCs w:val="28"/>
        </w:rPr>
        <w:t>（二）项目支出：2019年项目支出年初预算数为</w:t>
      </w:r>
      <w:r>
        <w:rPr>
          <w:rFonts w:ascii="Calibri" w:hAnsi="Calibri" w:eastAsia="宋体" w:cs="Times New Roman"/>
          <w:bCs/>
          <w:sz w:val="28"/>
          <w:szCs w:val="28"/>
        </w:rPr>
        <w:t>45.66</w:t>
      </w:r>
      <w:r>
        <w:rPr>
          <w:rFonts w:hint="eastAsia" w:ascii="Calibri" w:hAnsi="Calibri" w:eastAsia="宋体" w:cs="Times New Roman"/>
          <w:bCs/>
          <w:sz w:val="28"/>
          <w:szCs w:val="28"/>
        </w:rPr>
        <w:t>万元，是指单位为完成特定行政工作任务或事业发展目标而发生的支出，包括有关业务工作经费和运行维护经费。</w:t>
      </w:r>
    </w:p>
    <w:p>
      <w:pPr>
        <w:ind w:firstLine="570"/>
        <w:rPr>
          <w:rFonts w:ascii="Calibri" w:hAnsi="Calibri" w:eastAsia="宋体" w:cs="Times New Roman"/>
          <w:bCs/>
          <w:sz w:val="28"/>
          <w:szCs w:val="28"/>
        </w:rPr>
      </w:pPr>
      <w:r>
        <w:rPr>
          <w:rFonts w:hint="eastAsia" w:ascii="Calibri" w:hAnsi="Calibri" w:eastAsia="宋体" w:cs="Times New Roman"/>
          <w:bCs/>
          <w:sz w:val="28"/>
          <w:szCs w:val="28"/>
        </w:rPr>
        <w:t>五、无政府性基金预算支出</w:t>
      </w:r>
    </w:p>
    <w:p>
      <w:pPr>
        <w:rPr>
          <w:rFonts w:ascii="Calibri" w:hAnsi="Calibri" w:eastAsia="宋体" w:cs="Times New Roman"/>
          <w:bCs/>
          <w:sz w:val="28"/>
          <w:szCs w:val="28"/>
        </w:rPr>
      </w:pPr>
      <w:r>
        <w:rPr>
          <w:rFonts w:hint="eastAsia" w:ascii="Calibri" w:hAnsi="Calibri" w:eastAsia="宋体" w:cs="Times New Roman"/>
          <w:bCs/>
          <w:sz w:val="28"/>
          <w:szCs w:val="28"/>
        </w:rPr>
        <w:t xml:space="preserve">　　六、其他重要事项的情况说明 </w:t>
      </w:r>
    </w:p>
    <w:p>
      <w:pPr>
        <w:rPr>
          <w:rFonts w:ascii="Calibri" w:hAnsi="Calibri" w:eastAsia="宋体" w:cs="Times New Roman"/>
          <w:bCs/>
          <w:sz w:val="28"/>
          <w:szCs w:val="28"/>
        </w:rPr>
      </w:pPr>
      <w:r>
        <w:rPr>
          <w:rFonts w:hint="eastAsia" w:ascii="Calibri" w:hAnsi="Calibri" w:eastAsia="宋体" w:cs="Times New Roman"/>
          <w:bCs/>
          <w:sz w:val="28"/>
          <w:szCs w:val="28"/>
        </w:rPr>
        <w:t xml:space="preserve">　　1、机关运行经费 </w:t>
      </w:r>
    </w:p>
    <w:p>
      <w:pPr>
        <w:ind w:firstLine="560"/>
        <w:rPr>
          <w:rFonts w:hint="eastAsia" w:ascii="Calibri" w:hAnsi="Calibri" w:eastAsia="宋体" w:cs="Times New Roman"/>
          <w:bCs/>
          <w:sz w:val="28"/>
          <w:szCs w:val="28"/>
          <w:lang w:eastAsia="zh-CN"/>
        </w:rPr>
      </w:pPr>
      <w:r>
        <w:rPr>
          <w:rFonts w:hint="eastAsia" w:ascii="Calibri" w:hAnsi="Calibri" w:eastAsia="宋体" w:cs="Times New Roman"/>
          <w:bCs/>
          <w:sz w:val="28"/>
          <w:szCs w:val="28"/>
        </w:rPr>
        <w:t>2019年我中心运行经费为</w:t>
      </w:r>
      <w:r>
        <w:rPr>
          <w:rFonts w:ascii="Calibri" w:hAnsi="Calibri" w:eastAsia="宋体" w:cs="Times New Roman"/>
          <w:bCs/>
          <w:sz w:val="28"/>
          <w:szCs w:val="28"/>
        </w:rPr>
        <w:t>8.4</w:t>
      </w:r>
      <w:r>
        <w:rPr>
          <w:rFonts w:hint="eastAsia" w:ascii="Calibri" w:hAnsi="Calibri" w:eastAsia="宋体" w:cs="Times New Roman"/>
          <w:bCs/>
          <w:sz w:val="28"/>
          <w:szCs w:val="28"/>
        </w:rPr>
        <w:t>万元，比2018年减少0.6万元</w:t>
      </w:r>
      <w:r>
        <w:rPr>
          <w:rFonts w:hint="eastAsia" w:ascii="Calibri" w:hAnsi="Calibri" w:eastAsia="宋体" w:cs="Times New Roman"/>
          <w:bCs/>
          <w:sz w:val="28"/>
          <w:szCs w:val="28"/>
          <w:lang w:eastAsia="zh-CN"/>
        </w:rPr>
        <w:t>，下降</w:t>
      </w:r>
      <w:r>
        <w:rPr>
          <w:rFonts w:hint="eastAsia" w:ascii="Calibri" w:hAnsi="Calibri" w:eastAsia="宋体" w:cs="Times New Roman"/>
          <w:bCs/>
          <w:sz w:val="28"/>
          <w:szCs w:val="28"/>
          <w:lang w:val="en-US" w:eastAsia="zh-CN"/>
        </w:rPr>
        <w:t>6.67%</w:t>
      </w:r>
      <w:r>
        <w:rPr>
          <w:rFonts w:hint="eastAsia" w:ascii="Calibri" w:hAnsi="Calibri" w:eastAsia="宋体" w:cs="Times New Roman"/>
          <w:bCs/>
          <w:sz w:val="28"/>
          <w:szCs w:val="28"/>
        </w:rPr>
        <w:t>。</w:t>
      </w:r>
      <w:r>
        <w:rPr>
          <w:rFonts w:hint="eastAsia" w:ascii="Calibri" w:hAnsi="Calibri" w:eastAsia="宋体" w:cs="Times New Roman"/>
          <w:bCs/>
          <w:sz w:val="28"/>
          <w:szCs w:val="28"/>
          <w:lang w:eastAsia="zh-CN"/>
        </w:rPr>
        <w:t>主要原因是坚持厉行节约、规范公务接待管理、压缩开支。</w:t>
      </w:r>
    </w:p>
    <w:p>
      <w:pPr>
        <w:rPr>
          <w:rFonts w:ascii="Calibri" w:hAnsi="Calibri" w:eastAsia="宋体" w:cs="Times New Roman"/>
          <w:bCs/>
          <w:sz w:val="28"/>
          <w:szCs w:val="28"/>
        </w:rPr>
      </w:pPr>
      <w:r>
        <w:rPr>
          <w:rFonts w:hint="eastAsia" w:ascii="Calibri" w:hAnsi="Calibri" w:eastAsia="宋体" w:cs="Times New Roman"/>
          <w:bCs/>
          <w:sz w:val="28"/>
          <w:szCs w:val="28"/>
        </w:rPr>
        <w:t xml:space="preserve">　　2、“三公”经费预算 </w:t>
      </w:r>
    </w:p>
    <w:p>
      <w:pPr>
        <w:rPr>
          <w:rFonts w:hint="eastAsia" w:ascii="Calibri" w:hAnsi="Calibri" w:eastAsia="宋体" w:cs="Times New Roman"/>
          <w:bCs/>
          <w:sz w:val="28"/>
          <w:szCs w:val="28"/>
        </w:rPr>
      </w:pPr>
      <w:r>
        <w:rPr>
          <w:rFonts w:hint="eastAsia" w:ascii="Calibri" w:hAnsi="Calibri" w:eastAsia="宋体" w:cs="Times New Roman"/>
          <w:bCs/>
          <w:sz w:val="28"/>
          <w:szCs w:val="28"/>
        </w:rPr>
        <w:t>　　2019年我局“三公”经费预算数为</w:t>
      </w:r>
      <w:r>
        <w:rPr>
          <w:rFonts w:ascii="Calibri" w:hAnsi="Calibri" w:eastAsia="宋体" w:cs="Times New Roman"/>
          <w:bCs/>
          <w:sz w:val="28"/>
          <w:szCs w:val="28"/>
        </w:rPr>
        <w:t>2</w:t>
      </w:r>
      <w:r>
        <w:rPr>
          <w:rFonts w:hint="eastAsia" w:ascii="Calibri" w:hAnsi="Calibri" w:eastAsia="宋体" w:cs="Times New Roman"/>
          <w:bCs/>
          <w:sz w:val="28"/>
          <w:szCs w:val="28"/>
        </w:rPr>
        <w:t>万元，其中，公务接待费</w:t>
      </w:r>
      <w:r>
        <w:rPr>
          <w:rFonts w:ascii="Calibri" w:hAnsi="Calibri" w:eastAsia="宋体" w:cs="Times New Roman"/>
          <w:bCs/>
          <w:sz w:val="28"/>
          <w:szCs w:val="28"/>
        </w:rPr>
        <w:t>2</w:t>
      </w:r>
      <w:r>
        <w:rPr>
          <w:rFonts w:hint="eastAsia" w:ascii="Calibri" w:hAnsi="Calibri" w:eastAsia="宋体" w:cs="Times New Roman"/>
          <w:bCs/>
          <w:sz w:val="28"/>
          <w:szCs w:val="28"/>
        </w:rPr>
        <w:t>万元，</w:t>
      </w:r>
      <w:r>
        <w:rPr>
          <w:rFonts w:hint="eastAsia" w:ascii="Calibri" w:hAnsi="Calibri" w:eastAsia="宋体" w:cs="Times New Roman"/>
          <w:bCs/>
          <w:sz w:val="28"/>
          <w:szCs w:val="28"/>
          <w:lang w:eastAsia="zh-CN"/>
        </w:rPr>
        <w:t>公务用车购置费及公务用车运行维护费为</w:t>
      </w:r>
      <w:r>
        <w:rPr>
          <w:rFonts w:hint="eastAsia" w:ascii="Calibri" w:hAnsi="Calibri" w:eastAsia="宋体" w:cs="Times New Roman"/>
          <w:bCs/>
          <w:sz w:val="28"/>
          <w:szCs w:val="28"/>
          <w:lang w:val="en-US" w:eastAsia="zh-CN"/>
        </w:rPr>
        <w:t>0万元。比</w:t>
      </w:r>
      <w:r>
        <w:rPr>
          <w:rFonts w:hint="eastAsia" w:ascii="Calibri" w:hAnsi="Calibri" w:eastAsia="宋体" w:cs="Times New Roman"/>
          <w:bCs/>
          <w:sz w:val="28"/>
          <w:szCs w:val="28"/>
        </w:rPr>
        <w:t>2018年“三公”经费减少</w:t>
      </w:r>
      <w:r>
        <w:rPr>
          <w:rFonts w:ascii="Calibri" w:hAnsi="Calibri" w:eastAsia="宋体" w:cs="Times New Roman"/>
          <w:bCs/>
          <w:sz w:val="28"/>
          <w:szCs w:val="28"/>
        </w:rPr>
        <w:t>1万元</w:t>
      </w:r>
      <w:r>
        <w:rPr>
          <w:rFonts w:hint="eastAsia" w:ascii="Calibri" w:hAnsi="Calibri" w:eastAsia="宋体" w:cs="Times New Roman"/>
          <w:bCs/>
          <w:sz w:val="28"/>
          <w:szCs w:val="28"/>
          <w:lang w:eastAsia="zh-CN"/>
        </w:rPr>
        <w:t>，下降</w:t>
      </w:r>
      <w:r>
        <w:rPr>
          <w:rFonts w:hint="eastAsia" w:ascii="Calibri" w:hAnsi="Calibri" w:eastAsia="宋体" w:cs="Times New Roman"/>
          <w:bCs/>
          <w:sz w:val="28"/>
          <w:szCs w:val="28"/>
          <w:lang w:val="en-US" w:eastAsia="zh-CN"/>
        </w:rPr>
        <w:t>50%</w:t>
      </w:r>
      <w:r>
        <w:rPr>
          <w:rFonts w:hint="eastAsia" w:ascii="Calibri" w:hAnsi="Calibri" w:eastAsia="宋体" w:cs="Times New Roman"/>
          <w:bCs/>
          <w:sz w:val="28"/>
          <w:szCs w:val="28"/>
        </w:rPr>
        <w:t>。主要原因是坚持厉行节约、规范公务接待管理、压缩开支。</w:t>
      </w:r>
    </w:p>
    <w:p>
      <w:pPr>
        <w:rPr>
          <w:rFonts w:ascii="Calibri" w:hAnsi="Calibri" w:eastAsia="宋体" w:cs="Times New Roman"/>
          <w:bCs/>
          <w:sz w:val="28"/>
          <w:szCs w:val="28"/>
        </w:rPr>
      </w:pPr>
      <w:r>
        <w:rPr>
          <w:rFonts w:hint="eastAsia" w:ascii="Calibri" w:hAnsi="Calibri" w:eastAsia="宋体" w:cs="Times New Roman"/>
          <w:bCs/>
          <w:sz w:val="28"/>
          <w:szCs w:val="28"/>
        </w:rPr>
        <w:t xml:space="preserve">　　3、政府采购情况 </w:t>
      </w:r>
    </w:p>
    <w:p>
      <w:pPr>
        <w:rPr>
          <w:rFonts w:ascii="Calibri" w:hAnsi="Calibri" w:eastAsia="宋体" w:cs="Times New Roman"/>
          <w:bCs/>
          <w:sz w:val="28"/>
          <w:szCs w:val="28"/>
        </w:rPr>
      </w:pPr>
      <w:r>
        <w:rPr>
          <w:rFonts w:hint="eastAsia" w:ascii="Calibri" w:hAnsi="Calibri" w:eastAsia="宋体" w:cs="Times New Roman"/>
          <w:bCs/>
          <w:sz w:val="28"/>
          <w:szCs w:val="28"/>
        </w:rPr>
        <w:t xml:space="preserve">　　2019年我局政府采购预算总额0万元，其中，政府采购货物预算0万元，政府采购服务预算0万元。政府采购工程预算0万元。 </w:t>
      </w:r>
    </w:p>
    <w:p>
      <w:pPr>
        <w:rPr>
          <w:rFonts w:ascii="Calibri" w:hAnsi="Calibri" w:eastAsia="宋体" w:cs="Times New Roman"/>
          <w:bCs/>
          <w:sz w:val="28"/>
          <w:szCs w:val="28"/>
        </w:rPr>
      </w:pPr>
      <w:r>
        <w:rPr>
          <w:rFonts w:hint="eastAsia" w:ascii="Calibri" w:hAnsi="Calibri" w:eastAsia="宋体" w:cs="Times New Roman"/>
          <w:bCs/>
          <w:sz w:val="28"/>
          <w:szCs w:val="28"/>
        </w:rPr>
        <w:t>　　4、国有资产占用使用情况说明：我局没有公车。</w:t>
      </w:r>
    </w:p>
    <w:p>
      <w:pPr>
        <w:ind w:firstLine="480"/>
        <w:rPr>
          <w:rFonts w:ascii="Calibri" w:hAnsi="Calibri" w:eastAsia="宋体" w:cs="Times New Roman"/>
          <w:bCs/>
          <w:sz w:val="28"/>
          <w:szCs w:val="28"/>
        </w:rPr>
      </w:pPr>
      <w:r>
        <w:rPr>
          <w:rFonts w:hint="eastAsia" w:ascii="Calibri" w:hAnsi="Calibri" w:eastAsia="宋体" w:cs="Times New Roman"/>
          <w:bCs/>
          <w:sz w:val="28"/>
          <w:szCs w:val="28"/>
        </w:rPr>
        <w:t>5、预算绩效目标说明：本部门整体支出和项目支出实行绩效目标管理，纳入2019年部门整体支出绩效目标的金额为</w:t>
      </w:r>
      <w:r>
        <w:rPr>
          <w:rFonts w:ascii="Calibri" w:hAnsi="Calibri" w:eastAsia="宋体" w:cs="Times New Roman"/>
          <w:bCs/>
          <w:sz w:val="28"/>
          <w:szCs w:val="28"/>
        </w:rPr>
        <w:t>172.25</w:t>
      </w:r>
      <w:r>
        <w:rPr>
          <w:rFonts w:hint="eastAsia" w:ascii="Calibri" w:hAnsi="Calibri" w:eastAsia="宋体" w:cs="Times New Roman"/>
          <w:bCs/>
          <w:sz w:val="28"/>
          <w:szCs w:val="28"/>
        </w:rPr>
        <w:t>万元，其中基本支出</w:t>
      </w:r>
      <w:r>
        <w:rPr>
          <w:rFonts w:ascii="Calibri" w:hAnsi="Calibri" w:eastAsia="宋体" w:cs="Times New Roman"/>
          <w:bCs/>
          <w:sz w:val="28"/>
          <w:szCs w:val="28"/>
        </w:rPr>
        <w:t>126.59</w:t>
      </w:r>
      <w:r>
        <w:rPr>
          <w:rFonts w:hint="eastAsia" w:ascii="Calibri" w:hAnsi="Calibri" w:eastAsia="宋体" w:cs="Times New Roman"/>
          <w:bCs/>
          <w:sz w:val="28"/>
          <w:szCs w:val="28"/>
        </w:rPr>
        <w:t>万元，项目支出</w:t>
      </w:r>
      <w:r>
        <w:rPr>
          <w:rFonts w:ascii="Calibri" w:hAnsi="Calibri" w:eastAsia="宋体" w:cs="Times New Roman"/>
          <w:bCs/>
          <w:sz w:val="28"/>
          <w:szCs w:val="28"/>
        </w:rPr>
        <w:t>45.66</w:t>
      </w:r>
      <w:r>
        <w:rPr>
          <w:rFonts w:hint="eastAsia" w:ascii="Calibri" w:hAnsi="Calibri" w:eastAsia="宋体" w:cs="Times New Roman"/>
          <w:bCs/>
          <w:sz w:val="28"/>
          <w:szCs w:val="28"/>
        </w:rPr>
        <w:t>万元。　　</w:t>
      </w:r>
    </w:p>
    <w:p>
      <w:pPr>
        <w:ind w:firstLine="480"/>
        <w:rPr>
          <w:rFonts w:ascii="Calibri" w:hAnsi="Calibri" w:eastAsia="宋体" w:cs="Times New Roman"/>
          <w:bCs/>
          <w:sz w:val="28"/>
          <w:szCs w:val="28"/>
        </w:rPr>
      </w:pPr>
      <w:r>
        <w:rPr>
          <w:rFonts w:hint="eastAsia" w:ascii="Calibri" w:hAnsi="Calibri" w:eastAsia="宋体" w:cs="Times New Roman"/>
          <w:bCs/>
          <w:sz w:val="28"/>
          <w:szCs w:val="28"/>
        </w:rPr>
        <w:t xml:space="preserve">七、名词解释 </w:t>
      </w:r>
    </w:p>
    <w:p>
      <w:pPr>
        <w:rPr>
          <w:rFonts w:ascii="Calibri" w:hAnsi="Calibri" w:eastAsia="宋体" w:cs="Times New Roman"/>
          <w:bCs/>
          <w:sz w:val="28"/>
          <w:szCs w:val="28"/>
        </w:rPr>
      </w:pPr>
      <w:r>
        <w:rPr>
          <w:rFonts w:hint="eastAsia" w:ascii="Calibri" w:hAnsi="Calibri" w:eastAsia="宋体" w:cs="Times New Roman"/>
          <w:bCs/>
          <w:sz w:val="28"/>
          <w:szCs w:val="28"/>
        </w:rPr>
        <w:t xml:space="preserve">　　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ind w:firstLine="560"/>
        <w:rPr>
          <w:rFonts w:hint="eastAsia" w:ascii="Calibri" w:hAnsi="Calibri" w:eastAsia="宋体" w:cs="Times New Roman"/>
          <w:bCs/>
          <w:sz w:val="28"/>
          <w:szCs w:val="28"/>
        </w:rPr>
      </w:pPr>
      <w:r>
        <w:rPr>
          <w:rFonts w:hint="eastAsia" w:ascii="Calibri" w:hAnsi="Calibri" w:eastAsia="宋体" w:cs="Times New Roman"/>
          <w:bCs/>
          <w:sz w:val="28"/>
          <w:szCs w:val="28"/>
        </w:rPr>
        <w:t>2、“三公”经费：纳入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ind w:firstLine="560"/>
        <w:rPr>
          <w:rFonts w:hint="eastAsia" w:ascii="Calibri" w:hAnsi="Calibri" w:eastAsia="宋体" w:cs="Times New Roman"/>
          <w:bCs/>
          <w:sz w:val="28"/>
          <w:szCs w:val="28"/>
        </w:rPr>
      </w:pPr>
      <w:bookmarkStart w:id="0" w:name="_GoBack"/>
      <w:bookmarkEnd w:id="0"/>
    </w:p>
    <w:p>
      <w:pPr>
        <w:ind w:firstLine="560"/>
        <w:rPr>
          <w:rFonts w:hint="eastAsia" w:ascii="宋体" w:hAnsi="宋体" w:cs="宋体"/>
          <w:b/>
          <w:bCs w:val="0"/>
          <w:color w:val="333333"/>
          <w:kern w:val="0"/>
          <w:sz w:val="28"/>
          <w:szCs w:val="28"/>
        </w:rPr>
      </w:pPr>
      <w:r>
        <w:rPr>
          <w:rFonts w:hint="eastAsia" w:ascii="宋体" w:hAnsi="宋体" w:cs="宋体"/>
          <w:b/>
          <w:bCs w:val="0"/>
          <w:color w:val="333333"/>
          <w:kern w:val="0"/>
          <w:sz w:val="28"/>
          <w:szCs w:val="28"/>
        </w:rPr>
        <w:t>第二部分：</w:t>
      </w:r>
    </w:p>
    <w:p>
      <w:pPr>
        <w:ind w:firstLine="560"/>
        <w:rPr>
          <w:rFonts w:hint="default" w:ascii="宋体" w:hAnsi="宋体" w:cs="宋体" w:eastAsiaTheme="minorEastAsia"/>
          <w:bCs/>
          <w:color w:val="333333"/>
          <w:kern w:val="0"/>
          <w:sz w:val="28"/>
          <w:szCs w:val="28"/>
          <w:lang w:val="en-US" w:eastAsia="zh-CN"/>
        </w:rPr>
      </w:pPr>
      <w:r>
        <w:rPr>
          <w:rFonts w:hint="eastAsia" w:ascii="宋体" w:hAnsi="宋体" w:cs="宋体"/>
          <w:bCs/>
          <w:color w:val="333333"/>
          <w:kern w:val="0"/>
          <w:sz w:val="28"/>
          <w:szCs w:val="28"/>
          <w:lang w:eastAsia="zh-CN"/>
        </w:rPr>
        <w:t>附件：衡南县政务服务中心</w:t>
      </w:r>
      <w:r>
        <w:rPr>
          <w:rFonts w:hint="eastAsia" w:ascii="宋体" w:hAnsi="宋体" w:cs="宋体"/>
          <w:bCs/>
          <w:color w:val="333333"/>
          <w:kern w:val="0"/>
          <w:sz w:val="28"/>
          <w:szCs w:val="28"/>
          <w:lang w:val="en-US" w:eastAsia="zh-CN"/>
        </w:rPr>
        <w:t>2019年预算公开表（25张表）</w:t>
      </w:r>
    </w:p>
    <w:p>
      <w:pPr>
        <w:widowControl/>
        <w:pBdr>
          <w:top w:val="none" w:color="000000" w:sz="0" w:space="0"/>
          <w:left w:val="none" w:color="000000" w:sz="0" w:space="0"/>
          <w:bottom w:val="none" w:color="000000" w:sz="0" w:space="0"/>
          <w:right w:val="none" w:color="000000" w:sz="0" w:space="0"/>
        </w:pBdr>
        <w:spacing w:before="312" w:after="312" w:line="320" w:lineRule="atLeast"/>
        <w:ind w:firstLine="640"/>
        <w:jc w:val="left"/>
        <w:textAlignment w:val="baseline"/>
        <w:rPr>
          <w:rFonts w:ascii="Calibri" w:hAnsi="Calibri" w:eastAsia="宋体" w:cs="Times New Roman"/>
          <w:bCs/>
          <w:sz w:val="28"/>
          <w:szCs w:val="28"/>
        </w:rPr>
      </w:pPr>
    </w:p>
    <w:p>
      <w:pPr>
        <w:rPr>
          <w:bC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仿宋">
    <w:altName w:val="宋体"/>
    <w:panose1 w:val="00000000000000000000"/>
    <w:charset w:val="86"/>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auto"/>
    <w:pitch w:val="default"/>
    <w:sig w:usb0="E0002A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6487"/>
    <w:rsid w:val="00086487"/>
    <w:rsid w:val="000F69B9"/>
    <w:rsid w:val="001973A6"/>
    <w:rsid w:val="002A001C"/>
    <w:rsid w:val="002B0C93"/>
    <w:rsid w:val="00466754"/>
    <w:rsid w:val="0065382E"/>
    <w:rsid w:val="007F0ACA"/>
    <w:rsid w:val="00AD10C0"/>
    <w:rsid w:val="00B71B72"/>
    <w:rsid w:val="00DE6AC9"/>
    <w:rsid w:val="00E23F1B"/>
    <w:rsid w:val="00E7099B"/>
    <w:rsid w:val="00E74BE0"/>
    <w:rsid w:val="00F47C71"/>
    <w:rsid w:val="17BE479A"/>
    <w:rsid w:val="1D17789B"/>
    <w:rsid w:val="1E5E1338"/>
    <w:rsid w:val="27B135BD"/>
    <w:rsid w:val="42471154"/>
    <w:rsid w:val="526A6AEB"/>
    <w:rsid w:val="566B3F43"/>
    <w:rsid w:val="60C572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11</Pages>
  <Words>646</Words>
  <Characters>3686</Characters>
  <Lines>30</Lines>
  <Paragraphs>8</Paragraphs>
  <TotalTime>9</TotalTime>
  <ScaleCrop>false</ScaleCrop>
  <LinksUpToDate>false</LinksUpToDate>
  <CharactersWithSpaces>4324</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2019-06-12T05:02:00Z</dcterms:created>
  <dc:creator>Administrator</dc:creator>
  <cp:lastModifiedBy>Administrator</cp:lastModifiedBy>
  <dcterms:modified xsi:type="dcterms:W3CDTF">2021-06-29T03:01:54Z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66FCB77B31F94954A48B37BDAF9E0005</vt:lpwstr>
  </property>
</Properties>
</file>