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center"/>
        <w:textAlignment w:val="auto"/>
        <w:rPr>
          <w:rFonts w:hint="default" w:ascii="黑体" w:hAnsi="宋体;SimSun" w:eastAsia="黑体" w:cs="宋体;SimSun"/>
          <w:sz w:val="32"/>
          <w:szCs w:val="32"/>
          <w:lang w:val="en-US" w:eastAsia="zh-CN"/>
        </w:rPr>
      </w:pPr>
      <w:r>
        <w:rPr>
          <w:rFonts w:hint="eastAsia" w:ascii="黑体" w:hAnsi="宋体;SimSun" w:eastAsia="黑体" w:cs="宋体;SimSun"/>
          <w:sz w:val="32"/>
          <w:szCs w:val="32"/>
          <w:lang w:val="en-US" w:eastAsia="zh-CN"/>
        </w:rPr>
        <w:t>衡南县残疾人联合会2018年决算公开说明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center"/>
        <w:textAlignment w:val="auto"/>
        <w:rPr>
          <w:rFonts w:hint="eastAsia" w:ascii="黑体" w:hAnsi="宋体;SimSun" w:eastAsia="黑体" w:cs="宋体;SimSun"/>
          <w:sz w:val="28"/>
          <w:szCs w:val="28"/>
        </w:rPr>
      </w:pPr>
      <w:r>
        <w:rPr>
          <w:rFonts w:hint="eastAsia" w:ascii="黑体" w:hAnsi="宋体;SimSun" w:eastAsia="黑体" w:cs="宋体;SimSun"/>
          <w:sz w:val="28"/>
          <w:szCs w:val="28"/>
        </w:rPr>
        <w:t>目 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textAlignment w:val="auto"/>
        <w:rPr>
          <w:rFonts w:hint="eastAsia" w:ascii="宋体" w:hAnsi="宋体" w:eastAsia="宋体" w:cs="宋体"/>
          <w:sz w:val="28"/>
          <w:szCs w:val="28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textAlignment w:val="auto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第一部分部门概况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textAlignment w:val="auto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一、部门职责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textAlignment w:val="auto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二、机构设置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textAlignment w:val="auto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第二部分2018年度部门决算表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textAlignment w:val="auto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一、收入支出决算总表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textAlignment w:val="auto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二、收入决算表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textAlignment w:val="auto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三、支出决算表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textAlignment w:val="auto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四、财政拨款收入支出决算总表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textAlignment w:val="auto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五、一般公共预算财政拨款支出决算表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textAlignment w:val="auto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六、一般公共预算财政拨款基本支出决算表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textAlignment w:val="auto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七、一般公共预算财政拨款“三公”经费支出决算表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textAlignment w:val="auto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八、政府性基金预算财政拨款收入支出决算表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textAlignment w:val="auto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第三部分2018年度部门决算情况说明</w:t>
      </w:r>
    </w:p>
    <w:p>
      <w:pPr>
        <w:spacing w:line="460" w:lineRule="exact"/>
        <w:rPr>
          <w:rFonts w:hint="eastAsia" w:ascii="Verdana" w:hAnsi="Verdana" w:eastAsia="宋体"/>
          <w:b w:val="0"/>
          <w:bCs/>
          <w:color w:val="000000"/>
          <w:sz w:val="30"/>
          <w:szCs w:val="30"/>
          <w:shd w:val="clear" w:color="auto" w:fill="FFFFFF"/>
          <w:lang w:eastAsia="zh-CN"/>
        </w:rPr>
      </w:pPr>
      <w:r>
        <w:rPr>
          <w:rFonts w:hint="eastAsia" w:ascii="Verdana" w:hAnsi="Verdana"/>
          <w:b w:val="0"/>
          <w:bCs/>
          <w:color w:val="000000"/>
          <w:sz w:val="30"/>
          <w:szCs w:val="30"/>
          <w:shd w:val="clear" w:color="auto" w:fill="FFFFFF"/>
        </w:rPr>
        <w:t>一、</w:t>
      </w:r>
      <w:r>
        <w:rPr>
          <w:rFonts w:hint="eastAsia" w:ascii="Verdana" w:hAnsi="Verdana"/>
          <w:b w:val="0"/>
          <w:bCs/>
          <w:color w:val="000000"/>
          <w:sz w:val="30"/>
          <w:szCs w:val="30"/>
          <w:shd w:val="clear" w:color="auto" w:fill="FFFFFF"/>
          <w:lang w:eastAsia="zh-CN"/>
        </w:rPr>
        <w:t>部门收支概况</w:t>
      </w:r>
    </w:p>
    <w:p>
      <w:pPr>
        <w:spacing w:line="460" w:lineRule="exact"/>
        <w:rPr>
          <w:rFonts w:hint="eastAsia" w:ascii="Verdana" w:hAnsi="Verdana" w:eastAsia="宋体"/>
          <w:b w:val="0"/>
          <w:bCs/>
          <w:color w:val="000000"/>
          <w:sz w:val="30"/>
          <w:szCs w:val="30"/>
          <w:shd w:val="clear" w:color="auto" w:fill="FFFFFF"/>
          <w:lang w:eastAsia="zh-CN"/>
        </w:rPr>
      </w:pPr>
      <w:r>
        <w:rPr>
          <w:rFonts w:hint="eastAsia" w:ascii="Verdana" w:hAnsi="Verdana"/>
          <w:b w:val="0"/>
          <w:bCs/>
          <w:color w:val="000000"/>
          <w:sz w:val="30"/>
          <w:szCs w:val="30"/>
          <w:shd w:val="clear" w:color="auto" w:fill="FFFFFF"/>
          <w:lang w:eastAsia="zh-CN"/>
        </w:rPr>
        <w:t>二</w:t>
      </w:r>
      <w:r>
        <w:rPr>
          <w:rFonts w:hint="eastAsia" w:ascii="Verdana" w:hAnsi="Verdana"/>
          <w:b w:val="0"/>
          <w:bCs/>
          <w:color w:val="000000"/>
          <w:sz w:val="30"/>
          <w:szCs w:val="30"/>
          <w:shd w:val="clear" w:color="auto" w:fill="FFFFFF"/>
        </w:rPr>
        <w:t>、</w:t>
      </w:r>
      <w:r>
        <w:rPr>
          <w:rFonts w:hint="eastAsia" w:ascii="Verdana" w:hAnsi="Verdana"/>
          <w:b w:val="0"/>
          <w:bCs/>
          <w:color w:val="000000"/>
          <w:sz w:val="30"/>
          <w:szCs w:val="30"/>
          <w:shd w:val="clear" w:color="auto" w:fill="FFFFFF"/>
          <w:lang w:eastAsia="zh-CN"/>
        </w:rPr>
        <w:t>财政拨款支出说明</w:t>
      </w:r>
    </w:p>
    <w:p>
      <w:pPr>
        <w:spacing w:line="460" w:lineRule="exact"/>
        <w:rPr>
          <w:rFonts w:hint="eastAsia" w:asciiTheme="minorEastAsia" w:hAnsiTheme="minorEastAsia" w:eastAsiaTheme="minorEastAsia" w:cstheme="minorBidi"/>
          <w:kern w:val="2"/>
          <w:sz w:val="30"/>
          <w:szCs w:val="30"/>
          <w:lang w:val="en-US" w:eastAsia="zh-CN" w:bidi="ar-SA"/>
        </w:rPr>
      </w:pPr>
      <w:r>
        <w:rPr>
          <w:rFonts w:hint="eastAsia" w:ascii="Verdana" w:hAnsi="Verdana"/>
          <w:b w:val="0"/>
          <w:bCs/>
          <w:color w:val="000000"/>
          <w:sz w:val="30"/>
          <w:szCs w:val="30"/>
          <w:shd w:val="clear" w:color="auto" w:fill="FFFFFF"/>
          <w:lang w:eastAsia="zh-CN"/>
        </w:rPr>
        <w:t>三</w:t>
      </w:r>
      <w:r>
        <w:rPr>
          <w:rFonts w:hint="eastAsia" w:ascii="Verdana" w:hAnsi="Verdana"/>
          <w:b w:val="0"/>
          <w:bCs/>
          <w:color w:val="000000"/>
          <w:sz w:val="30"/>
          <w:szCs w:val="30"/>
          <w:shd w:val="clear" w:color="auto" w:fill="FFFFFF"/>
        </w:rPr>
        <w:t>、</w:t>
      </w:r>
      <w:r>
        <w:rPr>
          <w:rFonts w:hint="eastAsia" w:asciiTheme="minorEastAsia" w:hAnsiTheme="minorEastAsia" w:eastAsiaTheme="minorEastAsia" w:cstheme="minorBidi"/>
          <w:kern w:val="2"/>
          <w:sz w:val="30"/>
          <w:szCs w:val="30"/>
          <w:lang w:val="en-US" w:eastAsia="zh-CN" w:bidi="ar-SA"/>
        </w:rPr>
        <w:t>政府采购支出情况。</w:t>
      </w:r>
    </w:p>
    <w:p>
      <w:pPr>
        <w:spacing w:line="460" w:lineRule="exact"/>
        <w:rPr>
          <w:rFonts w:hint="eastAsia" w:ascii="Verdana" w:hAnsi="Verdana" w:eastAsiaTheme="minorEastAsia"/>
          <w:b w:val="0"/>
          <w:bCs/>
          <w:color w:val="000000"/>
          <w:sz w:val="30"/>
          <w:szCs w:val="30"/>
          <w:shd w:val="clear" w:color="auto" w:fill="FFFFFF"/>
          <w:lang w:eastAsia="zh-CN"/>
        </w:rPr>
      </w:pPr>
      <w:r>
        <w:rPr>
          <w:rFonts w:hint="eastAsia" w:asciiTheme="minorEastAsia" w:hAnsiTheme="minorEastAsia" w:eastAsiaTheme="minorEastAsia" w:cstheme="minorBidi"/>
          <w:kern w:val="2"/>
          <w:sz w:val="30"/>
          <w:szCs w:val="30"/>
          <w:lang w:val="en-US" w:eastAsia="zh-CN" w:bidi="ar-SA"/>
        </w:rPr>
        <w:t>四、国有资产占用情况。</w:t>
      </w:r>
    </w:p>
    <w:p>
      <w:pPr>
        <w:pStyle w:val="4"/>
        <w:numPr>
          <w:ilvl w:val="0"/>
          <w:numId w:val="0"/>
        </w:numPr>
        <w:shd w:val="clear" w:color="auto" w:fill="FFFFFF"/>
        <w:spacing w:before="0" w:beforeAutospacing="0" w:after="0" w:afterAutospacing="0"/>
        <w:rPr>
          <w:rFonts w:hint="eastAsia" w:asciiTheme="minorEastAsia" w:hAnsiTheme="minorEastAsia" w:eastAsiaTheme="minorEastAsia" w:cstheme="minorBidi"/>
          <w:kern w:val="2"/>
          <w:sz w:val="30"/>
          <w:szCs w:val="30"/>
          <w:lang w:val="en-US" w:eastAsia="zh-CN" w:bidi="ar-SA"/>
        </w:rPr>
      </w:pPr>
      <w:r>
        <w:rPr>
          <w:rFonts w:hint="eastAsia" w:ascii="Verdana" w:hAnsi="Verdana"/>
          <w:b w:val="0"/>
          <w:bCs/>
          <w:color w:val="000000"/>
          <w:sz w:val="30"/>
          <w:szCs w:val="30"/>
          <w:shd w:val="clear" w:color="auto" w:fill="FFFFFF"/>
        </w:rPr>
        <w:t>五、</w:t>
      </w:r>
      <w:r>
        <w:rPr>
          <w:rFonts w:hint="eastAsia" w:asciiTheme="minorEastAsia" w:hAnsiTheme="minorEastAsia" w:eastAsiaTheme="minorEastAsia" w:cstheme="minorBidi"/>
          <w:kern w:val="2"/>
          <w:sz w:val="30"/>
          <w:szCs w:val="30"/>
          <w:lang w:val="en-US" w:eastAsia="zh-CN" w:bidi="ar-SA"/>
        </w:rPr>
        <w:t>预算绩效管理开展情况</w:t>
      </w:r>
    </w:p>
    <w:p>
      <w:pPr>
        <w:spacing w:line="460" w:lineRule="exact"/>
        <w:rPr>
          <w:rFonts w:hint="eastAsia" w:ascii="Verdana" w:hAnsi="Verdana"/>
          <w:b w:val="0"/>
          <w:bCs/>
          <w:color w:val="000000"/>
          <w:sz w:val="30"/>
          <w:szCs w:val="30"/>
          <w:shd w:val="clear" w:color="auto" w:fill="FFFFFF"/>
        </w:rPr>
      </w:pPr>
      <w:r>
        <w:rPr>
          <w:rFonts w:hint="eastAsia" w:ascii="Verdana" w:hAnsi="Verdana"/>
          <w:b w:val="0"/>
          <w:bCs/>
          <w:color w:val="000000"/>
          <w:sz w:val="30"/>
          <w:szCs w:val="30"/>
          <w:shd w:val="clear" w:color="auto" w:fill="FFFFFF"/>
          <w:lang w:eastAsia="zh-CN"/>
        </w:rPr>
        <w:t>六、</w:t>
      </w:r>
      <w:r>
        <w:rPr>
          <w:rFonts w:hint="eastAsia" w:ascii="Verdana" w:hAnsi="Verdana"/>
          <w:b w:val="0"/>
          <w:bCs/>
          <w:color w:val="000000"/>
          <w:sz w:val="30"/>
          <w:szCs w:val="30"/>
          <w:shd w:val="clear" w:color="auto" w:fill="FFFFFF"/>
        </w:rPr>
        <w:t>其他重要事项情况说明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textAlignment w:val="auto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第四部分名词解释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textAlignment w:val="auto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第五部分附件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hAnsi="宋体;SimSun" w:eastAsia="黑体" w:cs="宋体;SimSun"/>
          <w:sz w:val="28"/>
          <w:szCs w:val="28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hAnsi="宋体;SimSun" w:eastAsia="黑体" w:cs="宋体;SimSun"/>
          <w:sz w:val="28"/>
          <w:szCs w:val="28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hAnsi="宋体;SimSun" w:eastAsia="黑体" w:cs="宋体;SimSun"/>
          <w:sz w:val="28"/>
          <w:szCs w:val="28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hAnsi="宋体;SimSun" w:eastAsia="黑体" w:cs="宋体;SimSun"/>
          <w:sz w:val="28"/>
          <w:szCs w:val="28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textAlignment w:val="auto"/>
        <w:rPr>
          <w:rFonts w:hint="eastAsia" w:ascii="黑体" w:hAnsi="宋体;SimSun" w:eastAsia="黑体" w:cs="宋体;SimSun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第一部分部门概况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ascii="黑体" w:hAnsi="宋体;SimSun" w:eastAsia="黑体" w:cs="宋体;SimSun"/>
          <w:sz w:val="28"/>
          <w:szCs w:val="28"/>
        </w:rPr>
      </w:pPr>
      <w:r>
        <w:rPr>
          <w:rFonts w:hint="eastAsia" w:ascii="黑体" w:hAnsi="宋体;SimSun" w:eastAsia="黑体" w:cs="宋体;SimSun"/>
          <w:sz w:val="28"/>
          <w:szCs w:val="28"/>
        </w:rPr>
        <w:t>一、部门职能职责</w:t>
      </w:r>
    </w:p>
    <w:p>
      <w:pPr>
        <w:widowControl/>
        <w:shd w:val="clear" w:color="auto" w:fill="FFFFFF"/>
        <w:spacing w:line="480" w:lineRule="atLeast"/>
        <w:ind w:firstLine="560" w:firstLineChars="200"/>
        <w:jc w:val="left"/>
        <w:rPr>
          <w:rFonts w:ascii="Verdana" w:hAnsi="Verdana" w:cs="宋体"/>
          <w:color w:val="000000"/>
          <w:kern w:val="0"/>
          <w:sz w:val="24"/>
        </w:rPr>
      </w:pPr>
      <w:r>
        <w:rPr>
          <w:rFonts w:ascii="Arial" w:hAnsi="Arial" w:cs="Arial"/>
          <w:color w:val="333333"/>
          <w:sz w:val="28"/>
          <w:szCs w:val="28"/>
          <w:shd w:val="clear" w:color="auto" w:fill="FFFFFF"/>
        </w:rPr>
        <w:t>　</w:t>
      </w:r>
      <w:r>
        <w:rPr>
          <w:rFonts w:ascii="Verdana" w:hAnsi="Verdana" w:eastAsia="仿宋_GB2312" w:cs="宋体"/>
          <w:color w:val="000000"/>
          <w:kern w:val="0"/>
          <w:sz w:val="32"/>
          <w:szCs w:val="32"/>
        </w:rPr>
        <w:t> </w:t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</w:rPr>
        <w:t>残疾人联合会是将残疾人自身代表组织，社会福利团体和事业管理机构融为一体的残疾人事业团体，履行“代表、服务、管理”职能，代表残疾人共同利益；维护残疾人合法权益，开展各项业务和活动，直接为残疾人服务；承担政府委托的部分行政职能，发展和管理残疾人事业。主要职责是：</w:t>
      </w:r>
    </w:p>
    <w:p>
      <w:pPr>
        <w:widowControl/>
        <w:shd w:val="clear" w:color="auto" w:fill="FFFFFF"/>
        <w:spacing w:line="480" w:lineRule="atLeast"/>
        <w:ind w:firstLine="640" w:firstLineChars="200"/>
        <w:jc w:val="left"/>
        <w:rPr>
          <w:rFonts w:ascii="Verdana" w:hAnsi="Verdana" w:cs="宋体"/>
          <w:color w:val="000000"/>
          <w:kern w:val="0"/>
          <w:sz w:val="24"/>
        </w:rPr>
      </w:pPr>
      <w:r>
        <w:rPr>
          <w:rFonts w:ascii="Verdana" w:hAnsi="Verdana" w:eastAsia="仿宋_GB2312" w:cs="宋体"/>
          <w:color w:val="000000"/>
          <w:kern w:val="0"/>
          <w:sz w:val="32"/>
          <w:szCs w:val="32"/>
        </w:rPr>
        <w:t> </w:t>
      </w:r>
      <w:r>
        <w:rPr>
          <w:rFonts w:ascii="Verdana" w:hAnsi="Verdana" w:eastAsia="仿宋_GB2312" w:cs="宋体"/>
          <w:color w:val="000000"/>
          <w:kern w:val="0"/>
          <w:sz w:val="32"/>
        </w:rPr>
        <w:t> </w:t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</w:rPr>
        <w:t>（一）密切联系残疾人，广泛听取残疾人意见，了解和反映残疾人需求；依法维护残疾人权益，积极为残疾人提供服务；</w:t>
      </w:r>
    </w:p>
    <w:p>
      <w:pPr>
        <w:widowControl/>
        <w:shd w:val="clear" w:color="auto" w:fill="FFFFFF"/>
        <w:spacing w:line="480" w:lineRule="atLeast"/>
        <w:ind w:firstLine="640" w:firstLineChars="200"/>
        <w:jc w:val="left"/>
        <w:rPr>
          <w:rFonts w:ascii="Verdana" w:hAnsi="Verdana" w:cs="宋体"/>
          <w:color w:val="000000"/>
          <w:kern w:val="0"/>
          <w:sz w:val="24"/>
        </w:rPr>
      </w:pPr>
      <w:r>
        <w:rPr>
          <w:rFonts w:ascii="Verdana" w:hAnsi="Verdana" w:eastAsia="仿宋_GB2312" w:cs="宋体"/>
          <w:color w:val="000000"/>
          <w:kern w:val="0"/>
          <w:sz w:val="32"/>
          <w:szCs w:val="32"/>
        </w:rPr>
        <w:t> </w:t>
      </w:r>
      <w:r>
        <w:rPr>
          <w:rFonts w:ascii="Verdana" w:hAnsi="Verdana" w:eastAsia="仿宋_GB2312" w:cs="宋体"/>
          <w:color w:val="000000"/>
          <w:kern w:val="0"/>
          <w:sz w:val="32"/>
        </w:rPr>
        <w:t> </w:t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</w:rPr>
        <w:t>（二）教育残疾人遵守宪法和法律、社会公德和职业道德，激励残疾人自尊、自信、自强、自立，为社会主义现代化建设贡献力量；</w:t>
      </w:r>
    </w:p>
    <w:p>
      <w:pPr>
        <w:widowControl/>
        <w:shd w:val="clear" w:color="auto" w:fill="FFFFFF"/>
        <w:spacing w:line="480" w:lineRule="atLeast"/>
        <w:ind w:firstLine="640" w:firstLineChars="200"/>
        <w:jc w:val="left"/>
        <w:rPr>
          <w:rFonts w:ascii="Verdana" w:hAnsi="Verdana" w:cs="宋体"/>
          <w:color w:val="000000"/>
          <w:kern w:val="0"/>
          <w:sz w:val="24"/>
        </w:rPr>
      </w:pPr>
      <w:r>
        <w:rPr>
          <w:rFonts w:ascii="Verdana" w:hAnsi="Verdana" w:eastAsia="仿宋_GB2312" w:cs="宋体"/>
          <w:color w:val="000000"/>
          <w:kern w:val="0"/>
          <w:sz w:val="32"/>
          <w:szCs w:val="32"/>
        </w:rPr>
        <w:t> </w:t>
      </w:r>
      <w:r>
        <w:rPr>
          <w:rFonts w:ascii="Verdana" w:hAnsi="Verdana" w:eastAsia="仿宋_GB2312" w:cs="宋体"/>
          <w:color w:val="000000"/>
          <w:kern w:val="0"/>
          <w:sz w:val="32"/>
        </w:rPr>
        <w:t> </w:t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</w:rPr>
        <w:t>（三）宣传残疾人事业，沟通党和政府、社会与残疾人之间的联系，动员社会各界弘扬人道主义，理解、尊重、关心、帮助残疾人；</w:t>
      </w:r>
    </w:p>
    <w:p>
      <w:pPr>
        <w:widowControl/>
        <w:shd w:val="clear" w:color="auto" w:fill="FFFFFF"/>
        <w:spacing w:line="480" w:lineRule="atLeast"/>
        <w:ind w:firstLine="640" w:firstLineChars="200"/>
        <w:jc w:val="left"/>
        <w:rPr>
          <w:rFonts w:ascii="Verdana" w:hAnsi="Verdana" w:cs="宋体"/>
          <w:color w:val="000000"/>
          <w:kern w:val="0"/>
          <w:sz w:val="24"/>
        </w:rPr>
      </w:pPr>
      <w:r>
        <w:rPr>
          <w:rFonts w:ascii="Verdana" w:hAnsi="Verdana" w:eastAsia="仿宋_GB2312" w:cs="宋体"/>
          <w:color w:val="000000"/>
          <w:kern w:val="0"/>
          <w:sz w:val="32"/>
          <w:szCs w:val="32"/>
        </w:rPr>
        <w:t> </w:t>
      </w:r>
      <w:r>
        <w:rPr>
          <w:rFonts w:ascii="Verdana" w:hAnsi="Verdana" w:eastAsia="仿宋_GB2312" w:cs="宋体"/>
          <w:color w:val="000000"/>
          <w:kern w:val="0"/>
          <w:sz w:val="32"/>
        </w:rPr>
        <w:t> </w:t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</w:rPr>
        <w:t>（四）会同有关部门组织开展、指导全县各地实施残疾人康复、教育、劳动就业、文化、体育、社会服务、社会保障、无障碍设施建设和残疾预防等项业务工作，为扶助残疾人平等参与社会生活，共享社会物质、文化生活成果，创造良好环境和条件；</w:t>
      </w:r>
    </w:p>
    <w:p>
      <w:pPr>
        <w:widowControl/>
        <w:shd w:val="clear" w:color="auto" w:fill="FFFFFF"/>
        <w:spacing w:line="480" w:lineRule="atLeast"/>
        <w:ind w:firstLine="640" w:firstLineChars="200"/>
        <w:jc w:val="left"/>
        <w:rPr>
          <w:rFonts w:ascii="Verdana" w:hAnsi="Verdana" w:cs="宋体"/>
          <w:color w:val="000000"/>
          <w:kern w:val="0"/>
          <w:sz w:val="24"/>
        </w:rPr>
      </w:pPr>
      <w:r>
        <w:rPr>
          <w:rFonts w:ascii="Verdana" w:hAnsi="Verdana" w:eastAsia="仿宋_GB2312" w:cs="宋体"/>
          <w:color w:val="000000"/>
          <w:kern w:val="0"/>
          <w:sz w:val="32"/>
          <w:szCs w:val="32"/>
        </w:rPr>
        <w:t> </w:t>
      </w:r>
      <w:r>
        <w:rPr>
          <w:rFonts w:ascii="Verdana" w:hAnsi="Verdana" w:eastAsia="仿宋_GB2312" w:cs="宋体"/>
          <w:color w:val="000000"/>
          <w:kern w:val="0"/>
          <w:sz w:val="32"/>
        </w:rPr>
        <w:t> </w:t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</w:rPr>
        <w:t>（五）具体组织实施本县范围内按比例安排残疾人就业工作，依法征收和管理残疾人就业保障金；</w:t>
      </w:r>
    </w:p>
    <w:p>
      <w:pPr>
        <w:widowControl/>
        <w:shd w:val="clear" w:color="auto" w:fill="FFFFFF"/>
        <w:spacing w:line="480" w:lineRule="atLeast"/>
        <w:ind w:firstLine="640" w:firstLineChars="200"/>
        <w:jc w:val="left"/>
        <w:rPr>
          <w:rFonts w:ascii="Verdana" w:hAnsi="Verdana" w:cs="宋体"/>
          <w:color w:val="000000"/>
          <w:kern w:val="0"/>
          <w:sz w:val="24"/>
        </w:rPr>
      </w:pPr>
      <w:r>
        <w:rPr>
          <w:rFonts w:ascii="Verdana" w:hAnsi="Verdana" w:eastAsia="仿宋_GB2312" w:cs="宋体"/>
          <w:color w:val="000000"/>
          <w:kern w:val="0"/>
          <w:sz w:val="32"/>
          <w:szCs w:val="32"/>
        </w:rPr>
        <w:t> </w:t>
      </w:r>
      <w:r>
        <w:rPr>
          <w:rFonts w:ascii="Verdana" w:hAnsi="Verdana" w:eastAsia="仿宋_GB2312" w:cs="宋体"/>
          <w:color w:val="000000"/>
          <w:kern w:val="0"/>
          <w:sz w:val="32"/>
        </w:rPr>
        <w:t> </w:t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</w:rPr>
        <w:t>（六）协助县委、县政府研究制定和实施残疾人事业的政策、规划和计划，对全县的残疾人事业实施管理；</w:t>
      </w:r>
    </w:p>
    <w:p>
      <w:pPr>
        <w:widowControl/>
        <w:shd w:val="clear" w:color="auto" w:fill="FFFFFF"/>
        <w:spacing w:line="480" w:lineRule="atLeast"/>
        <w:ind w:firstLine="640" w:firstLineChars="200"/>
        <w:jc w:val="left"/>
        <w:rPr>
          <w:rFonts w:ascii="Verdana" w:hAnsi="Verdana" w:cs="宋体"/>
          <w:color w:val="000000"/>
          <w:kern w:val="0"/>
          <w:sz w:val="24"/>
        </w:rPr>
      </w:pPr>
      <w:r>
        <w:rPr>
          <w:rFonts w:ascii="Verdana" w:hAnsi="Verdana" w:eastAsia="仿宋_GB2312" w:cs="宋体"/>
          <w:color w:val="000000"/>
          <w:kern w:val="0"/>
          <w:sz w:val="32"/>
          <w:szCs w:val="32"/>
        </w:rPr>
        <w:t> </w:t>
      </w:r>
      <w:r>
        <w:rPr>
          <w:rFonts w:ascii="Verdana" w:hAnsi="Verdana" w:eastAsia="仿宋_GB2312" w:cs="宋体"/>
          <w:color w:val="000000"/>
          <w:kern w:val="0"/>
          <w:sz w:val="32"/>
        </w:rPr>
        <w:t> </w:t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</w:rPr>
        <w:t>（七）承办县政府残疾人工作委员会、县残疾人康复工作办公室的日常工作；</w:t>
      </w:r>
    </w:p>
    <w:p>
      <w:pPr>
        <w:widowControl/>
        <w:shd w:val="clear" w:color="auto" w:fill="FFFFFF"/>
        <w:spacing w:line="480" w:lineRule="atLeast"/>
        <w:ind w:firstLine="640" w:firstLineChars="200"/>
        <w:jc w:val="left"/>
        <w:rPr>
          <w:rFonts w:ascii="Verdana" w:hAnsi="Verdana" w:cs="宋体"/>
          <w:color w:val="000000"/>
          <w:kern w:val="0"/>
          <w:sz w:val="24"/>
        </w:rPr>
      </w:pPr>
      <w:r>
        <w:rPr>
          <w:rFonts w:ascii="Verdana" w:hAnsi="Verdana" w:eastAsia="仿宋_GB2312" w:cs="宋体"/>
          <w:color w:val="000000"/>
          <w:kern w:val="0"/>
          <w:sz w:val="32"/>
          <w:szCs w:val="32"/>
        </w:rPr>
        <w:t> </w:t>
      </w:r>
      <w:r>
        <w:rPr>
          <w:rFonts w:ascii="Verdana" w:hAnsi="Verdana" w:eastAsia="仿宋_GB2312" w:cs="宋体"/>
          <w:color w:val="000000"/>
          <w:kern w:val="0"/>
          <w:sz w:val="32"/>
        </w:rPr>
        <w:t> </w:t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</w:rPr>
        <w:t>（八）负责全县“残疾人证”发放工作和各类残疾人社会团体的监督管理；</w:t>
      </w:r>
    </w:p>
    <w:p>
      <w:pPr>
        <w:widowControl/>
        <w:shd w:val="clear" w:color="auto" w:fill="FFFFFF"/>
        <w:spacing w:line="480" w:lineRule="atLeast"/>
        <w:ind w:firstLine="640" w:firstLineChars="200"/>
        <w:jc w:val="left"/>
        <w:rPr>
          <w:rFonts w:ascii="Verdana" w:hAnsi="Verdana" w:cs="宋体"/>
          <w:color w:val="000000"/>
          <w:kern w:val="0"/>
          <w:sz w:val="24"/>
        </w:rPr>
      </w:pPr>
      <w:r>
        <w:rPr>
          <w:rFonts w:ascii="Verdana" w:hAnsi="Verdana" w:eastAsia="仿宋_GB2312" w:cs="宋体"/>
          <w:color w:val="000000"/>
          <w:kern w:val="0"/>
          <w:sz w:val="32"/>
          <w:szCs w:val="32"/>
        </w:rPr>
        <w:t> </w:t>
      </w:r>
      <w:r>
        <w:rPr>
          <w:rFonts w:ascii="Verdana" w:hAnsi="Verdana" w:eastAsia="仿宋_GB2312" w:cs="宋体"/>
          <w:color w:val="000000"/>
          <w:kern w:val="0"/>
          <w:sz w:val="32"/>
        </w:rPr>
        <w:t> </w:t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</w:rPr>
        <w:t>（九）开展残疾人事业领域的对外交流与合作；</w:t>
      </w:r>
    </w:p>
    <w:p>
      <w:pPr>
        <w:widowControl/>
        <w:shd w:val="clear" w:color="auto" w:fill="FFFFFF"/>
        <w:spacing w:line="480" w:lineRule="atLeast"/>
        <w:ind w:firstLine="640" w:firstLineChars="200"/>
        <w:jc w:val="left"/>
        <w:rPr>
          <w:rFonts w:ascii="Verdana" w:hAnsi="Verdana" w:cs="宋体"/>
          <w:color w:val="000000"/>
          <w:kern w:val="0"/>
          <w:sz w:val="24"/>
        </w:rPr>
      </w:pPr>
      <w:r>
        <w:rPr>
          <w:rFonts w:ascii="Verdana" w:hAnsi="Verdana" w:eastAsia="仿宋_GB2312" w:cs="宋体"/>
          <w:color w:val="000000"/>
          <w:kern w:val="0"/>
          <w:sz w:val="32"/>
          <w:szCs w:val="32"/>
        </w:rPr>
        <w:t> </w:t>
      </w:r>
      <w:r>
        <w:rPr>
          <w:rFonts w:ascii="Verdana" w:hAnsi="Verdana" w:eastAsia="仿宋_GB2312" w:cs="宋体"/>
          <w:color w:val="000000"/>
          <w:kern w:val="0"/>
          <w:sz w:val="32"/>
        </w:rPr>
        <w:t> </w:t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</w:rPr>
        <w:t>（十）承办县政府交办的其他事项。</w:t>
      </w:r>
    </w:p>
    <w:p>
      <w:pPr>
        <w:widowControl/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  <w:spacing w:before="312" w:after="312" w:line="320" w:lineRule="atLeast"/>
        <w:jc w:val="left"/>
        <w:textAlignment w:val="baseline"/>
        <w:rPr>
          <w:rFonts w:ascii="黑体" w:hAnsi="宋体;SimSun" w:eastAsia="黑体" w:cs="宋体;SimSun"/>
          <w:sz w:val="28"/>
          <w:szCs w:val="28"/>
        </w:rPr>
      </w:pPr>
      <w:r>
        <w:rPr>
          <w:rFonts w:hint="eastAsia" w:ascii="黑体" w:hAnsi="宋体;SimSun" w:eastAsia="黑体" w:cs="宋体;SimSun"/>
          <w:sz w:val="28"/>
          <w:szCs w:val="28"/>
        </w:rPr>
        <w:t>二、机构设置情况</w:t>
      </w:r>
    </w:p>
    <w:p>
      <w:pPr>
        <w:widowControl/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  <w:spacing w:before="312" w:after="312" w:line="320" w:lineRule="atLeast"/>
        <w:ind w:firstLine="640" w:firstLineChars="200"/>
        <w:jc w:val="left"/>
        <w:textAlignment w:val="baseline"/>
        <w:rPr>
          <w:rFonts w:ascii="仿宋_GB2312" w:hAnsi="Calibri" w:eastAsia="仿宋_GB2312" w:cs="宋体"/>
          <w:color w:val="000000"/>
          <w:kern w:val="0"/>
          <w:sz w:val="32"/>
          <w:szCs w:val="32"/>
        </w:rPr>
      </w:pP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</w:rPr>
        <w:t>我单位</w:t>
      </w:r>
      <w:r>
        <w:rPr>
          <w:rFonts w:ascii="仿宋_GB2312" w:hAnsi="Calibri" w:eastAsia="仿宋_GB2312" w:cs="宋体"/>
          <w:color w:val="000000"/>
          <w:kern w:val="0"/>
          <w:sz w:val="32"/>
          <w:szCs w:val="32"/>
        </w:rPr>
        <w:t>现有在职干部职工</w:t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</w:rPr>
        <w:t>13</w:t>
      </w:r>
      <w:r>
        <w:rPr>
          <w:rFonts w:ascii="仿宋_GB2312" w:hAnsi="Calibri" w:eastAsia="仿宋_GB2312" w:cs="宋体"/>
          <w:color w:val="000000"/>
          <w:kern w:val="0"/>
          <w:sz w:val="32"/>
          <w:szCs w:val="32"/>
        </w:rPr>
        <w:t>人，全额拨款</w:t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</w:rPr>
        <w:t>事业</w:t>
      </w:r>
      <w:r>
        <w:rPr>
          <w:rFonts w:ascii="仿宋_GB2312" w:hAnsi="Calibri" w:eastAsia="仿宋_GB2312" w:cs="宋体"/>
          <w:color w:val="000000"/>
          <w:kern w:val="0"/>
          <w:sz w:val="32"/>
          <w:szCs w:val="32"/>
        </w:rPr>
        <w:t>编制</w:t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</w:rPr>
        <w:t>11人，差额</w:t>
      </w:r>
      <w:r>
        <w:rPr>
          <w:rFonts w:ascii="仿宋_GB2312" w:hAnsi="Calibri" w:eastAsia="仿宋_GB2312" w:cs="宋体"/>
          <w:color w:val="000000"/>
          <w:kern w:val="0"/>
          <w:sz w:val="32"/>
          <w:szCs w:val="32"/>
        </w:rPr>
        <w:t>拨款</w:t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</w:rPr>
        <w:t>事业</w:t>
      </w:r>
      <w:r>
        <w:rPr>
          <w:rFonts w:ascii="仿宋_GB2312" w:hAnsi="Calibri" w:eastAsia="仿宋_GB2312" w:cs="宋体"/>
          <w:color w:val="000000"/>
          <w:kern w:val="0"/>
          <w:sz w:val="32"/>
          <w:szCs w:val="32"/>
        </w:rPr>
        <w:t>编制</w:t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</w:rPr>
        <w:t>2人，退休人员7人</w:t>
      </w:r>
      <w:r>
        <w:rPr>
          <w:rFonts w:ascii="仿宋_GB2312" w:hAnsi="Calibri" w:eastAsia="仿宋_GB2312" w:cs="宋体"/>
          <w:color w:val="000000"/>
          <w:kern w:val="0"/>
          <w:sz w:val="32"/>
          <w:szCs w:val="32"/>
        </w:rPr>
        <w:t>。</w:t>
      </w:r>
    </w:p>
    <w:p>
      <w:pPr>
        <w:widowControl/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  <w:spacing w:before="312" w:after="312" w:line="320" w:lineRule="atLeast"/>
        <w:ind w:firstLine="640" w:firstLineChars="200"/>
        <w:jc w:val="left"/>
        <w:textAlignment w:val="baseline"/>
        <w:rPr>
          <w:rFonts w:hint="eastAsia" w:ascii="仿宋_GB2312" w:hAnsi="Calibri" w:eastAsia="仿宋_GB2312" w:cs="宋体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</w:rPr>
        <w:t>纳入决算部门单位的构成</w:t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  <w:lang w:val="en-US" w:eastAsia="zh-CN"/>
        </w:rPr>
        <w:t>:衡南</w:t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</w:rPr>
        <w:t>县残疾人联合会</w:t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  <w:lang w:eastAsia="zh-CN"/>
        </w:rPr>
        <w:t>本级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textAlignment w:val="auto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第二部分2018年度部门决算表</w:t>
      </w:r>
    </w:p>
    <w:p>
      <w:pPr>
        <w:pStyle w:val="4"/>
        <w:shd w:val="clear" w:color="auto" w:fill="FFFFFF"/>
        <w:spacing w:before="0" w:after="0" w:line="450" w:lineRule="atLeast"/>
        <w:ind w:right="300"/>
        <w:jc w:val="both"/>
        <w:rPr>
          <w:rFonts w:hint="eastAsia" w:ascii="宋体" w:hAnsi="宋体" w:eastAsia="宋体" w:cs="宋体"/>
          <w:kern w:val="2"/>
          <w:sz w:val="28"/>
          <w:szCs w:val="28"/>
          <w:lang w:val="en-US" w:eastAsia="zh-CN" w:bidi="ar-SA"/>
        </w:rPr>
      </w:pPr>
      <w:r>
        <w:rPr>
          <w:rFonts w:hint="eastAsia" w:ascii="宋体" w:hAnsi="宋体" w:eastAsia="宋体" w:cs="宋体"/>
          <w:kern w:val="2"/>
          <w:sz w:val="28"/>
          <w:szCs w:val="28"/>
          <w:lang w:val="en-US" w:eastAsia="zh-CN" w:bidi="ar-SA"/>
        </w:rPr>
        <w:t>公开表格见附件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textAlignment w:val="auto"/>
        <w:rPr>
          <w:rFonts w:hint="eastAsia" w:ascii="宋体" w:hAnsi="宋体" w:eastAsia="宋体" w:cs="宋体"/>
          <w:sz w:val="28"/>
          <w:szCs w:val="28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textAlignment w:val="auto"/>
        <w:rPr>
          <w:rFonts w:hint="eastAsia" w:ascii="黑体" w:eastAsia="黑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第三部分2018年度部门决算情况说明</w:t>
      </w:r>
    </w:p>
    <w:p>
      <w:pPr>
        <w:pStyle w:val="4"/>
        <w:shd w:val="clear" w:color="auto" w:fill="FFFFFF"/>
        <w:spacing w:before="0" w:after="0" w:line="450" w:lineRule="atLeast"/>
        <w:ind w:right="300"/>
        <w:jc w:val="both"/>
        <w:rPr>
          <w:rFonts w:ascii="黑体" w:eastAsia="黑体"/>
          <w:sz w:val="28"/>
          <w:szCs w:val="28"/>
        </w:rPr>
      </w:pPr>
      <w:r>
        <w:rPr>
          <w:rFonts w:hint="eastAsia" w:ascii="黑体" w:eastAsia="黑体"/>
          <w:sz w:val="28"/>
          <w:szCs w:val="28"/>
          <w:lang w:eastAsia="zh-CN"/>
        </w:rPr>
        <w:t>一</w:t>
      </w:r>
      <w:r>
        <w:rPr>
          <w:rFonts w:hint="eastAsia" w:ascii="黑体" w:eastAsia="黑体"/>
          <w:sz w:val="28"/>
          <w:szCs w:val="28"/>
        </w:rPr>
        <w:t>、部门的收支概括</w:t>
      </w:r>
    </w:p>
    <w:p>
      <w:pPr>
        <w:widowControl/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  <w:spacing w:before="312" w:after="312" w:line="320" w:lineRule="atLeast"/>
        <w:ind w:firstLine="640" w:firstLineChars="200"/>
        <w:jc w:val="left"/>
        <w:textAlignment w:val="baseline"/>
        <w:rPr>
          <w:rFonts w:ascii="仿宋_GB2312" w:hAnsi="Calibri" w:eastAsia="仿宋_GB2312" w:cs="宋体"/>
          <w:color w:val="000000"/>
          <w:kern w:val="0"/>
          <w:sz w:val="32"/>
          <w:szCs w:val="32"/>
        </w:rPr>
      </w:pPr>
      <w:r>
        <w:rPr>
          <w:rFonts w:ascii="仿宋_GB2312" w:hAnsi="Calibri" w:eastAsia="仿宋_GB2312" w:cs="宋体"/>
          <w:color w:val="000000"/>
          <w:kern w:val="0"/>
          <w:sz w:val="32"/>
          <w:szCs w:val="32"/>
        </w:rPr>
        <w:t>（一）收入决算：全年收入决算总计</w:t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</w:rPr>
        <w:t>444.54</w:t>
      </w:r>
      <w:r>
        <w:rPr>
          <w:rFonts w:ascii="仿宋_GB2312" w:hAnsi="Calibri" w:eastAsia="仿宋_GB2312" w:cs="宋体"/>
          <w:color w:val="000000"/>
          <w:kern w:val="0"/>
          <w:sz w:val="32"/>
          <w:szCs w:val="32"/>
        </w:rPr>
        <w:t>万元，</w:t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</w:rPr>
        <w:t>均为财政经费拨款。本年度收入比2017年决算数减少</w:t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  <w:lang w:val="en-US" w:eastAsia="zh-CN"/>
        </w:rPr>
        <w:t>5.24</w:t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</w:rPr>
        <w:t>万元，下降</w:t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  <w:lang w:val="en-US" w:eastAsia="zh-CN"/>
        </w:rPr>
        <w:t>1.24</w:t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</w:rPr>
        <w:t>%，主要是坚持厉行节约、规范公务接待管理、压缩开支。</w:t>
      </w:r>
    </w:p>
    <w:p>
      <w:pPr>
        <w:widowControl/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  <w:spacing w:before="312" w:after="312" w:line="320" w:lineRule="atLeast"/>
        <w:ind w:firstLine="640" w:firstLineChars="200"/>
        <w:jc w:val="left"/>
        <w:textAlignment w:val="baseline"/>
        <w:rPr>
          <w:rFonts w:hint="eastAsia" w:ascii="仿宋_GB2312" w:hAnsi="Calibri" w:eastAsia="仿宋_GB2312" w:cs="宋体"/>
          <w:color w:val="000000"/>
          <w:kern w:val="0"/>
          <w:sz w:val="32"/>
          <w:szCs w:val="32"/>
          <w:lang w:val="en-US" w:eastAsia="zh-CN"/>
        </w:rPr>
      </w:pPr>
      <w:r>
        <w:rPr>
          <w:rFonts w:ascii="仿宋_GB2312" w:hAnsi="Calibri" w:eastAsia="仿宋_GB2312" w:cs="宋体"/>
          <w:color w:val="000000"/>
          <w:kern w:val="0"/>
          <w:sz w:val="32"/>
          <w:szCs w:val="32"/>
        </w:rPr>
        <w:t>（二）支出决算：</w:t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</w:rPr>
        <w:t>2018</w:t>
      </w:r>
      <w:r>
        <w:rPr>
          <w:rFonts w:ascii="仿宋_GB2312" w:hAnsi="Calibri" w:eastAsia="仿宋_GB2312" w:cs="宋体"/>
          <w:color w:val="000000"/>
          <w:kern w:val="0"/>
          <w:sz w:val="32"/>
          <w:szCs w:val="32"/>
        </w:rPr>
        <w:t>年决算总计</w:t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</w:rPr>
        <w:t>444.54</w:t>
      </w:r>
      <w:r>
        <w:rPr>
          <w:rFonts w:ascii="仿宋_GB2312" w:hAnsi="Calibri" w:eastAsia="仿宋_GB2312" w:cs="宋体"/>
          <w:color w:val="000000"/>
          <w:kern w:val="0"/>
          <w:sz w:val="32"/>
          <w:szCs w:val="32"/>
        </w:rPr>
        <w:t>万元。其中：社会保障和就业支出</w:t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</w:rPr>
        <w:t>407.19</w:t>
      </w:r>
      <w:r>
        <w:rPr>
          <w:rFonts w:ascii="仿宋_GB2312" w:hAnsi="Calibri" w:eastAsia="仿宋_GB2312" w:cs="宋体"/>
          <w:color w:val="000000"/>
          <w:kern w:val="0"/>
          <w:sz w:val="32"/>
          <w:szCs w:val="32"/>
        </w:rPr>
        <w:t>万元，医疗卫生与计划生育支出</w:t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</w:rPr>
        <w:t>3.99</w:t>
      </w:r>
      <w:r>
        <w:rPr>
          <w:rFonts w:ascii="仿宋_GB2312" w:hAnsi="Calibri" w:eastAsia="仿宋_GB2312" w:cs="宋体"/>
          <w:color w:val="000000"/>
          <w:kern w:val="0"/>
          <w:sz w:val="32"/>
          <w:szCs w:val="32"/>
        </w:rPr>
        <w:t>万元，住房保障支出</w:t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</w:rPr>
        <w:t>7.91</w:t>
      </w:r>
      <w:r>
        <w:rPr>
          <w:rFonts w:ascii="仿宋_GB2312" w:hAnsi="Calibri" w:eastAsia="仿宋_GB2312" w:cs="宋体"/>
          <w:color w:val="000000"/>
          <w:kern w:val="0"/>
          <w:sz w:val="32"/>
          <w:szCs w:val="32"/>
        </w:rPr>
        <w:t>万元</w:t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</w:rPr>
        <w:t>，其他支出25.45万元。本年度支出比2017年决算数减少</w:t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  <w:lang w:val="en-US" w:eastAsia="zh-CN"/>
        </w:rPr>
        <w:t>5.24</w:t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</w:rPr>
        <w:t>万元，下降</w:t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  <w:lang w:val="en-US" w:eastAsia="zh-CN"/>
        </w:rPr>
        <w:t>1.24</w:t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</w:rPr>
        <w:t>%，主要是坚持厉行节约、规范公务接待管理、压缩开支。</w:t>
      </w:r>
      <w:r>
        <w:rPr>
          <w:rFonts w:ascii="仿宋_GB2312" w:hAnsi="Calibri" w:eastAsia="仿宋_GB2312" w:cs="宋体"/>
          <w:color w:val="000000"/>
          <w:kern w:val="0"/>
          <w:sz w:val="32"/>
          <w:szCs w:val="32"/>
        </w:rPr>
        <w:br w:type="textWrapping"/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</w:rPr>
        <w:t xml:space="preserve">   </w:t>
      </w:r>
      <w:r>
        <w:rPr>
          <w:rFonts w:ascii="仿宋_GB2312" w:hAnsi="Calibri" w:eastAsia="仿宋_GB2312" w:cs="宋体"/>
          <w:color w:val="000000"/>
          <w:kern w:val="0"/>
          <w:sz w:val="32"/>
          <w:szCs w:val="32"/>
        </w:rPr>
        <w:t>（三）“三公”经费决算：</w:t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</w:rPr>
        <w:t>2018</w:t>
      </w:r>
      <w:r>
        <w:rPr>
          <w:rFonts w:ascii="仿宋_GB2312" w:hAnsi="Calibri" w:eastAsia="仿宋_GB2312" w:cs="宋体"/>
          <w:color w:val="000000"/>
          <w:kern w:val="0"/>
          <w:sz w:val="32"/>
          <w:szCs w:val="32"/>
        </w:rPr>
        <w:t>年“三公”</w:t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</w:rPr>
        <w:t>预算数为7万元，其中：公务接待费5万元，公务用车</w:t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  <w:lang w:eastAsia="zh-CN"/>
        </w:rPr>
        <w:t>运行维护费</w:t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</w:rPr>
        <w:t>2万元；“三公”经费</w:t>
      </w:r>
      <w:r>
        <w:rPr>
          <w:rFonts w:ascii="仿宋_GB2312" w:hAnsi="Calibri" w:eastAsia="仿宋_GB2312" w:cs="宋体"/>
          <w:color w:val="000000"/>
          <w:kern w:val="0"/>
          <w:sz w:val="32"/>
          <w:szCs w:val="32"/>
        </w:rPr>
        <w:t>决算</w:t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</w:rPr>
        <w:t>数3.13</w:t>
      </w:r>
      <w:r>
        <w:rPr>
          <w:rFonts w:ascii="仿宋_GB2312" w:hAnsi="Calibri" w:eastAsia="仿宋_GB2312" w:cs="宋体"/>
          <w:color w:val="000000"/>
          <w:kern w:val="0"/>
          <w:sz w:val="32"/>
          <w:szCs w:val="32"/>
        </w:rPr>
        <w:t>万元</w:t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</w:rPr>
        <w:t>，</w:t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  <w:lang w:eastAsia="zh-CN"/>
        </w:rPr>
        <w:t>完成预算数</w:t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  <w:lang w:val="en-US" w:eastAsia="zh-CN"/>
        </w:rPr>
        <w:t>44.17%。</w:t>
      </w:r>
      <w:r>
        <w:rPr>
          <w:rFonts w:ascii="仿宋_GB2312" w:hAnsi="Calibri" w:eastAsia="仿宋_GB2312" w:cs="宋体"/>
          <w:color w:val="000000"/>
          <w:kern w:val="0"/>
          <w:sz w:val="32"/>
          <w:szCs w:val="32"/>
        </w:rPr>
        <w:t>其中</w:t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</w:rPr>
        <w:t>：</w:t>
      </w:r>
      <w:r>
        <w:rPr>
          <w:rFonts w:ascii="仿宋_GB2312" w:hAnsi="Calibri" w:eastAsia="仿宋_GB2312" w:cs="宋体"/>
          <w:color w:val="000000"/>
          <w:kern w:val="0"/>
          <w:sz w:val="32"/>
          <w:szCs w:val="32"/>
        </w:rPr>
        <w:t>公务接待费</w:t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</w:rPr>
        <w:t>1.54</w:t>
      </w:r>
      <w:r>
        <w:rPr>
          <w:rFonts w:ascii="仿宋_GB2312" w:hAnsi="Calibri" w:eastAsia="仿宋_GB2312" w:cs="宋体"/>
          <w:color w:val="000000"/>
          <w:kern w:val="0"/>
          <w:sz w:val="32"/>
          <w:szCs w:val="32"/>
        </w:rPr>
        <w:t>万元</w:t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</w:rPr>
        <w:t>，国内公务接待的批次为</w:t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  <w:lang w:val="en-US" w:eastAsia="zh-CN"/>
        </w:rPr>
        <w:t>29</w:t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</w:rPr>
        <w:t>次、接待人数为</w:t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  <w:lang w:val="en-US" w:eastAsia="zh-CN"/>
        </w:rPr>
        <w:t>170人</w:t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</w:rPr>
        <w:t>。</w:t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  <w:lang w:eastAsia="zh-CN"/>
        </w:rPr>
        <w:t>比上年减少</w:t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  <w:lang w:val="en-US" w:eastAsia="zh-CN"/>
        </w:rPr>
        <w:t>0.23万元，下降12.8%。</w:t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</w:rPr>
        <w:t>公务用车运行维护费1.59万元，与上年相比节约了</w:t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  <w:lang w:val="en-US" w:eastAsia="zh-CN"/>
        </w:rPr>
        <w:t>0.13</w:t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</w:rPr>
        <w:t>万元，</w:t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  <w:lang w:eastAsia="zh-CN"/>
        </w:rPr>
        <w:t>下降</w:t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  <w:lang w:val="en-US" w:eastAsia="zh-CN"/>
        </w:rPr>
        <w:t>8.02%。</w:t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</w:rPr>
        <w:t>主要是我单位实行了公车改革，严格控制了各项招待开支。</w:t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  <w:lang w:val="en-US" w:eastAsia="zh-CN"/>
        </w:rPr>
        <w:t>2018年因公出国（境）费为0。</w:t>
      </w:r>
    </w:p>
    <w:p>
      <w:pPr>
        <w:widowControl/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  <w:spacing w:before="312" w:after="312" w:line="320" w:lineRule="atLeast"/>
        <w:ind w:firstLine="640" w:firstLineChars="200"/>
        <w:jc w:val="left"/>
        <w:textAlignment w:val="baseline"/>
        <w:rPr>
          <w:rFonts w:hint="eastAsia" w:ascii="仿宋_GB2312" w:hAnsi="Calibri" w:eastAsia="仿宋_GB2312" w:cs="宋体"/>
          <w:color w:val="000000"/>
          <w:kern w:val="0"/>
          <w:sz w:val="32"/>
          <w:szCs w:val="32"/>
        </w:rPr>
      </w:pP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</w:rPr>
        <w:t>本年度单位车辆保有量为0辆，本年新增车辆数为0辆。</w:t>
      </w:r>
    </w:p>
    <w:p>
      <w:pPr>
        <w:rPr>
          <w:rFonts w:ascii="仿宋_GB2312" w:eastAsia="仿宋_GB2312"/>
          <w:sz w:val="30"/>
          <w:szCs w:val="30"/>
        </w:rPr>
      </w:pPr>
      <w:r>
        <w:rPr>
          <w:rFonts w:hint="eastAsia" w:ascii="黑体" w:eastAsia="黑体"/>
          <w:sz w:val="30"/>
          <w:szCs w:val="30"/>
          <w:lang w:eastAsia="zh-CN"/>
        </w:rPr>
        <w:t>二</w:t>
      </w:r>
      <w:r>
        <w:rPr>
          <w:rFonts w:hint="eastAsia" w:ascii="黑体" w:eastAsia="黑体"/>
          <w:sz w:val="30"/>
          <w:szCs w:val="30"/>
        </w:rPr>
        <w:t>、财政拨款支出决算</w:t>
      </w:r>
    </w:p>
    <w:p>
      <w:pPr>
        <w:ind w:firstLine="640" w:firstLineChars="200"/>
        <w:rPr>
          <w:rFonts w:ascii="仿宋_GB2312" w:hAnsi="Calibri" w:eastAsia="仿宋_GB2312" w:cs="宋体"/>
          <w:color w:val="000000"/>
          <w:kern w:val="0"/>
          <w:sz w:val="32"/>
          <w:szCs w:val="32"/>
        </w:rPr>
      </w:pP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</w:rPr>
        <w:t>2018年财政拨款收入444.54万元，财政拨款支出为444.54万元，具体安排如下：</w:t>
      </w:r>
    </w:p>
    <w:p>
      <w:pPr>
        <w:ind w:firstLine="602" w:firstLineChars="200"/>
        <w:rPr>
          <w:rFonts w:ascii="仿宋_GB2312" w:hAnsi="Calibri" w:eastAsia="仿宋_GB2312" w:cs="宋体"/>
          <w:color w:val="000000"/>
          <w:kern w:val="0"/>
          <w:sz w:val="32"/>
          <w:szCs w:val="32"/>
        </w:rPr>
      </w:pPr>
      <w:r>
        <w:rPr>
          <w:rFonts w:hint="eastAsia" w:ascii="楷体_GB2312" w:eastAsia="楷体_GB2312"/>
          <w:b/>
          <w:sz w:val="30"/>
          <w:szCs w:val="30"/>
        </w:rPr>
        <w:t>（一）基本支出：</w:t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</w:rPr>
        <w:t>2018年年终决算数为444.54万元,系保障我单位正常运转.完成日常工作任务而发生的各项支出,包括用于在职人员基本工资、津贴补贴等人员经费以及办公费、印刷费、水电费、办公设备购置等日常公用经费。</w:t>
      </w:r>
    </w:p>
    <w:p>
      <w:pPr>
        <w:ind w:firstLine="602" w:firstLineChars="200"/>
        <w:rPr>
          <w:rFonts w:hint="eastAsia" w:ascii="仿宋_GB2312" w:hAnsi="Calibri" w:eastAsia="仿宋_GB2312" w:cs="宋体"/>
          <w:color w:val="000000"/>
          <w:kern w:val="0"/>
          <w:sz w:val="32"/>
          <w:szCs w:val="32"/>
        </w:rPr>
      </w:pPr>
      <w:r>
        <w:rPr>
          <w:rFonts w:hint="eastAsia" w:ascii="楷体_GB2312" w:eastAsia="楷体_GB2312"/>
          <w:b/>
          <w:sz w:val="30"/>
          <w:szCs w:val="30"/>
        </w:rPr>
        <w:t>（二）项目支出：</w:t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</w:rPr>
        <w:t>2018年终决算为301.95万元，系残疾人康复、残疾人就业和扶贫、其他残疾人事业、用于残疾人事业的彩票公益金支出等项目。</w:t>
      </w:r>
    </w:p>
    <w:p>
      <w:pPr>
        <w:rPr>
          <w:rFonts w:hint="eastAsia" w:ascii="黑体" w:eastAsia="黑体"/>
          <w:sz w:val="30"/>
          <w:szCs w:val="30"/>
        </w:rPr>
      </w:pPr>
      <w:r>
        <w:rPr>
          <w:rFonts w:hint="eastAsia" w:ascii="黑体" w:eastAsia="黑体"/>
          <w:sz w:val="30"/>
          <w:szCs w:val="30"/>
          <w:lang w:eastAsia="zh-CN"/>
        </w:rPr>
        <w:t>三、</w:t>
      </w:r>
      <w:r>
        <w:rPr>
          <w:rFonts w:hint="eastAsia" w:ascii="黑体" w:eastAsia="黑体"/>
          <w:sz w:val="30"/>
          <w:szCs w:val="30"/>
        </w:rPr>
        <w:t>政府采购支出情况</w:t>
      </w:r>
    </w:p>
    <w:p>
      <w:pPr>
        <w:ind w:firstLine="640" w:firstLineChars="200"/>
        <w:rPr>
          <w:rFonts w:hint="eastAsia" w:ascii="仿宋_GB2312" w:hAnsi="Calibri" w:eastAsia="仿宋_GB2312" w:cs="宋体"/>
          <w:color w:val="000000"/>
          <w:kern w:val="0"/>
          <w:sz w:val="32"/>
          <w:szCs w:val="32"/>
        </w:rPr>
      </w:pP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</w:rPr>
        <w:t>本部门201</w:t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  <w:lang w:val="en-US" w:eastAsia="zh-CN"/>
        </w:rPr>
        <w:t>8</w:t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</w:rPr>
        <w:t>年度政府采购支出总额</w:t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  <w:lang w:val="en-US" w:eastAsia="zh-CN"/>
        </w:rPr>
        <w:t>0</w:t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</w:rPr>
        <w:t>万元，其中：政府采购货物支出</w:t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  <w:lang w:val="en-US" w:eastAsia="zh-CN"/>
        </w:rPr>
        <w:t>0</w:t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</w:rPr>
        <w:t>万元、政府采购工程支出</w:t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  <w:lang w:val="en-US" w:eastAsia="zh-CN"/>
        </w:rPr>
        <w:t>0</w:t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</w:rPr>
        <w:t>万元、政府采购服务支出</w:t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  <w:lang w:val="en-US" w:eastAsia="zh-CN"/>
        </w:rPr>
        <w:t>0</w:t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</w:rPr>
        <w:t>万元。授予中小企业合同金额</w:t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  <w:lang w:val="en-US" w:eastAsia="zh-CN"/>
        </w:rPr>
        <w:t>0</w:t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</w:rPr>
        <w:t>万元，占政府采购支出总额的</w:t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  <w:lang w:val="en-US" w:eastAsia="zh-CN"/>
        </w:rPr>
        <w:t>0</w:t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</w:rPr>
        <w:t>%，其中：授予小微企业合同金额</w:t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  <w:lang w:val="en-US" w:eastAsia="zh-CN"/>
        </w:rPr>
        <w:t>0</w:t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</w:rPr>
        <w:t>万元，占政府采购支出总额的</w:t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  <w:lang w:val="en-US" w:eastAsia="zh-CN"/>
        </w:rPr>
        <w:t>0</w:t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</w:rPr>
        <w:t>%。</w:t>
      </w:r>
    </w:p>
    <w:p>
      <w:pPr>
        <w:rPr>
          <w:rFonts w:hint="eastAsia" w:ascii="黑体" w:eastAsia="黑体"/>
          <w:sz w:val="30"/>
          <w:szCs w:val="30"/>
          <w:lang w:eastAsia="zh-CN"/>
        </w:rPr>
      </w:pPr>
      <w:r>
        <w:rPr>
          <w:rFonts w:hint="eastAsia" w:ascii="黑体" w:eastAsia="黑体"/>
          <w:sz w:val="30"/>
          <w:szCs w:val="30"/>
          <w:lang w:eastAsia="zh-CN"/>
        </w:rPr>
        <w:t>四、国有资产占用情况</w:t>
      </w:r>
    </w:p>
    <w:p>
      <w:pPr>
        <w:ind w:firstLine="640" w:firstLineChars="200"/>
        <w:rPr>
          <w:rFonts w:hint="eastAsia" w:ascii="仿宋_GB2312" w:hAnsi="Calibri" w:eastAsia="仿宋_GB2312" w:cs="宋体"/>
          <w:color w:val="000000"/>
          <w:kern w:val="0"/>
          <w:sz w:val="32"/>
          <w:szCs w:val="32"/>
        </w:rPr>
      </w:pP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</w:rPr>
        <w:t>截至201</w:t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  <w:lang w:val="en-US" w:eastAsia="zh-CN"/>
        </w:rPr>
        <w:t>8</w:t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</w:rPr>
        <w:t>年12月31日，本单位共有车辆</w:t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  <w:lang w:val="en-US" w:eastAsia="zh-CN"/>
        </w:rPr>
        <w:t>0</w:t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</w:rPr>
        <w:t>辆，其中，领导干部用车</w:t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  <w:lang w:val="en-US" w:eastAsia="zh-CN"/>
        </w:rPr>
        <w:t>0</w:t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</w:rPr>
        <w:t>辆、机要通信用车</w:t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  <w:lang w:val="en-US" w:eastAsia="zh-CN"/>
        </w:rPr>
        <w:t>0</w:t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</w:rPr>
        <w:t>辆、应急保障用车</w:t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  <w:lang w:val="en-US" w:eastAsia="zh-CN"/>
        </w:rPr>
        <w:t>0</w:t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</w:rPr>
        <w:t>辆、执法执勤用车</w:t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  <w:lang w:val="en-US" w:eastAsia="zh-CN"/>
        </w:rPr>
        <w:t>0</w:t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</w:rPr>
        <w:t>辆、特种专业技术用车</w:t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  <w:lang w:val="en-US" w:eastAsia="zh-CN"/>
        </w:rPr>
        <w:t>0</w:t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</w:rPr>
        <w:t>辆、其他用车</w:t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  <w:lang w:val="en-US" w:eastAsia="zh-CN"/>
        </w:rPr>
        <w:t>0</w:t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</w:rPr>
        <w:t>辆，单位价值50万元以上通用设备</w:t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  <w:lang w:val="en-US" w:eastAsia="zh-CN"/>
        </w:rPr>
        <w:t>0</w:t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</w:rPr>
        <w:t>台（套）；单位价值100万元以上专用设备</w:t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  <w:lang w:val="en-US" w:eastAsia="zh-CN"/>
        </w:rPr>
        <w:t>0</w:t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</w:rPr>
        <w:t>台（套）。</w:t>
      </w:r>
    </w:p>
    <w:p>
      <w:pPr>
        <w:rPr>
          <w:rFonts w:hint="eastAsia" w:ascii="黑体" w:eastAsia="黑体"/>
          <w:sz w:val="30"/>
          <w:szCs w:val="30"/>
          <w:lang w:eastAsia="zh-CN"/>
        </w:rPr>
      </w:pPr>
      <w:r>
        <w:rPr>
          <w:rFonts w:hint="eastAsia" w:ascii="黑体" w:eastAsia="黑体"/>
          <w:sz w:val="30"/>
          <w:szCs w:val="30"/>
          <w:lang w:eastAsia="zh-CN"/>
        </w:rPr>
        <w:t>五、预算绩效管理开展情况</w:t>
      </w:r>
    </w:p>
    <w:p>
      <w:pPr>
        <w:ind w:firstLine="640" w:firstLineChars="200"/>
        <w:rPr>
          <w:rFonts w:hint="eastAsia" w:ascii="仿宋_GB2312" w:hAnsi="Calibri" w:eastAsia="仿宋_GB2312" w:cs="宋体"/>
          <w:color w:val="000000"/>
          <w:kern w:val="0"/>
          <w:sz w:val="32"/>
          <w:szCs w:val="32"/>
          <w:lang w:eastAsia="zh-CN"/>
        </w:rPr>
      </w:pP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  <w:lang w:eastAsia="zh-CN"/>
        </w:rPr>
        <w:t>2018年，全单位以学习贯彻党的十九大精神为首要政治任务，坚持以人民为中心，坚持五大发展理念，倾力把云集打造成“衡阳市后花园”的目标，主动创新作为，提高行政效率，为全县经济社会发展作出了积极贡献。为加强财政支出管理，提高财政资金使用效益，我单位于2019年5月对2018年部门整体支出进行了绩效评价，形成了绩效评价报告，已按时报送县财政局，并在县门户网站予以公开。</w:t>
      </w:r>
    </w:p>
    <w:p>
      <w:pPr>
        <w:numPr>
          <w:ilvl w:val="0"/>
          <w:numId w:val="0"/>
        </w:numPr>
        <w:rPr>
          <w:rFonts w:hint="eastAsia" w:ascii="黑体" w:eastAsia="黑体"/>
          <w:sz w:val="30"/>
          <w:szCs w:val="30"/>
          <w:lang w:val="en-US" w:eastAsia="zh-CN"/>
        </w:rPr>
      </w:pPr>
      <w:r>
        <w:rPr>
          <w:rFonts w:hint="eastAsia" w:ascii="黑体" w:eastAsia="黑体"/>
          <w:sz w:val="30"/>
          <w:szCs w:val="30"/>
          <w:lang w:val="en-US" w:eastAsia="zh-CN"/>
        </w:rPr>
        <w:t>六、其他事项说明</w:t>
      </w:r>
    </w:p>
    <w:p>
      <w:pPr>
        <w:numPr>
          <w:ilvl w:val="0"/>
          <w:numId w:val="1"/>
        </w:numPr>
        <w:ind w:firstLine="640" w:firstLineChars="200"/>
        <w:rPr>
          <w:rFonts w:hint="eastAsia" w:ascii="仿宋_GB2312" w:hAnsi="Calibri" w:eastAsia="仿宋_GB2312" w:cs="宋体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</w:rPr>
        <w:t>本部门20</w:t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  <w:lang w:val="en-US" w:eastAsia="zh-CN"/>
        </w:rPr>
        <w:t>18</w:t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</w:rPr>
        <w:t xml:space="preserve"> 年度机关运行经费支出</w:t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  <w:lang w:val="en-US" w:eastAsia="zh-CN"/>
        </w:rPr>
        <w:t>7.8</w:t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</w:rPr>
        <w:t>万元，</w:t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  <w:lang w:eastAsia="zh-CN"/>
        </w:rPr>
        <w:t>主要用于</w:t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</w:rPr>
        <w:t>：</w:t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  <w:lang w:eastAsia="zh-CN"/>
        </w:rPr>
        <w:t>办公费</w:t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  <w:lang w:val="en-US" w:eastAsia="zh-CN"/>
        </w:rPr>
        <w:t>0.83万元，水费0.1万元，电费1.06万元，邮电费0.15万元，公务接待费1.58万元，公务用车1.54万元等。</w:t>
      </w:r>
    </w:p>
    <w:p>
      <w:pPr>
        <w:numPr>
          <w:ilvl w:val="0"/>
          <w:numId w:val="1"/>
        </w:numPr>
        <w:ind w:firstLine="640" w:firstLineChars="200"/>
        <w:rPr>
          <w:rFonts w:hint="eastAsia" w:ascii="仿宋_GB2312" w:hAnsi="Calibri" w:eastAsia="仿宋_GB2312" w:cs="宋体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  <w:lang w:val="en-US" w:eastAsia="zh-CN"/>
        </w:rPr>
        <w:t>关于政府性基金预算支出</w:t>
      </w:r>
    </w:p>
    <w:p>
      <w:pPr>
        <w:ind w:firstLine="640" w:firstLineChars="200"/>
        <w:rPr>
          <w:rFonts w:hint="eastAsia" w:ascii="仿宋_GB2312" w:hAnsi="Calibri" w:eastAsia="仿宋_GB2312" w:cs="宋体"/>
          <w:color w:val="000000"/>
          <w:kern w:val="0"/>
          <w:sz w:val="32"/>
          <w:szCs w:val="32"/>
        </w:rPr>
      </w:pP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  <w:lang w:val="en-US" w:eastAsia="zh-CN"/>
        </w:rPr>
        <w:t>2018年本部门政府性基金预算支出为0。</w:t>
      </w:r>
    </w:p>
    <w:p>
      <w:pPr>
        <w:rPr>
          <w:rFonts w:hint="eastAsia" w:ascii="黑体" w:eastAsia="黑体"/>
          <w:sz w:val="30"/>
          <w:szCs w:val="30"/>
          <w:lang w:eastAsia="zh-CN"/>
        </w:rPr>
      </w:pPr>
    </w:p>
    <w:p>
      <w:pPr>
        <w:rPr>
          <w:rFonts w:ascii="黑体" w:eastAsia="黑体"/>
          <w:b w:val="0"/>
          <w:bCs w:val="0"/>
          <w:sz w:val="30"/>
          <w:szCs w:val="30"/>
        </w:rPr>
      </w:pPr>
      <w:r>
        <w:rPr>
          <w:rFonts w:hint="eastAsia" w:ascii="黑体" w:eastAsia="黑体"/>
          <w:b w:val="0"/>
          <w:bCs w:val="0"/>
          <w:sz w:val="30"/>
          <w:szCs w:val="30"/>
          <w:lang w:eastAsia="zh-CN"/>
        </w:rPr>
        <w:t>第四部分</w:t>
      </w:r>
      <w:r>
        <w:rPr>
          <w:rFonts w:hint="eastAsia" w:ascii="黑体" w:eastAsia="黑体"/>
          <w:b w:val="0"/>
          <w:bCs w:val="0"/>
          <w:sz w:val="30"/>
          <w:szCs w:val="30"/>
        </w:rPr>
        <w:t> 名称解释 </w:t>
      </w:r>
    </w:p>
    <w:p>
      <w:pPr>
        <w:pStyle w:val="4"/>
        <w:shd w:val="clear" w:color="auto" w:fill="FFFFFF"/>
        <w:spacing w:before="0" w:after="0"/>
        <w:ind w:firstLine="640" w:firstLineChars="200"/>
        <w:rPr>
          <w:rFonts w:hint="eastAsia" w:ascii="仿宋_GB2312" w:hAnsi="Calibri" w:eastAsia="仿宋_GB2312" w:cs="宋体"/>
          <w:color w:val="000000"/>
          <w:kern w:val="0"/>
          <w:sz w:val="32"/>
          <w:szCs w:val="32"/>
        </w:rPr>
      </w:pP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</w:rPr>
        <w:t>（一）、财政拨款收入：指财政部门核拨给单位的财政预算资金。 </w:t>
      </w:r>
    </w:p>
    <w:p>
      <w:pPr>
        <w:pStyle w:val="4"/>
        <w:shd w:val="clear" w:color="auto" w:fill="FFFFFF"/>
        <w:spacing w:before="0" w:after="0"/>
        <w:rPr>
          <w:rFonts w:hint="eastAsia" w:ascii="仿宋_GB2312" w:hAnsi="Calibri" w:eastAsia="仿宋_GB2312" w:cs="宋体"/>
          <w:color w:val="000000"/>
          <w:kern w:val="0"/>
          <w:sz w:val="32"/>
          <w:szCs w:val="32"/>
        </w:rPr>
      </w:pP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</w:rPr>
        <w:t>　　（二）、事业收入：指事业单位开展专业业务活动及辅助活动所取得的收入。 </w:t>
      </w:r>
    </w:p>
    <w:p>
      <w:pPr>
        <w:pStyle w:val="4"/>
        <w:shd w:val="clear" w:color="auto" w:fill="FFFFFF"/>
        <w:spacing w:before="0" w:after="0"/>
        <w:rPr>
          <w:rFonts w:hint="eastAsia" w:ascii="仿宋_GB2312" w:hAnsi="Calibri" w:eastAsia="仿宋_GB2312" w:cs="宋体"/>
          <w:color w:val="000000"/>
          <w:kern w:val="0"/>
          <w:sz w:val="32"/>
          <w:szCs w:val="32"/>
        </w:rPr>
      </w:pP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</w:rPr>
        <w:t>　　（三）、附属单位上缴收入：指事业单位附属独立核算单位按有关规定上缴的收入。 </w:t>
      </w:r>
    </w:p>
    <w:p>
      <w:pPr>
        <w:pStyle w:val="4"/>
        <w:shd w:val="clear" w:color="auto" w:fill="FFFFFF"/>
        <w:spacing w:before="0" w:after="0"/>
        <w:rPr>
          <w:rFonts w:hint="eastAsia" w:ascii="仿宋_GB2312" w:hAnsi="Calibri" w:eastAsia="仿宋_GB2312" w:cs="宋体"/>
          <w:color w:val="000000"/>
          <w:kern w:val="0"/>
          <w:sz w:val="32"/>
          <w:szCs w:val="32"/>
        </w:rPr>
      </w:pP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</w:rPr>
        <w:t>　　（四）、其他收入：指单位取得的除上述“财政拨款收入”、“事业收入”、“附属单位上缴收入”等以外的收入。 </w:t>
      </w:r>
    </w:p>
    <w:p>
      <w:pPr>
        <w:pStyle w:val="4"/>
        <w:shd w:val="clear" w:color="auto" w:fill="FFFFFF"/>
        <w:spacing w:before="0" w:after="0"/>
        <w:rPr>
          <w:rFonts w:hint="eastAsia" w:ascii="仿宋_GB2312" w:hAnsi="Calibri" w:eastAsia="仿宋_GB2312" w:cs="宋体"/>
          <w:color w:val="000000"/>
          <w:kern w:val="0"/>
          <w:sz w:val="32"/>
          <w:szCs w:val="32"/>
        </w:rPr>
      </w:pP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</w:rPr>
        <w:t>　　（五）、年初结转和结余：指以前年度尚未完成、结转到本年仍按有关规定继续使用的资金。 </w:t>
      </w:r>
    </w:p>
    <w:p>
      <w:pPr>
        <w:pStyle w:val="4"/>
        <w:shd w:val="clear" w:color="auto" w:fill="FFFFFF"/>
        <w:spacing w:before="0" w:after="0"/>
        <w:rPr>
          <w:rFonts w:hint="eastAsia" w:ascii="仿宋_GB2312" w:hAnsi="Calibri" w:eastAsia="仿宋_GB2312" w:cs="宋体"/>
          <w:color w:val="000000"/>
          <w:kern w:val="0"/>
          <w:sz w:val="32"/>
          <w:szCs w:val="32"/>
        </w:rPr>
      </w:pP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</w:rPr>
        <w:t>　　（六）、用事业基金弥补收支差额：指事业单位在当年的“财政拨款收入”、“事业收入”、“经营收入”和“其他收入”不足以安排当年支出的情况下，使用以前年度积累的事业基金（即事业单位以前各年度收支相抵后，按国家规定提取、用于弥补以后年度收支差额的基金）弥补本年收支缺口的资金。 </w:t>
      </w:r>
    </w:p>
    <w:p>
      <w:pPr>
        <w:pStyle w:val="4"/>
        <w:shd w:val="clear" w:color="auto" w:fill="FFFFFF"/>
        <w:spacing w:before="0" w:after="0"/>
        <w:ind w:firstLine="480" w:firstLineChars="150"/>
        <w:rPr>
          <w:rFonts w:hint="eastAsia" w:ascii="仿宋_GB2312" w:hAnsi="Calibri" w:eastAsia="仿宋_GB2312" w:cs="宋体"/>
          <w:color w:val="000000"/>
          <w:kern w:val="0"/>
          <w:sz w:val="32"/>
          <w:szCs w:val="32"/>
        </w:rPr>
      </w:pP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</w:rPr>
        <w:t>（七）、结余分配：指事业单位按规定提取的职工福利基金、事业基金和缴纳的所得税，以及建设单位按规定应交回的基本建设竣工项目结余资金。 </w:t>
      </w:r>
    </w:p>
    <w:p>
      <w:pPr>
        <w:pStyle w:val="4"/>
        <w:shd w:val="clear" w:color="auto" w:fill="FFFFFF"/>
        <w:spacing w:before="0" w:after="0"/>
        <w:rPr>
          <w:rFonts w:hint="eastAsia" w:ascii="仿宋_GB2312" w:hAnsi="Calibri" w:eastAsia="仿宋_GB2312" w:cs="宋体"/>
          <w:color w:val="000000"/>
          <w:kern w:val="0"/>
          <w:sz w:val="32"/>
          <w:szCs w:val="32"/>
        </w:rPr>
      </w:pP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</w:rPr>
        <w:t>　　（八）、年末结转和结余：指本年度或以前年度预算安排、因客观条件发生变化无法按原计划实施，需延迟到以后年度按有关规定继续使用的资金。 </w:t>
      </w:r>
    </w:p>
    <w:p>
      <w:pPr>
        <w:pStyle w:val="4"/>
        <w:shd w:val="clear" w:color="auto" w:fill="FFFFFF"/>
        <w:spacing w:before="0" w:after="0"/>
        <w:rPr>
          <w:rFonts w:hint="eastAsia" w:ascii="仿宋_GB2312" w:hAnsi="Calibri" w:eastAsia="仿宋_GB2312" w:cs="宋体"/>
          <w:color w:val="000000"/>
          <w:kern w:val="0"/>
          <w:sz w:val="32"/>
          <w:szCs w:val="32"/>
        </w:rPr>
      </w:pP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</w:rPr>
        <w:t>　　（九）、基本支出：指为保障机构正常运转、完成日常工作任务而发生的人员支出和公用支出。 </w:t>
      </w:r>
    </w:p>
    <w:p>
      <w:pPr>
        <w:pStyle w:val="4"/>
        <w:shd w:val="clear" w:color="auto" w:fill="FFFFFF"/>
        <w:spacing w:before="0" w:after="0"/>
        <w:rPr>
          <w:rFonts w:hint="eastAsia" w:ascii="仿宋_GB2312" w:hAnsi="Calibri" w:eastAsia="仿宋_GB2312" w:cs="宋体"/>
          <w:color w:val="000000"/>
          <w:kern w:val="0"/>
          <w:sz w:val="32"/>
          <w:szCs w:val="32"/>
        </w:rPr>
      </w:pP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</w:rPr>
        <w:t>　　（十）、项目支出：指在基本支出之外，为完成特定行政任务和事业发展目标所发生的支出。 </w:t>
      </w:r>
    </w:p>
    <w:p>
      <w:pPr>
        <w:pStyle w:val="4"/>
        <w:shd w:val="clear" w:color="auto" w:fill="FFFFFF"/>
        <w:spacing w:before="0" w:after="0"/>
        <w:rPr>
          <w:rFonts w:hint="eastAsia" w:ascii="仿宋_GB2312" w:hAnsi="Calibri" w:eastAsia="仿宋_GB2312" w:cs="宋体"/>
          <w:color w:val="000000"/>
          <w:kern w:val="0"/>
          <w:sz w:val="32"/>
          <w:szCs w:val="32"/>
        </w:rPr>
      </w:pP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</w:rPr>
        <w:t>　　（十一）、“三公”经费：指省财政拨款安排的因公出国（境）费、公务用车购置及运行费和公务接待费。其中，因公出国（境）费反映单位公务出国（境）的国际旅费、国外城市间交通费、住宿费、伙食费、培训费、公杂费等支出；公务用车购置及运行费反映单位公务用车车辆购置支出（含车辆购置税）及租用费、燃料费、维修费、过路过桥费、保险费、安全奖励费用等支出；公务接待费反映单位按规定开支的各类公务接待（含外宾接待）支出。  </w:t>
      </w:r>
    </w:p>
    <w:p>
      <w:pPr>
        <w:pStyle w:val="4"/>
        <w:shd w:val="clear" w:color="auto" w:fill="FFFFFF"/>
        <w:spacing w:before="0" w:after="0"/>
        <w:rPr>
          <w:rFonts w:hint="eastAsia" w:ascii="仿宋_GB2312" w:hAnsi="Calibri" w:eastAsia="仿宋_GB2312" w:cs="宋体"/>
          <w:color w:val="000000"/>
          <w:kern w:val="0"/>
          <w:sz w:val="32"/>
          <w:szCs w:val="32"/>
        </w:rPr>
      </w:pP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</w:rPr>
        <w:t>　　（十二）、机关运行经费：指为保障行政单位（含参照公务员法管理的事业单位）运行用于购买货物和服务的各项资金，包括办公及印刷费、邮电费、差旅费、会议费、福利费、日常维修费、专用材料及一般设备购置费、办公用房水电费、办公用房取暖费、办公用房物业管理费、公务用车运行维护费以及其他费用。  </w:t>
      </w:r>
    </w:p>
    <w:p>
      <w:pPr>
        <w:ind w:firstLine="640" w:firstLineChars="200"/>
        <w:rPr>
          <w:rFonts w:hint="eastAsia" w:ascii="仿宋_GB2312" w:hAnsi="Calibri" w:eastAsia="仿宋_GB2312" w:cs="宋体"/>
          <w:color w:val="000000"/>
          <w:kern w:val="0"/>
          <w:sz w:val="32"/>
          <w:szCs w:val="32"/>
        </w:rPr>
      </w:pPr>
    </w:p>
    <w:p>
      <w:pPr>
        <w:ind w:firstLine="640" w:firstLineChars="200"/>
        <w:rPr>
          <w:rFonts w:hint="eastAsia" w:ascii="仿宋_GB2312" w:hAnsi="Calibri" w:eastAsia="仿宋_GB2312" w:cs="宋体"/>
          <w:color w:val="000000"/>
          <w:kern w:val="0"/>
          <w:sz w:val="32"/>
          <w:szCs w:val="32"/>
          <w:lang w:eastAsia="zh-CN"/>
        </w:rPr>
      </w:pP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  <w:lang w:eastAsia="zh-CN"/>
        </w:rPr>
        <w:t>第五部分：附件</w:t>
      </w:r>
    </w:p>
    <w:p>
      <w:pPr>
        <w:ind w:left="50" w:leftChars="-342" w:hanging="768" w:hangingChars="240"/>
        <w:rPr>
          <w:rFonts w:ascii="仿宋_GB2312" w:hAnsi="Calibri" w:eastAsia="仿宋_GB2312" w:cs="宋体"/>
          <w:color w:val="000000"/>
          <w:kern w:val="0"/>
          <w:sz w:val="32"/>
          <w:szCs w:val="32"/>
        </w:rPr>
      </w:pP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</w:rPr>
        <w:t xml:space="preserve">        </w:t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  <w:lang w:eastAsia="zh-CN"/>
        </w:rPr>
        <w:t>衡南县残疾人联合会</w:t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  <w:lang w:val="en-US" w:eastAsia="zh-CN"/>
        </w:rPr>
        <w:t>2018年决算公开表格（8张表</w:t>
      </w:r>
      <w:bookmarkStart w:id="0" w:name="_GoBack"/>
      <w:bookmarkEnd w:id="0"/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  <w:lang w:val="en-US" w:eastAsia="zh-CN"/>
        </w:rPr>
        <w:t>）</w:t>
      </w: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</w:rPr>
        <w:t xml:space="preserve">                                                                               </w:t>
      </w:r>
    </w:p>
    <w:p>
      <w:pPr>
        <w:ind w:left="-630" w:leftChars="-300"/>
        <w:rPr>
          <w:rFonts w:ascii="仿宋_GB2312" w:hAnsi="Calibri" w:eastAsia="仿宋_GB2312" w:cs="宋体"/>
          <w:color w:val="000000"/>
          <w:kern w:val="0"/>
          <w:sz w:val="32"/>
          <w:szCs w:val="32"/>
        </w:rPr>
      </w:pPr>
      <w:r>
        <w:rPr>
          <w:rFonts w:hint="eastAsia" w:ascii="仿宋_GB2312" w:hAnsi="Calibri" w:eastAsia="仿宋_GB2312" w:cs="宋体"/>
          <w:color w:val="000000"/>
          <w:kern w:val="0"/>
          <w:sz w:val="32"/>
          <w:szCs w:val="32"/>
        </w:rPr>
        <w:t xml:space="preserve">                                                                   </w:t>
      </w:r>
    </w:p>
    <w:p>
      <w:pPr>
        <w:rPr>
          <w:rFonts w:ascii="仿宋_GB2312" w:hAnsi="Calibri" w:eastAsia="仿宋_GB2312" w:cs="宋体"/>
          <w:color w:val="000000"/>
          <w:kern w:val="0"/>
          <w:sz w:val="32"/>
          <w:szCs w:val="32"/>
        </w:rPr>
      </w:pPr>
    </w:p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6" w:h="16838"/>
      <w:pgMar w:top="709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宋体;SimSun">
    <w:altName w:val="宋体"/>
    <w:panose1 w:val="00000000000000000000"/>
    <w:charset w:val="86"/>
    <w:family w:val="roman"/>
    <w:pitch w:val="default"/>
    <w:sig w:usb0="00000000" w:usb1="00000000" w:usb2="00000000" w:usb3="00000000" w:csb0="00040001" w:csb1="00000000"/>
  </w:font>
  <w:font w:name="新宋体">
    <w:panose1 w:val="02010609030101010101"/>
    <w:charset w:val="86"/>
    <w:family w:val="modern"/>
    <w:pitch w:val="default"/>
    <w:sig w:usb0="00000003" w:usb1="288F0000" w:usb2="00000006" w:usb3="00000000" w:csb0="00040001" w:csb1="0000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宋体;SimSun">
    <w:altName w:val="宋体"/>
    <w:panose1 w:val="00000000000000000000"/>
    <w:charset w:val="00"/>
    <w:family w:val="roman"/>
    <w:pitch w:val="default"/>
    <w:sig w:usb0="00000000" w:usb1="00000000" w:usb2="00000000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jc w:val="center"/>
    </w:pPr>
    <w:r>
      <w:fldChar w:fldCharType="begin"/>
    </w:r>
    <w:r>
      <w:instrText xml:space="preserve">PAGE   \* MERGEFORMAT</w:instrText>
    </w:r>
    <w:r>
      <w:fldChar w:fldCharType="separate"/>
    </w:r>
    <w:r>
      <w:rPr>
        <w:lang w:val="zh-CN"/>
      </w:rPr>
      <w:t>2</w:t>
    </w:r>
    <w:r>
      <w:fldChar w:fldCharType="end"/>
    </w:r>
  </w:p>
  <w:p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11CA5F3"/>
    <w:multiLevelType w:val="singleLevel"/>
    <w:tmpl w:val="A11CA5F3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9A81834"/>
    <w:rsid w:val="008C08B8"/>
    <w:rsid w:val="0091514E"/>
    <w:rsid w:val="00A21F58"/>
    <w:rsid w:val="00B5525B"/>
    <w:rsid w:val="00B5595A"/>
    <w:rsid w:val="02307087"/>
    <w:rsid w:val="05B83660"/>
    <w:rsid w:val="0CC543C4"/>
    <w:rsid w:val="12905B22"/>
    <w:rsid w:val="158330DF"/>
    <w:rsid w:val="1AAA3553"/>
    <w:rsid w:val="263803C8"/>
    <w:rsid w:val="2C2012D7"/>
    <w:rsid w:val="2DD50DE5"/>
    <w:rsid w:val="30B6181E"/>
    <w:rsid w:val="31662D80"/>
    <w:rsid w:val="45CD1C0B"/>
    <w:rsid w:val="475472A2"/>
    <w:rsid w:val="509B5C44"/>
    <w:rsid w:val="5B4838E9"/>
    <w:rsid w:val="5FDB2945"/>
    <w:rsid w:val="61BF3971"/>
    <w:rsid w:val="655300C9"/>
    <w:rsid w:val="66C27286"/>
    <w:rsid w:val="670B7E7B"/>
    <w:rsid w:val="680D016E"/>
    <w:rsid w:val="6ED5160B"/>
    <w:rsid w:val="7010281D"/>
    <w:rsid w:val="71F2679B"/>
    <w:rsid w:val="72395138"/>
    <w:rsid w:val="742F5C18"/>
    <w:rsid w:val="79A818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iPriority="99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7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qFormat/>
    <w:uiPriority w:val="7"/>
    <w:pPr>
      <w:widowControl/>
      <w:spacing w:before="280" w:after="280"/>
      <w:jc w:val="left"/>
    </w:pPr>
    <w:rPr>
      <w:rFonts w:ascii="宋体;SimSun" w:hAnsi="宋体;SimSun" w:cs="宋体;SimSun"/>
      <w:sz w:val="24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5</Pages>
  <Words>349</Words>
  <Characters>1994</Characters>
  <Lines>16</Lines>
  <Paragraphs>4</Paragraphs>
  <TotalTime>1</TotalTime>
  <ScaleCrop>false</ScaleCrop>
  <LinksUpToDate>false</LinksUpToDate>
  <CharactersWithSpaces>2339</CharactersWithSpaces>
  <Application>WPS Office_11.1.0.10495_F1E327BC-269C-435d-A152-05C5408002CA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2019-08-08T03:45:00Z</dcterms:created>
  <dc:creator>糖果味少女</dc:creator>
  <cp:lastModifiedBy>Administrator</cp:lastModifiedBy>
  <dcterms:modified xsi:type="dcterms:W3CDTF">2021-06-28T09:58:21Z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B1FDAD0792344D3585A2014B3D2CCE5D</vt:lpwstr>
  </property>
</Properties>
</file>