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after="625" w:line="259" w:lineRule="auto"/>
        <w:ind w:left="466" w:right="0" w:firstLine="0"/>
        <w:jc w:val="center"/>
        <w:rPr>
          <w:rFonts w:ascii="微软雅黑" w:hAnsi="微软雅黑" w:eastAsia="微软雅黑" w:cs="微软雅黑"/>
          <w:sz w:val="44"/>
          <w:szCs w:val="44"/>
        </w:rPr>
      </w:pPr>
      <w:r>
        <w:rPr>
          <w:rFonts w:ascii="Times New Roman" w:hAnsi="Times New Roman" w:eastAsia="Times New Roman" w:cs="Times New Roman"/>
          <w:sz w:val="44"/>
          <w:szCs w:val="44"/>
        </w:rPr>
        <w:t>202</w:t>
      </w:r>
      <w:r>
        <w:rPr>
          <w:rFonts w:hint="eastAsia" w:ascii="Times New Roman" w:hAnsi="Times New Roman" w:eastAsia="宋体" w:cs="Times New Roman"/>
          <w:sz w:val="44"/>
          <w:szCs w:val="44"/>
          <w:lang w:val="en-US" w:eastAsia="zh-CN"/>
        </w:rPr>
        <w:t>0</w:t>
      </w:r>
      <w:r>
        <w:rPr>
          <w:rFonts w:ascii="微软雅黑" w:hAnsi="微软雅黑" w:eastAsia="微软雅黑" w:cs="微软雅黑"/>
          <w:sz w:val="44"/>
          <w:szCs w:val="44"/>
        </w:rPr>
        <w:t>年</w:t>
      </w:r>
      <w:r>
        <w:rPr>
          <w:rFonts w:hint="eastAsia" w:ascii="微软雅黑" w:hAnsi="微软雅黑" w:eastAsia="微软雅黑" w:cs="微软雅黑"/>
          <w:sz w:val="44"/>
          <w:szCs w:val="44"/>
        </w:rPr>
        <w:t>衡南</w:t>
      </w:r>
      <w:r>
        <w:rPr>
          <w:rFonts w:hint="eastAsia" w:ascii="微软雅黑" w:hAnsi="微软雅黑" w:eastAsia="微软雅黑" w:cs="微软雅黑"/>
          <w:sz w:val="44"/>
          <w:szCs w:val="44"/>
          <w:lang w:eastAsia="zh-CN"/>
        </w:rPr>
        <w:t>县民政局</w:t>
      </w:r>
      <w:r>
        <w:rPr>
          <w:rFonts w:ascii="微软雅黑" w:hAnsi="微软雅黑" w:eastAsia="微软雅黑" w:cs="微软雅黑"/>
          <w:sz w:val="44"/>
          <w:szCs w:val="44"/>
        </w:rPr>
        <w:t>部门预算</w:t>
      </w:r>
    </w:p>
    <w:p>
      <w:pPr>
        <w:spacing w:after="625" w:line="259" w:lineRule="auto"/>
        <w:ind w:left="466" w:right="0" w:firstLine="0"/>
        <w:jc w:val="center"/>
        <w:rPr>
          <w:rFonts w:hint="eastAsia" w:ascii="仿宋" w:hAnsi="仿宋" w:eastAsia="仿宋" w:cs="仿宋"/>
          <w:sz w:val="44"/>
          <w:szCs w:val="44"/>
        </w:rPr>
      </w:pPr>
      <w:r>
        <w:rPr>
          <w:rFonts w:hint="eastAsia" w:ascii="微软雅黑" w:hAnsi="微软雅黑" w:eastAsia="微软雅黑" w:cs="微软雅黑"/>
          <w:sz w:val="44"/>
          <w:szCs w:val="44"/>
          <w:lang w:val="en-US" w:eastAsia="zh-CN"/>
        </w:rPr>
        <w:t>目  录</w:t>
      </w:r>
    </w:p>
    <w:p>
      <w:pPr>
        <w:keepNext w:val="0"/>
        <w:keepLines w:val="0"/>
        <w:pageBreakBefore w:val="0"/>
        <w:kinsoku/>
        <w:wordWrap/>
        <w:overflowPunct/>
        <w:topLinePunct w:val="0"/>
        <w:autoSpaceDE/>
        <w:autoSpaceDN/>
        <w:bidi w:val="0"/>
        <w:adjustRightInd/>
        <w:snapToGrid w:val="0"/>
        <w:spacing w:after="152" w:line="358" w:lineRule="auto"/>
        <w:ind w:right="0"/>
        <w:rPr>
          <w:rFonts w:hint="eastAsia" w:ascii="仿宋" w:hAnsi="仿宋" w:eastAsia="仿宋" w:cs="仿宋"/>
          <w:sz w:val="28"/>
          <w:szCs w:val="28"/>
        </w:rPr>
      </w:pPr>
      <w:r>
        <w:rPr>
          <w:rFonts w:hint="eastAsia" w:ascii="仿宋" w:hAnsi="仿宋" w:eastAsia="仿宋" w:cs="仿宋"/>
          <w:b/>
          <w:bCs/>
          <w:sz w:val="28"/>
          <w:szCs w:val="28"/>
        </w:rPr>
        <w:t>第一部分 2020年部门预算说明</w:t>
      </w:r>
    </w:p>
    <w:p>
      <w:pPr>
        <w:keepNext w:val="0"/>
        <w:keepLines w:val="0"/>
        <w:pageBreakBefore w:val="0"/>
        <w:kinsoku/>
        <w:wordWrap/>
        <w:overflowPunct/>
        <w:topLinePunct w:val="0"/>
        <w:autoSpaceDE/>
        <w:autoSpaceDN/>
        <w:bidi w:val="0"/>
        <w:adjustRightInd/>
        <w:snapToGrid w:val="0"/>
        <w:spacing w:after="152" w:line="358" w:lineRule="auto"/>
        <w:ind w:right="0"/>
        <w:rPr>
          <w:rFonts w:hint="eastAsia" w:ascii="仿宋" w:hAnsi="仿宋" w:eastAsia="仿宋" w:cs="仿宋"/>
          <w:sz w:val="28"/>
          <w:szCs w:val="28"/>
        </w:rPr>
      </w:pPr>
      <w:r>
        <w:rPr>
          <w:rFonts w:hint="eastAsia" w:ascii="仿宋" w:hAnsi="仿宋" w:eastAsia="仿宋" w:cs="仿宋"/>
          <w:sz w:val="28"/>
          <w:szCs w:val="28"/>
        </w:rPr>
        <w:t>一、部门基本概况</w:t>
      </w:r>
    </w:p>
    <w:p>
      <w:pPr>
        <w:keepNext w:val="0"/>
        <w:keepLines w:val="0"/>
        <w:pageBreakBefore w:val="0"/>
        <w:kinsoku/>
        <w:wordWrap/>
        <w:overflowPunct/>
        <w:topLinePunct w:val="0"/>
        <w:autoSpaceDE/>
        <w:autoSpaceDN/>
        <w:bidi w:val="0"/>
        <w:adjustRightInd/>
        <w:snapToGrid w:val="0"/>
        <w:spacing w:after="152" w:line="358" w:lineRule="auto"/>
        <w:ind w:right="0"/>
        <w:rPr>
          <w:rFonts w:hint="eastAsia" w:ascii="仿宋" w:hAnsi="仿宋" w:eastAsia="仿宋" w:cs="仿宋"/>
          <w:sz w:val="28"/>
          <w:szCs w:val="28"/>
        </w:rPr>
      </w:pPr>
      <w:r>
        <w:rPr>
          <w:rFonts w:hint="eastAsia" w:ascii="仿宋" w:hAnsi="仿宋" w:eastAsia="仿宋" w:cs="仿宋"/>
          <w:sz w:val="28"/>
          <w:szCs w:val="28"/>
        </w:rPr>
        <w:t>二、部门预算单位构成</w:t>
      </w:r>
    </w:p>
    <w:p>
      <w:pPr>
        <w:keepNext w:val="0"/>
        <w:keepLines w:val="0"/>
        <w:pageBreakBefore w:val="0"/>
        <w:kinsoku/>
        <w:wordWrap/>
        <w:overflowPunct/>
        <w:topLinePunct w:val="0"/>
        <w:autoSpaceDE/>
        <w:autoSpaceDN/>
        <w:bidi w:val="0"/>
        <w:adjustRightInd/>
        <w:snapToGrid w:val="0"/>
        <w:spacing w:after="152" w:line="358" w:lineRule="auto"/>
        <w:ind w:right="0"/>
        <w:rPr>
          <w:rFonts w:hint="eastAsia" w:ascii="仿宋" w:hAnsi="仿宋" w:eastAsia="仿宋" w:cs="仿宋"/>
          <w:sz w:val="28"/>
          <w:szCs w:val="28"/>
        </w:rPr>
      </w:pPr>
      <w:r>
        <w:rPr>
          <w:rFonts w:hint="eastAsia" w:ascii="仿宋" w:hAnsi="仿宋" w:eastAsia="仿宋" w:cs="仿宋"/>
          <w:sz w:val="28"/>
          <w:szCs w:val="28"/>
        </w:rPr>
        <w:t>三、部门收支总体情况</w:t>
      </w:r>
    </w:p>
    <w:p>
      <w:pPr>
        <w:keepNext w:val="0"/>
        <w:keepLines w:val="0"/>
        <w:pageBreakBefore w:val="0"/>
        <w:kinsoku/>
        <w:wordWrap/>
        <w:overflowPunct/>
        <w:topLinePunct w:val="0"/>
        <w:autoSpaceDE/>
        <w:autoSpaceDN/>
        <w:bidi w:val="0"/>
        <w:adjustRightInd/>
        <w:snapToGrid w:val="0"/>
        <w:spacing w:after="152" w:line="358" w:lineRule="auto"/>
        <w:ind w:right="0"/>
        <w:rPr>
          <w:rFonts w:hint="eastAsia" w:ascii="仿宋" w:hAnsi="仿宋" w:eastAsia="仿宋" w:cs="仿宋"/>
          <w:sz w:val="28"/>
          <w:szCs w:val="28"/>
        </w:rPr>
      </w:pPr>
      <w:r>
        <w:rPr>
          <w:rFonts w:hint="eastAsia" w:ascii="仿宋" w:hAnsi="仿宋" w:eastAsia="仿宋" w:cs="仿宋"/>
          <w:sz w:val="28"/>
          <w:szCs w:val="28"/>
        </w:rPr>
        <w:t>四、一般公共预算拨款支出</w:t>
      </w:r>
    </w:p>
    <w:p>
      <w:pPr>
        <w:keepNext w:val="0"/>
        <w:keepLines w:val="0"/>
        <w:pageBreakBefore w:val="0"/>
        <w:kinsoku/>
        <w:wordWrap/>
        <w:overflowPunct/>
        <w:topLinePunct w:val="0"/>
        <w:autoSpaceDE/>
        <w:autoSpaceDN/>
        <w:bidi w:val="0"/>
        <w:adjustRightInd/>
        <w:snapToGrid w:val="0"/>
        <w:spacing w:after="152" w:line="358" w:lineRule="auto"/>
        <w:ind w:right="0"/>
        <w:rPr>
          <w:rFonts w:hint="eastAsia" w:ascii="仿宋" w:hAnsi="仿宋" w:eastAsia="仿宋" w:cs="仿宋"/>
          <w:sz w:val="28"/>
          <w:szCs w:val="28"/>
        </w:rPr>
      </w:pPr>
      <w:r>
        <w:rPr>
          <w:rFonts w:hint="eastAsia" w:ascii="仿宋" w:hAnsi="仿宋" w:eastAsia="仿宋" w:cs="仿宋"/>
          <w:sz w:val="28"/>
          <w:szCs w:val="28"/>
        </w:rPr>
        <w:t>五、政府性基金预算支出</w:t>
      </w:r>
    </w:p>
    <w:p>
      <w:pPr>
        <w:keepNext w:val="0"/>
        <w:keepLines w:val="0"/>
        <w:pageBreakBefore w:val="0"/>
        <w:kinsoku/>
        <w:wordWrap/>
        <w:overflowPunct/>
        <w:topLinePunct w:val="0"/>
        <w:autoSpaceDE/>
        <w:autoSpaceDN/>
        <w:bidi w:val="0"/>
        <w:adjustRightInd/>
        <w:snapToGrid w:val="0"/>
        <w:spacing w:after="152" w:line="358" w:lineRule="auto"/>
        <w:ind w:right="0"/>
        <w:rPr>
          <w:rFonts w:hint="eastAsia" w:ascii="仿宋" w:hAnsi="仿宋" w:eastAsia="仿宋" w:cs="仿宋"/>
          <w:sz w:val="28"/>
          <w:szCs w:val="28"/>
        </w:rPr>
      </w:pPr>
      <w:r>
        <w:rPr>
          <w:rFonts w:hint="eastAsia" w:ascii="仿宋" w:hAnsi="仿宋" w:eastAsia="仿宋" w:cs="仿宋"/>
          <w:sz w:val="28"/>
          <w:szCs w:val="28"/>
        </w:rPr>
        <w:t>六、其他重要事项的情况说明</w:t>
      </w:r>
    </w:p>
    <w:p>
      <w:pPr>
        <w:keepNext w:val="0"/>
        <w:keepLines w:val="0"/>
        <w:pageBreakBefore w:val="0"/>
        <w:kinsoku/>
        <w:wordWrap/>
        <w:overflowPunct/>
        <w:topLinePunct w:val="0"/>
        <w:autoSpaceDE/>
        <w:autoSpaceDN/>
        <w:bidi w:val="0"/>
        <w:adjustRightInd/>
        <w:snapToGrid w:val="0"/>
        <w:spacing w:after="152" w:line="358" w:lineRule="auto"/>
        <w:ind w:right="0"/>
        <w:rPr>
          <w:rFonts w:hint="eastAsia" w:ascii="仿宋" w:hAnsi="仿宋" w:eastAsia="仿宋" w:cs="仿宋"/>
          <w:sz w:val="28"/>
          <w:szCs w:val="28"/>
        </w:rPr>
      </w:pPr>
      <w:r>
        <w:rPr>
          <w:rFonts w:hint="eastAsia" w:ascii="仿宋" w:hAnsi="仿宋" w:eastAsia="仿宋" w:cs="仿宋"/>
          <w:sz w:val="28"/>
          <w:szCs w:val="28"/>
        </w:rPr>
        <w:t>七、名词解释</w:t>
      </w:r>
    </w:p>
    <w:p>
      <w:pPr>
        <w:keepNext w:val="0"/>
        <w:keepLines w:val="0"/>
        <w:pageBreakBefore w:val="0"/>
        <w:kinsoku/>
        <w:wordWrap/>
        <w:overflowPunct/>
        <w:topLinePunct w:val="0"/>
        <w:autoSpaceDE/>
        <w:autoSpaceDN/>
        <w:bidi w:val="0"/>
        <w:adjustRightInd/>
        <w:snapToGrid w:val="0"/>
        <w:spacing w:after="152" w:line="358" w:lineRule="auto"/>
        <w:ind w:right="0"/>
        <w:rPr>
          <w:rFonts w:hint="eastAsia" w:ascii="仿宋" w:hAnsi="仿宋" w:eastAsia="仿宋" w:cs="仿宋"/>
          <w:b/>
          <w:bCs/>
          <w:sz w:val="28"/>
          <w:szCs w:val="28"/>
        </w:rPr>
      </w:pPr>
      <w:r>
        <w:rPr>
          <w:rFonts w:hint="eastAsia" w:ascii="仿宋" w:hAnsi="仿宋" w:eastAsia="仿宋" w:cs="仿宋"/>
          <w:b/>
          <w:bCs/>
          <w:sz w:val="28"/>
          <w:szCs w:val="28"/>
        </w:rPr>
        <w:t>第二部分 2020年部门预算表</w:t>
      </w:r>
    </w:p>
    <w:p>
      <w:pPr>
        <w:keepNext w:val="0"/>
        <w:keepLines w:val="0"/>
        <w:pageBreakBefore w:val="0"/>
        <w:kinsoku/>
        <w:wordWrap/>
        <w:overflowPunct/>
        <w:topLinePunct w:val="0"/>
        <w:autoSpaceDE/>
        <w:autoSpaceDN/>
        <w:bidi w:val="0"/>
        <w:adjustRightInd/>
        <w:snapToGrid w:val="0"/>
        <w:spacing w:after="152" w:line="358" w:lineRule="auto"/>
        <w:ind w:right="0"/>
        <w:rPr>
          <w:rFonts w:hint="eastAsia" w:ascii="仿宋" w:hAnsi="仿宋" w:eastAsia="仿宋" w:cs="仿宋"/>
          <w:sz w:val="28"/>
          <w:szCs w:val="28"/>
        </w:rPr>
      </w:pPr>
      <w:r>
        <w:rPr>
          <w:rFonts w:hint="eastAsia" w:ascii="仿宋" w:hAnsi="仿宋" w:eastAsia="仿宋" w:cs="仿宋"/>
          <w:sz w:val="28"/>
          <w:szCs w:val="28"/>
        </w:rPr>
        <w:t>1、 部门收支总表</w:t>
      </w:r>
    </w:p>
    <w:p>
      <w:pPr>
        <w:keepNext w:val="0"/>
        <w:keepLines w:val="0"/>
        <w:pageBreakBefore w:val="0"/>
        <w:kinsoku/>
        <w:wordWrap/>
        <w:overflowPunct/>
        <w:topLinePunct w:val="0"/>
        <w:autoSpaceDE/>
        <w:autoSpaceDN/>
        <w:bidi w:val="0"/>
        <w:adjustRightInd/>
        <w:snapToGrid w:val="0"/>
        <w:spacing w:after="152" w:line="358" w:lineRule="auto"/>
        <w:ind w:right="0"/>
        <w:rPr>
          <w:rFonts w:hint="eastAsia" w:ascii="仿宋" w:hAnsi="仿宋" w:eastAsia="仿宋" w:cs="仿宋"/>
          <w:sz w:val="28"/>
          <w:szCs w:val="28"/>
        </w:rPr>
      </w:pPr>
      <w:r>
        <w:rPr>
          <w:rFonts w:hint="eastAsia" w:ascii="仿宋" w:hAnsi="仿宋" w:eastAsia="仿宋" w:cs="仿宋"/>
          <w:sz w:val="28"/>
          <w:szCs w:val="28"/>
        </w:rPr>
        <w:t>2、 部门收入总表</w:t>
      </w:r>
    </w:p>
    <w:p>
      <w:pPr>
        <w:keepNext w:val="0"/>
        <w:keepLines w:val="0"/>
        <w:pageBreakBefore w:val="0"/>
        <w:kinsoku/>
        <w:wordWrap/>
        <w:overflowPunct/>
        <w:topLinePunct w:val="0"/>
        <w:autoSpaceDE/>
        <w:autoSpaceDN/>
        <w:bidi w:val="0"/>
        <w:adjustRightInd/>
        <w:snapToGrid w:val="0"/>
        <w:spacing w:after="152" w:line="358" w:lineRule="auto"/>
        <w:ind w:right="0"/>
        <w:rPr>
          <w:rFonts w:hint="eastAsia" w:ascii="仿宋" w:hAnsi="仿宋" w:eastAsia="仿宋" w:cs="仿宋"/>
          <w:sz w:val="28"/>
          <w:szCs w:val="28"/>
        </w:rPr>
      </w:pPr>
      <w:r>
        <w:rPr>
          <w:rFonts w:hint="eastAsia" w:ascii="仿宋" w:hAnsi="仿宋" w:eastAsia="仿宋" w:cs="仿宋"/>
          <w:sz w:val="28"/>
          <w:szCs w:val="28"/>
        </w:rPr>
        <w:t>3、 部门支出总表</w:t>
      </w:r>
    </w:p>
    <w:p>
      <w:pPr>
        <w:keepNext w:val="0"/>
        <w:keepLines w:val="0"/>
        <w:pageBreakBefore w:val="0"/>
        <w:kinsoku/>
        <w:wordWrap/>
        <w:overflowPunct/>
        <w:topLinePunct w:val="0"/>
        <w:autoSpaceDE/>
        <w:autoSpaceDN/>
        <w:bidi w:val="0"/>
        <w:adjustRightInd/>
        <w:snapToGrid w:val="0"/>
        <w:spacing w:after="152" w:line="358" w:lineRule="auto"/>
        <w:ind w:right="0"/>
        <w:rPr>
          <w:rFonts w:hint="eastAsia" w:ascii="仿宋" w:hAnsi="仿宋" w:eastAsia="仿宋" w:cs="仿宋"/>
          <w:sz w:val="28"/>
          <w:szCs w:val="28"/>
        </w:rPr>
      </w:pPr>
      <w:r>
        <w:rPr>
          <w:rFonts w:hint="eastAsia" w:ascii="仿宋" w:hAnsi="仿宋" w:eastAsia="仿宋" w:cs="仿宋"/>
          <w:sz w:val="28"/>
          <w:szCs w:val="28"/>
        </w:rPr>
        <w:t>4、 部门支出总表（分类）</w:t>
      </w:r>
    </w:p>
    <w:p>
      <w:pPr>
        <w:keepNext w:val="0"/>
        <w:keepLines w:val="0"/>
        <w:pageBreakBefore w:val="0"/>
        <w:kinsoku/>
        <w:wordWrap/>
        <w:overflowPunct/>
        <w:topLinePunct w:val="0"/>
        <w:autoSpaceDE/>
        <w:autoSpaceDN/>
        <w:bidi w:val="0"/>
        <w:adjustRightInd/>
        <w:snapToGrid w:val="0"/>
        <w:spacing w:after="152" w:line="358" w:lineRule="auto"/>
        <w:ind w:right="0"/>
        <w:rPr>
          <w:rFonts w:hint="eastAsia" w:ascii="仿宋" w:hAnsi="仿宋" w:eastAsia="仿宋" w:cs="仿宋"/>
          <w:sz w:val="28"/>
          <w:szCs w:val="28"/>
        </w:rPr>
      </w:pPr>
      <w:r>
        <w:rPr>
          <w:rFonts w:hint="eastAsia" w:ascii="仿宋" w:hAnsi="仿宋" w:eastAsia="仿宋" w:cs="仿宋"/>
          <w:sz w:val="28"/>
          <w:szCs w:val="28"/>
        </w:rPr>
        <w:t>5、 支出分类（政府预算）</w:t>
      </w:r>
    </w:p>
    <w:p>
      <w:pPr>
        <w:keepNext w:val="0"/>
        <w:keepLines w:val="0"/>
        <w:pageBreakBefore w:val="0"/>
        <w:kinsoku/>
        <w:wordWrap/>
        <w:overflowPunct/>
        <w:topLinePunct w:val="0"/>
        <w:autoSpaceDE/>
        <w:autoSpaceDN/>
        <w:bidi w:val="0"/>
        <w:adjustRightInd/>
        <w:snapToGrid w:val="0"/>
        <w:spacing w:after="152" w:line="358" w:lineRule="auto"/>
        <w:ind w:right="0"/>
        <w:rPr>
          <w:rFonts w:hint="eastAsia" w:ascii="仿宋" w:hAnsi="仿宋" w:eastAsia="仿宋" w:cs="仿宋"/>
          <w:sz w:val="28"/>
          <w:szCs w:val="28"/>
        </w:rPr>
      </w:pPr>
      <w:r>
        <w:rPr>
          <w:rFonts w:hint="eastAsia" w:ascii="仿宋" w:hAnsi="仿宋" w:eastAsia="仿宋" w:cs="仿宋"/>
          <w:sz w:val="28"/>
          <w:szCs w:val="28"/>
        </w:rPr>
        <w:t>6、 基本—工资福利</w:t>
      </w:r>
    </w:p>
    <w:p>
      <w:pPr>
        <w:keepNext w:val="0"/>
        <w:keepLines w:val="0"/>
        <w:pageBreakBefore w:val="0"/>
        <w:kinsoku/>
        <w:wordWrap/>
        <w:overflowPunct/>
        <w:topLinePunct w:val="0"/>
        <w:autoSpaceDE/>
        <w:autoSpaceDN/>
        <w:bidi w:val="0"/>
        <w:adjustRightInd/>
        <w:snapToGrid w:val="0"/>
        <w:spacing w:after="152" w:line="358" w:lineRule="auto"/>
        <w:ind w:right="0"/>
        <w:rPr>
          <w:rFonts w:hint="eastAsia" w:ascii="仿宋" w:hAnsi="仿宋" w:eastAsia="仿宋" w:cs="仿宋"/>
          <w:sz w:val="28"/>
          <w:szCs w:val="28"/>
        </w:rPr>
      </w:pPr>
      <w:r>
        <w:rPr>
          <w:rFonts w:hint="eastAsia" w:ascii="仿宋" w:hAnsi="仿宋" w:eastAsia="仿宋" w:cs="仿宋"/>
          <w:sz w:val="28"/>
          <w:szCs w:val="28"/>
        </w:rPr>
        <w:t>7、 工资福利（政府预算）</w:t>
      </w:r>
    </w:p>
    <w:p>
      <w:pPr>
        <w:keepNext w:val="0"/>
        <w:keepLines w:val="0"/>
        <w:pageBreakBefore w:val="0"/>
        <w:kinsoku/>
        <w:wordWrap/>
        <w:overflowPunct/>
        <w:topLinePunct w:val="0"/>
        <w:autoSpaceDE/>
        <w:autoSpaceDN/>
        <w:bidi w:val="0"/>
        <w:adjustRightInd/>
        <w:snapToGrid w:val="0"/>
        <w:spacing w:after="152" w:line="358" w:lineRule="auto"/>
        <w:ind w:right="0"/>
        <w:rPr>
          <w:rFonts w:hint="eastAsia" w:ascii="仿宋" w:hAnsi="仿宋" w:eastAsia="仿宋" w:cs="仿宋"/>
          <w:sz w:val="28"/>
          <w:szCs w:val="28"/>
        </w:rPr>
      </w:pPr>
      <w:r>
        <w:rPr>
          <w:rFonts w:hint="eastAsia" w:ascii="仿宋" w:hAnsi="仿宋" w:eastAsia="仿宋" w:cs="仿宋"/>
          <w:sz w:val="28"/>
          <w:szCs w:val="28"/>
        </w:rPr>
        <w:t>8、 基本—商品服务</w:t>
      </w:r>
    </w:p>
    <w:p>
      <w:pPr>
        <w:keepNext w:val="0"/>
        <w:keepLines w:val="0"/>
        <w:pageBreakBefore w:val="0"/>
        <w:kinsoku/>
        <w:wordWrap/>
        <w:overflowPunct/>
        <w:topLinePunct w:val="0"/>
        <w:autoSpaceDE/>
        <w:autoSpaceDN/>
        <w:bidi w:val="0"/>
        <w:adjustRightInd/>
        <w:snapToGrid w:val="0"/>
        <w:spacing w:after="152" w:line="358" w:lineRule="auto"/>
        <w:ind w:right="0"/>
        <w:rPr>
          <w:rFonts w:hint="eastAsia" w:ascii="仿宋" w:hAnsi="仿宋" w:eastAsia="仿宋" w:cs="仿宋"/>
          <w:sz w:val="28"/>
          <w:szCs w:val="28"/>
        </w:rPr>
      </w:pPr>
      <w:r>
        <w:rPr>
          <w:rFonts w:hint="eastAsia" w:ascii="仿宋" w:hAnsi="仿宋" w:eastAsia="仿宋" w:cs="仿宋"/>
          <w:sz w:val="28"/>
          <w:szCs w:val="28"/>
        </w:rPr>
        <w:t>9、 商品服务（政府预算）</w:t>
      </w:r>
    </w:p>
    <w:p>
      <w:pPr>
        <w:keepNext w:val="0"/>
        <w:keepLines w:val="0"/>
        <w:pageBreakBefore w:val="0"/>
        <w:kinsoku/>
        <w:wordWrap/>
        <w:overflowPunct/>
        <w:topLinePunct w:val="0"/>
        <w:autoSpaceDE/>
        <w:autoSpaceDN/>
        <w:bidi w:val="0"/>
        <w:adjustRightInd/>
        <w:snapToGrid w:val="0"/>
        <w:spacing w:after="152" w:line="358" w:lineRule="auto"/>
        <w:ind w:right="0"/>
        <w:rPr>
          <w:rFonts w:hint="eastAsia" w:ascii="仿宋" w:hAnsi="仿宋" w:eastAsia="仿宋" w:cs="仿宋"/>
          <w:sz w:val="28"/>
          <w:szCs w:val="28"/>
        </w:rPr>
      </w:pPr>
      <w:r>
        <w:rPr>
          <w:rFonts w:hint="eastAsia" w:ascii="仿宋" w:hAnsi="仿宋" w:eastAsia="仿宋" w:cs="仿宋"/>
          <w:sz w:val="28"/>
          <w:szCs w:val="28"/>
        </w:rPr>
        <w:t>10、 基本－个人家庭</w:t>
      </w:r>
    </w:p>
    <w:p>
      <w:pPr>
        <w:keepNext w:val="0"/>
        <w:keepLines w:val="0"/>
        <w:pageBreakBefore w:val="0"/>
        <w:kinsoku/>
        <w:wordWrap/>
        <w:overflowPunct/>
        <w:topLinePunct w:val="0"/>
        <w:autoSpaceDE/>
        <w:autoSpaceDN/>
        <w:bidi w:val="0"/>
        <w:adjustRightInd/>
        <w:snapToGrid w:val="0"/>
        <w:spacing w:after="152" w:line="358" w:lineRule="auto"/>
        <w:ind w:right="0"/>
        <w:rPr>
          <w:rFonts w:hint="eastAsia" w:ascii="仿宋" w:hAnsi="仿宋" w:eastAsia="仿宋" w:cs="仿宋"/>
          <w:sz w:val="28"/>
          <w:szCs w:val="28"/>
        </w:rPr>
      </w:pPr>
      <w:r>
        <w:rPr>
          <w:rFonts w:hint="eastAsia" w:ascii="仿宋" w:hAnsi="仿宋" w:eastAsia="仿宋" w:cs="仿宋"/>
          <w:sz w:val="28"/>
          <w:szCs w:val="28"/>
        </w:rPr>
        <w:t>11、 个人家庭（政府预算）</w:t>
      </w:r>
    </w:p>
    <w:p>
      <w:pPr>
        <w:keepNext w:val="0"/>
        <w:keepLines w:val="0"/>
        <w:pageBreakBefore w:val="0"/>
        <w:kinsoku/>
        <w:wordWrap/>
        <w:overflowPunct/>
        <w:topLinePunct w:val="0"/>
        <w:autoSpaceDE/>
        <w:autoSpaceDN/>
        <w:bidi w:val="0"/>
        <w:adjustRightInd/>
        <w:snapToGrid w:val="0"/>
        <w:spacing w:after="152" w:line="358" w:lineRule="auto"/>
        <w:ind w:right="0"/>
        <w:rPr>
          <w:rFonts w:hint="eastAsia" w:ascii="仿宋" w:hAnsi="仿宋" w:eastAsia="仿宋" w:cs="仿宋"/>
          <w:sz w:val="28"/>
          <w:szCs w:val="28"/>
        </w:rPr>
      </w:pPr>
      <w:r>
        <w:rPr>
          <w:rFonts w:hint="eastAsia" w:ascii="仿宋" w:hAnsi="仿宋" w:eastAsia="仿宋" w:cs="仿宋"/>
          <w:sz w:val="28"/>
          <w:szCs w:val="28"/>
        </w:rPr>
        <w:t>12、 财政拨款收支总表</w:t>
      </w:r>
    </w:p>
    <w:p>
      <w:pPr>
        <w:keepNext w:val="0"/>
        <w:keepLines w:val="0"/>
        <w:pageBreakBefore w:val="0"/>
        <w:kinsoku/>
        <w:wordWrap/>
        <w:overflowPunct/>
        <w:topLinePunct w:val="0"/>
        <w:autoSpaceDE/>
        <w:autoSpaceDN/>
        <w:bidi w:val="0"/>
        <w:adjustRightInd/>
        <w:snapToGrid w:val="0"/>
        <w:spacing w:after="152" w:line="358" w:lineRule="auto"/>
        <w:ind w:right="0"/>
        <w:rPr>
          <w:rFonts w:hint="eastAsia" w:ascii="仿宋" w:hAnsi="仿宋" w:eastAsia="仿宋" w:cs="仿宋"/>
          <w:sz w:val="28"/>
          <w:szCs w:val="28"/>
        </w:rPr>
      </w:pPr>
      <w:r>
        <w:rPr>
          <w:rFonts w:hint="eastAsia" w:ascii="仿宋" w:hAnsi="仿宋" w:eastAsia="仿宋" w:cs="仿宋"/>
          <w:sz w:val="28"/>
          <w:szCs w:val="28"/>
        </w:rPr>
        <w:t>13、 一般预算支出表</w:t>
      </w:r>
    </w:p>
    <w:p>
      <w:pPr>
        <w:keepNext w:val="0"/>
        <w:keepLines w:val="0"/>
        <w:pageBreakBefore w:val="0"/>
        <w:kinsoku/>
        <w:wordWrap/>
        <w:overflowPunct/>
        <w:topLinePunct w:val="0"/>
        <w:autoSpaceDE/>
        <w:autoSpaceDN/>
        <w:bidi w:val="0"/>
        <w:adjustRightInd/>
        <w:snapToGrid w:val="0"/>
        <w:spacing w:after="152" w:line="358" w:lineRule="auto"/>
        <w:ind w:right="0"/>
        <w:rPr>
          <w:rFonts w:hint="eastAsia" w:ascii="仿宋" w:hAnsi="仿宋" w:eastAsia="仿宋" w:cs="仿宋"/>
          <w:sz w:val="28"/>
          <w:szCs w:val="28"/>
        </w:rPr>
      </w:pPr>
      <w:r>
        <w:rPr>
          <w:rFonts w:hint="eastAsia" w:ascii="仿宋" w:hAnsi="仿宋" w:eastAsia="仿宋" w:cs="仿宋"/>
          <w:sz w:val="28"/>
          <w:szCs w:val="28"/>
        </w:rPr>
        <w:t>14、 一般预算基本支出</w:t>
      </w:r>
    </w:p>
    <w:p>
      <w:pPr>
        <w:keepNext w:val="0"/>
        <w:keepLines w:val="0"/>
        <w:pageBreakBefore w:val="0"/>
        <w:kinsoku/>
        <w:wordWrap/>
        <w:overflowPunct/>
        <w:topLinePunct w:val="0"/>
        <w:autoSpaceDE/>
        <w:autoSpaceDN/>
        <w:bidi w:val="0"/>
        <w:adjustRightInd/>
        <w:snapToGrid w:val="0"/>
        <w:spacing w:after="152" w:line="358" w:lineRule="auto"/>
        <w:ind w:right="0"/>
        <w:rPr>
          <w:rFonts w:hint="eastAsia" w:ascii="仿宋" w:hAnsi="仿宋" w:eastAsia="仿宋" w:cs="仿宋"/>
          <w:sz w:val="28"/>
          <w:szCs w:val="28"/>
        </w:rPr>
      </w:pPr>
      <w:r>
        <w:rPr>
          <w:rFonts w:hint="eastAsia" w:ascii="仿宋" w:hAnsi="仿宋" w:eastAsia="仿宋" w:cs="仿宋"/>
          <w:sz w:val="28"/>
          <w:szCs w:val="28"/>
        </w:rPr>
        <w:t>15、 一般支出——工资福利</w:t>
      </w:r>
    </w:p>
    <w:p>
      <w:pPr>
        <w:keepNext w:val="0"/>
        <w:keepLines w:val="0"/>
        <w:pageBreakBefore w:val="0"/>
        <w:kinsoku/>
        <w:wordWrap/>
        <w:overflowPunct/>
        <w:topLinePunct w:val="0"/>
        <w:autoSpaceDE/>
        <w:autoSpaceDN/>
        <w:bidi w:val="0"/>
        <w:adjustRightInd/>
        <w:snapToGrid w:val="0"/>
        <w:spacing w:after="152" w:line="358" w:lineRule="auto"/>
        <w:ind w:right="0"/>
        <w:rPr>
          <w:rFonts w:hint="eastAsia" w:ascii="仿宋" w:hAnsi="仿宋" w:eastAsia="仿宋" w:cs="仿宋"/>
          <w:sz w:val="28"/>
          <w:szCs w:val="28"/>
        </w:rPr>
      </w:pPr>
      <w:r>
        <w:rPr>
          <w:rFonts w:hint="eastAsia" w:ascii="仿宋" w:hAnsi="仿宋" w:eastAsia="仿宋" w:cs="仿宋"/>
          <w:sz w:val="28"/>
          <w:szCs w:val="28"/>
        </w:rPr>
        <w:t>16、 工资福利（政府预算）</w:t>
      </w:r>
    </w:p>
    <w:p>
      <w:pPr>
        <w:keepNext w:val="0"/>
        <w:keepLines w:val="0"/>
        <w:pageBreakBefore w:val="0"/>
        <w:kinsoku/>
        <w:wordWrap/>
        <w:overflowPunct/>
        <w:topLinePunct w:val="0"/>
        <w:autoSpaceDE/>
        <w:autoSpaceDN/>
        <w:bidi w:val="0"/>
        <w:adjustRightInd/>
        <w:snapToGrid w:val="0"/>
        <w:spacing w:after="152" w:line="358" w:lineRule="auto"/>
        <w:ind w:right="0"/>
        <w:rPr>
          <w:rFonts w:hint="eastAsia" w:ascii="仿宋" w:hAnsi="仿宋" w:eastAsia="仿宋" w:cs="仿宋"/>
          <w:sz w:val="28"/>
          <w:szCs w:val="28"/>
        </w:rPr>
      </w:pPr>
      <w:r>
        <w:rPr>
          <w:rFonts w:hint="eastAsia" w:ascii="仿宋" w:hAnsi="仿宋" w:eastAsia="仿宋" w:cs="仿宋"/>
          <w:sz w:val="28"/>
          <w:szCs w:val="28"/>
        </w:rPr>
        <w:t>17、 一般支出——商品服务</w:t>
      </w:r>
    </w:p>
    <w:p>
      <w:pPr>
        <w:keepNext w:val="0"/>
        <w:keepLines w:val="0"/>
        <w:pageBreakBefore w:val="0"/>
        <w:kinsoku/>
        <w:wordWrap/>
        <w:overflowPunct/>
        <w:topLinePunct w:val="0"/>
        <w:autoSpaceDE/>
        <w:autoSpaceDN/>
        <w:bidi w:val="0"/>
        <w:adjustRightInd/>
        <w:snapToGrid w:val="0"/>
        <w:spacing w:after="152" w:line="358" w:lineRule="auto"/>
        <w:ind w:right="0"/>
        <w:rPr>
          <w:rFonts w:hint="eastAsia" w:ascii="仿宋" w:hAnsi="仿宋" w:eastAsia="仿宋" w:cs="仿宋"/>
          <w:sz w:val="28"/>
          <w:szCs w:val="28"/>
        </w:rPr>
      </w:pPr>
      <w:r>
        <w:rPr>
          <w:rFonts w:hint="eastAsia" w:ascii="仿宋" w:hAnsi="仿宋" w:eastAsia="仿宋" w:cs="仿宋"/>
          <w:sz w:val="28"/>
          <w:szCs w:val="28"/>
        </w:rPr>
        <w:t>18、 商品服务（政府预算）</w:t>
      </w:r>
    </w:p>
    <w:p>
      <w:pPr>
        <w:keepNext w:val="0"/>
        <w:keepLines w:val="0"/>
        <w:pageBreakBefore w:val="0"/>
        <w:kinsoku/>
        <w:wordWrap/>
        <w:overflowPunct/>
        <w:topLinePunct w:val="0"/>
        <w:autoSpaceDE/>
        <w:autoSpaceDN/>
        <w:bidi w:val="0"/>
        <w:adjustRightInd/>
        <w:snapToGrid w:val="0"/>
        <w:spacing w:after="152" w:line="358" w:lineRule="auto"/>
        <w:ind w:right="0"/>
        <w:rPr>
          <w:rFonts w:hint="eastAsia" w:ascii="仿宋" w:hAnsi="仿宋" w:eastAsia="仿宋" w:cs="仿宋"/>
          <w:sz w:val="28"/>
          <w:szCs w:val="28"/>
        </w:rPr>
      </w:pPr>
      <w:r>
        <w:rPr>
          <w:rFonts w:hint="eastAsia" w:ascii="仿宋" w:hAnsi="仿宋" w:eastAsia="仿宋" w:cs="仿宋"/>
          <w:sz w:val="28"/>
          <w:szCs w:val="28"/>
        </w:rPr>
        <w:t>19、 一般支出——个人家庭</w:t>
      </w:r>
    </w:p>
    <w:p>
      <w:pPr>
        <w:keepNext w:val="0"/>
        <w:keepLines w:val="0"/>
        <w:pageBreakBefore w:val="0"/>
        <w:kinsoku/>
        <w:wordWrap/>
        <w:overflowPunct/>
        <w:topLinePunct w:val="0"/>
        <w:autoSpaceDE/>
        <w:autoSpaceDN/>
        <w:bidi w:val="0"/>
        <w:adjustRightInd/>
        <w:snapToGrid w:val="0"/>
        <w:spacing w:after="152" w:line="358" w:lineRule="auto"/>
        <w:ind w:right="0"/>
        <w:rPr>
          <w:rFonts w:hint="eastAsia" w:ascii="仿宋" w:hAnsi="仿宋" w:eastAsia="仿宋" w:cs="仿宋"/>
          <w:sz w:val="28"/>
          <w:szCs w:val="28"/>
        </w:rPr>
      </w:pPr>
      <w:r>
        <w:rPr>
          <w:rFonts w:hint="eastAsia" w:ascii="仿宋" w:hAnsi="仿宋" w:eastAsia="仿宋" w:cs="仿宋"/>
          <w:sz w:val="28"/>
          <w:szCs w:val="28"/>
        </w:rPr>
        <w:t>20、 个人家庭（政府预算）</w:t>
      </w:r>
    </w:p>
    <w:p>
      <w:pPr>
        <w:keepNext w:val="0"/>
        <w:keepLines w:val="0"/>
        <w:pageBreakBefore w:val="0"/>
        <w:kinsoku/>
        <w:wordWrap/>
        <w:overflowPunct/>
        <w:topLinePunct w:val="0"/>
        <w:autoSpaceDE/>
        <w:autoSpaceDN/>
        <w:bidi w:val="0"/>
        <w:adjustRightInd/>
        <w:snapToGrid w:val="0"/>
        <w:spacing w:after="152" w:line="358" w:lineRule="auto"/>
        <w:ind w:right="0"/>
        <w:rPr>
          <w:rFonts w:hint="eastAsia" w:ascii="仿宋" w:hAnsi="仿宋" w:eastAsia="仿宋" w:cs="仿宋"/>
          <w:sz w:val="28"/>
          <w:szCs w:val="28"/>
        </w:rPr>
      </w:pPr>
      <w:r>
        <w:rPr>
          <w:rFonts w:hint="eastAsia" w:ascii="仿宋" w:hAnsi="仿宋" w:eastAsia="仿宋" w:cs="仿宋"/>
          <w:sz w:val="28"/>
          <w:szCs w:val="28"/>
        </w:rPr>
        <w:t>21、 经费拨款</w:t>
      </w:r>
    </w:p>
    <w:p>
      <w:pPr>
        <w:keepNext w:val="0"/>
        <w:keepLines w:val="0"/>
        <w:pageBreakBefore w:val="0"/>
        <w:kinsoku/>
        <w:wordWrap/>
        <w:overflowPunct/>
        <w:topLinePunct w:val="0"/>
        <w:autoSpaceDE/>
        <w:autoSpaceDN/>
        <w:bidi w:val="0"/>
        <w:adjustRightInd/>
        <w:snapToGrid w:val="0"/>
        <w:spacing w:after="152" w:line="358" w:lineRule="auto"/>
        <w:ind w:right="0"/>
        <w:rPr>
          <w:rFonts w:hint="eastAsia" w:ascii="仿宋" w:hAnsi="仿宋" w:eastAsia="仿宋" w:cs="仿宋"/>
          <w:sz w:val="28"/>
          <w:szCs w:val="28"/>
        </w:rPr>
      </w:pPr>
      <w:r>
        <w:rPr>
          <w:rFonts w:hint="eastAsia" w:ascii="仿宋" w:hAnsi="仿宋" w:eastAsia="仿宋" w:cs="仿宋"/>
          <w:sz w:val="28"/>
          <w:szCs w:val="28"/>
        </w:rPr>
        <w:t>22、 经费拨款（政府预算）</w:t>
      </w:r>
    </w:p>
    <w:p>
      <w:pPr>
        <w:keepNext w:val="0"/>
        <w:keepLines w:val="0"/>
        <w:pageBreakBefore w:val="0"/>
        <w:kinsoku/>
        <w:wordWrap/>
        <w:overflowPunct/>
        <w:topLinePunct w:val="0"/>
        <w:autoSpaceDE/>
        <w:autoSpaceDN/>
        <w:bidi w:val="0"/>
        <w:adjustRightInd/>
        <w:snapToGrid w:val="0"/>
        <w:spacing w:after="152" w:line="358" w:lineRule="auto"/>
        <w:ind w:right="0"/>
        <w:rPr>
          <w:rFonts w:hint="eastAsia" w:ascii="仿宋" w:hAnsi="仿宋" w:eastAsia="仿宋" w:cs="仿宋"/>
          <w:sz w:val="28"/>
          <w:szCs w:val="28"/>
        </w:rPr>
      </w:pPr>
      <w:r>
        <w:rPr>
          <w:rFonts w:hint="eastAsia" w:ascii="仿宋" w:hAnsi="仿宋" w:eastAsia="仿宋" w:cs="仿宋"/>
          <w:sz w:val="28"/>
          <w:szCs w:val="28"/>
        </w:rPr>
        <w:t>23、 政府基金</w:t>
      </w:r>
    </w:p>
    <w:p>
      <w:pPr>
        <w:keepNext w:val="0"/>
        <w:keepLines w:val="0"/>
        <w:pageBreakBefore w:val="0"/>
        <w:kinsoku/>
        <w:wordWrap/>
        <w:overflowPunct/>
        <w:topLinePunct w:val="0"/>
        <w:autoSpaceDE/>
        <w:autoSpaceDN/>
        <w:bidi w:val="0"/>
        <w:adjustRightInd/>
        <w:snapToGrid w:val="0"/>
        <w:spacing w:after="152" w:line="358" w:lineRule="auto"/>
        <w:ind w:right="0"/>
        <w:rPr>
          <w:rFonts w:hint="eastAsia" w:ascii="仿宋" w:hAnsi="仿宋" w:eastAsia="仿宋" w:cs="仿宋"/>
          <w:sz w:val="28"/>
          <w:szCs w:val="28"/>
        </w:rPr>
      </w:pPr>
      <w:r>
        <w:rPr>
          <w:rFonts w:hint="eastAsia" w:ascii="仿宋" w:hAnsi="仿宋" w:eastAsia="仿宋" w:cs="仿宋"/>
          <w:sz w:val="28"/>
          <w:szCs w:val="28"/>
        </w:rPr>
        <w:t>24、 政府基金（政府预算）</w:t>
      </w:r>
    </w:p>
    <w:p>
      <w:pPr>
        <w:keepNext w:val="0"/>
        <w:keepLines w:val="0"/>
        <w:pageBreakBefore w:val="0"/>
        <w:kinsoku/>
        <w:wordWrap/>
        <w:overflowPunct/>
        <w:topLinePunct w:val="0"/>
        <w:autoSpaceDE/>
        <w:autoSpaceDN/>
        <w:bidi w:val="0"/>
        <w:adjustRightInd/>
        <w:snapToGrid w:val="0"/>
        <w:spacing w:after="152" w:line="358" w:lineRule="auto"/>
        <w:ind w:right="0"/>
        <w:rPr>
          <w:rFonts w:hint="eastAsia" w:ascii="仿宋" w:hAnsi="仿宋" w:eastAsia="仿宋" w:cs="仿宋"/>
          <w:sz w:val="28"/>
          <w:szCs w:val="28"/>
        </w:rPr>
      </w:pPr>
      <w:r>
        <w:rPr>
          <w:rFonts w:hint="eastAsia" w:ascii="仿宋" w:hAnsi="仿宋" w:eastAsia="仿宋" w:cs="仿宋"/>
          <w:sz w:val="28"/>
          <w:szCs w:val="28"/>
        </w:rPr>
        <w:t>25、 三公经费</w:t>
      </w:r>
    </w:p>
    <w:p>
      <w:pPr>
        <w:keepNext w:val="0"/>
        <w:keepLines w:val="0"/>
        <w:pageBreakBefore w:val="0"/>
        <w:kinsoku/>
        <w:wordWrap/>
        <w:overflowPunct/>
        <w:topLinePunct w:val="0"/>
        <w:autoSpaceDE/>
        <w:autoSpaceDN/>
        <w:bidi w:val="0"/>
        <w:adjustRightInd/>
        <w:snapToGrid w:val="0"/>
        <w:spacing w:after="152" w:line="358" w:lineRule="auto"/>
        <w:ind w:right="0"/>
        <w:rPr>
          <w:rFonts w:hint="eastAsia" w:ascii="仿宋" w:hAnsi="仿宋" w:eastAsia="仿宋" w:cs="仿宋"/>
          <w:sz w:val="30"/>
          <w:szCs w:val="30"/>
        </w:rPr>
      </w:pPr>
      <w:r>
        <w:rPr>
          <w:rFonts w:hint="eastAsia" w:ascii="仿宋" w:hAnsi="仿宋" w:eastAsia="仿宋" w:cs="仿宋"/>
          <w:sz w:val="30"/>
          <w:szCs w:val="30"/>
        </w:rPr>
        <w:t>注：以上部门预算报表中，空表表示本部门无相关收支情况。</w:t>
      </w:r>
    </w:p>
    <w:p>
      <w:pPr>
        <w:keepNext w:val="0"/>
        <w:keepLines w:val="0"/>
        <w:pageBreakBefore w:val="0"/>
        <w:widowControl/>
        <w:pBdr>
          <w:top w:val="none" w:color="000000" w:sz="0" w:space="0"/>
          <w:left w:val="none" w:color="000000" w:sz="0" w:space="0"/>
          <w:bottom w:val="none" w:color="000000" w:sz="0" w:space="0"/>
          <w:right w:val="none" w:color="000000" w:sz="0" w:space="0"/>
        </w:pBdr>
        <w:kinsoku/>
        <w:wordWrap/>
        <w:overflowPunct/>
        <w:topLinePunct w:val="0"/>
        <w:autoSpaceDE/>
        <w:autoSpaceDN/>
        <w:bidi w:val="0"/>
        <w:adjustRightInd/>
        <w:snapToGrid w:val="0"/>
        <w:spacing w:before="312" w:after="312" w:line="358" w:lineRule="auto"/>
        <w:jc w:val="center"/>
        <w:textAlignment w:val="baseline"/>
        <w:rPr>
          <w:rFonts w:cs="黑体" w:asciiTheme="minorEastAsia" w:hAnsiTheme="minorEastAsia"/>
          <w:b/>
          <w:color w:val="000000"/>
          <w:kern w:val="0"/>
          <w:sz w:val="28"/>
          <w:szCs w:val="28"/>
        </w:rPr>
      </w:pPr>
    </w:p>
    <w:p>
      <w:pPr>
        <w:widowControl/>
        <w:pBdr>
          <w:top w:val="none" w:color="000000" w:sz="0" w:space="0"/>
          <w:left w:val="none" w:color="000000" w:sz="0" w:space="0"/>
          <w:bottom w:val="none" w:color="000000" w:sz="0" w:space="0"/>
          <w:right w:val="none" w:color="000000" w:sz="0" w:space="0"/>
        </w:pBdr>
        <w:spacing w:before="312" w:after="312" w:line="320" w:lineRule="atLeast"/>
        <w:textAlignment w:val="baseline"/>
        <w:rPr>
          <w:rFonts w:cs="Helvetica" w:asciiTheme="minorEastAsia" w:hAnsiTheme="minorEastAsia"/>
          <w:color w:val="000000"/>
          <w:sz w:val="28"/>
          <w:szCs w:val="28"/>
        </w:rPr>
      </w:pPr>
      <w:r>
        <w:rPr>
          <w:rFonts w:hint="eastAsia" w:cs="黑体" w:asciiTheme="minorEastAsia" w:hAnsiTheme="minorEastAsia"/>
          <w:b/>
          <w:color w:val="000000"/>
          <w:kern w:val="0"/>
          <w:sz w:val="28"/>
          <w:szCs w:val="28"/>
        </w:rPr>
        <w:t>第一部分：衡南县民政局2020年部门预算说明</w:t>
      </w:r>
    </w:p>
    <w:p>
      <w:pPr>
        <w:widowControl/>
        <w:pBdr>
          <w:top w:val="none" w:color="000000" w:sz="0" w:space="0"/>
          <w:left w:val="none" w:color="000000" w:sz="0" w:space="0"/>
          <w:bottom w:val="none" w:color="000000" w:sz="0" w:space="0"/>
          <w:right w:val="none" w:color="000000" w:sz="0" w:space="0"/>
        </w:pBdr>
        <w:spacing w:before="312" w:after="312" w:line="320" w:lineRule="atLeast"/>
        <w:ind w:firstLine="480"/>
        <w:jc w:val="left"/>
        <w:textAlignment w:val="baseline"/>
        <w:rPr>
          <w:rFonts w:cs="宋体" w:asciiTheme="minorEastAsia" w:hAnsiTheme="minorEastAsia"/>
          <w:b/>
          <w:color w:val="000000"/>
          <w:kern w:val="0"/>
          <w:sz w:val="28"/>
          <w:szCs w:val="28"/>
        </w:rPr>
      </w:pPr>
      <w:r>
        <w:rPr>
          <w:rFonts w:cs="宋体" w:asciiTheme="minorEastAsia" w:hAnsiTheme="minorEastAsia"/>
          <w:b/>
          <w:color w:val="000000"/>
          <w:kern w:val="0"/>
          <w:sz w:val="28"/>
          <w:szCs w:val="28"/>
        </w:rPr>
        <w:t>　一、部门基本概况 </w:t>
      </w:r>
    </w:p>
    <w:p>
      <w:pPr>
        <w:widowControl/>
        <w:pBdr>
          <w:top w:val="none" w:color="000000" w:sz="0" w:space="0"/>
          <w:left w:val="none" w:color="000000" w:sz="0" w:space="0"/>
          <w:bottom w:val="none" w:color="000000" w:sz="0" w:space="0"/>
          <w:right w:val="none" w:color="000000" w:sz="0" w:space="0"/>
        </w:pBdr>
        <w:spacing w:before="312" w:after="312" w:line="320" w:lineRule="atLeast"/>
        <w:ind w:firstLine="480"/>
        <w:jc w:val="left"/>
        <w:textAlignment w:val="baseline"/>
        <w:rPr>
          <w:rFonts w:cs="宋体" w:asciiTheme="minorEastAsia" w:hAnsiTheme="minorEastAsia"/>
          <w:b/>
          <w:color w:val="000000"/>
          <w:kern w:val="0"/>
          <w:sz w:val="28"/>
          <w:szCs w:val="28"/>
        </w:rPr>
      </w:pPr>
      <w:r>
        <w:rPr>
          <w:rFonts w:hint="eastAsia" w:cs="宋体" w:asciiTheme="minorEastAsia" w:hAnsiTheme="minorEastAsia"/>
          <w:b/>
          <w:color w:val="000000"/>
          <w:kern w:val="0"/>
          <w:sz w:val="28"/>
          <w:szCs w:val="28"/>
        </w:rPr>
        <w:t>（一）职能职责</w:t>
      </w:r>
    </w:p>
    <w:p>
      <w:pPr>
        <w:widowControl/>
        <w:pBdr>
          <w:top w:val="none" w:color="000000" w:sz="0" w:space="0"/>
          <w:left w:val="none" w:color="000000" w:sz="0" w:space="0"/>
          <w:bottom w:val="none" w:color="000000" w:sz="0" w:space="0"/>
          <w:right w:val="none" w:color="000000" w:sz="0" w:space="0"/>
        </w:pBdr>
        <w:spacing w:before="312" w:after="312" w:line="320" w:lineRule="atLeast"/>
        <w:ind w:firstLine="480"/>
        <w:jc w:val="left"/>
        <w:textAlignment w:val="baseline"/>
        <w:rPr>
          <w:rFonts w:cs="Times New Roman" w:asciiTheme="minorEastAsia" w:hAnsiTheme="minorEastAsia"/>
          <w:color w:val="000000"/>
          <w:kern w:val="0"/>
          <w:sz w:val="28"/>
          <w:szCs w:val="28"/>
        </w:rPr>
      </w:pPr>
      <w:r>
        <w:rPr>
          <w:rFonts w:cs="Arial" w:asciiTheme="minorEastAsia" w:hAnsiTheme="minorEastAsia"/>
          <w:color w:val="333333"/>
          <w:sz w:val="28"/>
          <w:szCs w:val="28"/>
          <w:shd w:val="clear" w:color="auto" w:fill="FFFFFF"/>
        </w:rPr>
        <w:t>　</w:t>
      </w:r>
      <w:r>
        <w:rPr>
          <w:rFonts w:hint="eastAsia" w:cs="Times New Roman" w:asciiTheme="minorEastAsia" w:hAnsiTheme="minorEastAsia"/>
          <w:color w:val="000000"/>
          <w:kern w:val="0"/>
          <w:sz w:val="28"/>
          <w:szCs w:val="28"/>
        </w:rPr>
        <w:t>1、贯彻执行党和国家关于民政工作的法律、法规和方针政策。拟订全县民政方面的规范性文件，拟订全县民政事业发展规划，并组织实施和监督检查。</w:t>
      </w:r>
    </w:p>
    <w:p>
      <w:pPr>
        <w:widowControl/>
        <w:pBdr>
          <w:top w:val="none" w:color="000000" w:sz="0" w:space="0"/>
          <w:left w:val="none" w:color="000000" w:sz="0" w:space="0"/>
          <w:bottom w:val="none" w:color="000000" w:sz="0" w:space="0"/>
          <w:right w:val="none" w:color="000000" w:sz="0" w:space="0"/>
        </w:pBdr>
        <w:spacing w:before="312" w:after="312" w:line="320" w:lineRule="atLeast"/>
        <w:ind w:firstLine="480"/>
        <w:jc w:val="left"/>
        <w:textAlignment w:val="baseline"/>
        <w:rPr>
          <w:rFonts w:cs="Times New Roman" w:asciiTheme="minorEastAsia" w:hAnsiTheme="minorEastAsia"/>
          <w:color w:val="000000"/>
          <w:kern w:val="0"/>
          <w:sz w:val="28"/>
          <w:szCs w:val="28"/>
        </w:rPr>
      </w:pPr>
      <w:r>
        <w:rPr>
          <w:rFonts w:hint="eastAsia" w:cs="Times New Roman" w:asciiTheme="minorEastAsia" w:hAnsiTheme="minorEastAsia"/>
          <w:color w:val="000000"/>
          <w:kern w:val="0"/>
          <w:sz w:val="28"/>
          <w:szCs w:val="28"/>
        </w:rPr>
        <w:t>2、依法对全县社会团体、社会服务机构、基金会登记管理和执法监督。负责县本级无业务主管单位、直接登记的社会组织党建工作。</w:t>
      </w:r>
    </w:p>
    <w:p>
      <w:pPr>
        <w:widowControl/>
        <w:pBdr>
          <w:top w:val="none" w:color="000000" w:sz="0" w:space="0"/>
          <w:left w:val="none" w:color="000000" w:sz="0" w:space="0"/>
          <w:bottom w:val="none" w:color="000000" w:sz="0" w:space="0"/>
          <w:right w:val="none" w:color="000000" w:sz="0" w:space="0"/>
        </w:pBdr>
        <w:spacing w:before="312" w:after="312" w:line="320" w:lineRule="atLeast"/>
        <w:ind w:firstLine="480"/>
        <w:jc w:val="left"/>
        <w:textAlignment w:val="baseline"/>
        <w:rPr>
          <w:rFonts w:cs="Times New Roman" w:asciiTheme="minorEastAsia" w:hAnsiTheme="minorEastAsia"/>
          <w:color w:val="000000"/>
          <w:kern w:val="0"/>
          <w:sz w:val="28"/>
          <w:szCs w:val="28"/>
        </w:rPr>
      </w:pPr>
      <w:r>
        <w:rPr>
          <w:rFonts w:hint="eastAsia" w:cs="Times New Roman" w:asciiTheme="minorEastAsia" w:hAnsiTheme="minorEastAsia"/>
          <w:color w:val="000000"/>
          <w:kern w:val="0"/>
          <w:sz w:val="28"/>
          <w:szCs w:val="28"/>
        </w:rPr>
        <w:t>3、拟订全县社会救助规划和标准并组织实施。推进全县社会救助体系建设工作。负责城乡居民最低生活保障、特困人员供养、临时救助、生活无着流浪乞讨人员救助工作。</w:t>
      </w:r>
    </w:p>
    <w:p>
      <w:pPr>
        <w:widowControl/>
        <w:pBdr>
          <w:top w:val="none" w:color="000000" w:sz="0" w:space="0"/>
          <w:left w:val="none" w:color="000000" w:sz="0" w:space="0"/>
          <w:bottom w:val="none" w:color="000000" w:sz="0" w:space="0"/>
          <w:right w:val="none" w:color="000000" w:sz="0" w:space="0"/>
        </w:pBdr>
        <w:spacing w:before="312" w:after="312" w:line="320" w:lineRule="atLeast"/>
        <w:ind w:firstLine="480"/>
        <w:jc w:val="left"/>
        <w:textAlignment w:val="baseline"/>
        <w:rPr>
          <w:rFonts w:cs="Times New Roman" w:asciiTheme="minorEastAsia" w:hAnsiTheme="minorEastAsia"/>
          <w:color w:val="000000"/>
          <w:kern w:val="0"/>
          <w:sz w:val="28"/>
          <w:szCs w:val="28"/>
        </w:rPr>
      </w:pPr>
      <w:r>
        <w:rPr>
          <w:rFonts w:hint="eastAsia" w:cs="Times New Roman" w:asciiTheme="minorEastAsia" w:hAnsiTheme="minorEastAsia"/>
          <w:color w:val="000000"/>
          <w:kern w:val="0"/>
          <w:sz w:val="28"/>
          <w:szCs w:val="28"/>
        </w:rPr>
        <w:t>4、拟订全县城乡基层群众自治组织建设和社区治理相关制度并组织实施。指导城乡社区治理体系和治理能力建设，提出加强和改进城乡基层政权建设的建议。推动基层民主政治建设。</w:t>
      </w:r>
    </w:p>
    <w:p>
      <w:pPr>
        <w:widowControl/>
        <w:pBdr>
          <w:top w:val="none" w:color="000000" w:sz="0" w:space="0"/>
          <w:left w:val="none" w:color="000000" w:sz="0" w:space="0"/>
          <w:bottom w:val="none" w:color="000000" w:sz="0" w:space="0"/>
          <w:right w:val="none" w:color="000000" w:sz="0" w:space="0"/>
        </w:pBdr>
        <w:spacing w:before="312" w:after="312" w:line="320" w:lineRule="atLeast"/>
        <w:ind w:firstLine="480"/>
        <w:jc w:val="left"/>
        <w:textAlignment w:val="baseline"/>
        <w:rPr>
          <w:rFonts w:cs="Times New Roman" w:asciiTheme="minorEastAsia" w:hAnsiTheme="minorEastAsia"/>
          <w:color w:val="000000"/>
          <w:kern w:val="0"/>
          <w:sz w:val="28"/>
          <w:szCs w:val="28"/>
        </w:rPr>
      </w:pPr>
      <w:r>
        <w:rPr>
          <w:rFonts w:hint="eastAsia" w:cs="Times New Roman" w:asciiTheme="minorEastAsia" w:hAnsiTheme="minorEastAsia"/>
          <w:color w:val="000000"/>
          <w:kern w:val="0"/>
          <w:sz w:val="28"/>
          <w:szCs w:val="28"/>
        </w:rPr>
        <w:t>5、负责指导、监督国家行政区划、行政区域界线、地名管理法规和规章的实施。拟订县本级行政区划规划。依法负责村（居）委会及以上行政区域的设立、撤销、调整、更名和行政区域界线变更及政府驻地迁移的审核、报批工作。负责街道办事处设立、撤销、调整、更名及其驻地迁移的报批工作。负责全县行政区域界线的管理和勘定，调处边界争议与纠纷。负责全县地名工作的指导和管理，负责中心城区地名的命名、更名、门牌号码的编排和地名标志的设置和管理。</w:t>
      </w:r>
    </w:p>
    <w:p>
      <w:pPr>
        <w:widowControl/>
        <w:pBdr>
          <w:top w:val="none" w:color="000000" w:sz="0" w:space="0"/>
          <w:left w:val="none" w:color="000000" w:sz="0" w:space="0"/>
          <w:bottom w:val="none" w:color="000000" w:sz="0" w:space="0"/>
          <w:right w:val="none" w:color="000000" w:sz="0" w:space="0"/>
        </w:pBdr>
        <w:spacing w:before="312" w:after="312" w:line="320" w:lineRule="atLeast"/>
        <w:ind w:firstLine="480"/>
        <w:jc w:val="left"/>
        <w:textAlignment w:val="baseline"/>
        <w:rPr>
          <w:rFonts w:cs="Times New Roman" w:asciiTheme="minorEastAsia" w:hAnsiTheme="minorEastAsia"/>
          <w:color w:val="000000"/>
          <w:kern w:val="0"/>
          <w:sz w:val="28"/>
          <w:szCs w:val="28"/>
        </w:rPr>
      </w:pPr>
      <w:r>
        <w:rPr>
          <w:rFonts w:hint="eastAsia" w:cs="Times New Roman" w:asciiTheme="minorEastAsia" w:hAnsiTheme="minorEastAsia"/>
          <w:color w:val="000000"/>
          <w:kern w:val="0"/>
          <w:sz w:val="28"/>
          <w:szCs w:val="28"/>
        </w:rPr>
        <w:t>6、贯彻执行国家的婚姻管理政策并组织实施，推进婚俗改革。</w:t>
      </w:r>
    </w:p>
    <w:p>
      <w:pPr>
        <w:widowControl/>
        <w:pBdr>
          <w:top w:val="none" w:color="000000" w:sz="0" w:space="0"/>
          <w:left w:val="none" w:color="000000" w:sz="0" w:space="0"/>
          <w:bottom w:val="none" w:color="000000" w:sz="0" w:space="0"/>
          <w:right w:val="none" w:color="000000" w:sz="0" w:space="0"/>
        </w:pBdr>
        <w:spacing w:before="312" w:after="312" w:line="320" w:lineRule="atLeast"/>
        <w:ind w:firstLine="480"/>
        <w:jc w:val="left"/>
        <w:textAlignment w:val="baseline"/>
        <w:rPr>
          <w:rFonts w:cs="Times New Roman" w:asciiTheme="minorEastAsia" w:hAnsiTheme="minorEastAsia"/>
          <w:color w:val="000000"/>
          <w:kern w:val="0"/>
          <w:sz w:val="28"/>
          <w:szCs w:val="28"/>
        </w:rPr>
      </w:pPr>
      <w:r>
        <w:rPr>
          <w:rFonts w:hint="eastAsia" w:cs="Times New Roman" w:asciiTheme="minorEastAsia" w:hAnsiTheme="minorEastAsia"/>
          <w:color w:val="000000"/>
          <w:kern w:val="0"/>
          <w:sz w:val="28"/>
          <w:szCs w:val="28"/>
        </w:rPr>
        <w:t>7、贯彻执行国家的殡葬管理政策、服务规范并组织实施，推进殡葬改革。</w:t>
      </w:r>
    </w:p>
    <w:p>
      <w:pPr>
        <w:widowControl/>
        <w:pBdr>
          <w:top w:val="none" w:color="000000" w:sz="0" w:space="0"/>
          <w:left w:val="none" w:color="000000" w:sz="0" w:space="0"/>
          <w:bottom w:val="none" w:color="000000" w:sz="0" w:space="0"/>
          <w:right w:val="none" w:color="000000" w:sz="0" w:space="0"/>
        </w:pBdr>
        <w:spacing w:before="312" w:after="312" w:line="320" w:lineRule="atLeast"/>
        <w:ind w:firstLine="480"/>
        <w:jc w:val="left"/>
        <w:textAlignment w:val="baseline"/>
        <w:rPr>
          <w:rFonts w:cs="Times New Roman" w:asciiTheme="minorEastAsia" w:hAnsiTheme="minorEastAsia"/>
          <w:color w:val="000000"/>
          <w:kern w:val="0"/>
          <w:sz w:val="28"/>
          <w:szCs w:val="28"/>
        </w:rPr>
      </w:pPr>
      <w:r>
        <w:rPr>
          <w:rFonts w:hint="eastAsia" w:cs="Times New Roman" w:asciiTheme="minorEastAsia" w:hAnsiTheme="minorEastAsia"/>
          <w:color w:val="000000"/>
          <w:kern w:val="0"/>
          <w:sz w:val="28"/>
          <w:szCs w:val="28"/>
        </w:rPr>
        <w:t>8、统筹推进、督促指导、监督管理全县养老服务工作。拟订全县养老服务体系建设规划、政策、标准并组织实施。承担全县老年人福利和特殊困难老年人关爱服务工作。</w:t>
      </w:r>
    </w:p>
    <w:p>
      <w:pPr>
        <w:widowControl/>
        <w:pBdr>
          <w:top w:val="none" w:color="000000" w:sz="0" w:space="0"/>
          <w:left w:val="none" w:color="000000" w:sz="0" w:space="0"/>
          <w:bottom w:val="none" w:color="000000" w:sz="0" w:space="0"/>
          <w:right w:val="none" w:color="000000" w:sz="0" w:space="0"/>
        </w:pBdr>
        <w:spacing w:before="312" w:after="312" w:line="320" w:lineRule="atLeast"/>
        <w:ind w:firstLine="480"/>
        <w:jc w:val="left"/>
        <w:textAlignment w:val="baseline"/>
        <w:rPr>
          <w:rFonts w:cs="Times New Roman" w:asciiTheme="minorEastAsia" w:hAnsiTheme="minorEastAsia"/>
          <w:color w:val="000000"/>
          <w:kern w:val="0"/>
          <w:sz w:val="28"/>
          <w:szCs w:val="28"/>
        </w:rPr>
      </w:pPr>
      <w:r>
        <w:rPr>
          <w:rFonts w:hint="eastAsia" w:cs="Times New Roman" w:asciiTheme="minorEastAsia" w:hAnsiTheme="minorEastAsia"/>
          <w:color w:val="000000"/>
          <w:kern w:val="0"/>
          <w:sz w:val="28"/>
          <w:szCs w:val="28"/>
        </w:rPr>
        <w:t>9、贯彻执行国家的残疾人权益保护政策，统筹推进全县残疾人福利制度建设。</w:t>
      </w:r>
    </w:p>
    <w:p>
      <w:pPr>
        <w:widowControl/>
        <w:pBdr>
          <w:top w:val="none" w:color="000000" w:sz="0" w:space="0"/>
          <w:left w:val="none" w:color="000000" w:sz="0" w:space="0"/>
          <w:bottom w:val="none" w:color="000000" w:sz="0" w:space="0"/>
          <w:right w:val="none" w:color="000000" w:sz="0" w:space="0"/>
        </w:pBdr>
        <w:spacing w:before="312" w:after="312" w:line="320" w:lineRule="atLeast"/>
        <w:ind w:firstLine="480"/>
        <w:jc w:val="left"/>
        <w:textAlignment w:val="baseline"/>
        <w:rPr>
          <w:rFonts w:cs="Times New Roman" w:asciiTheme="minorEastAsia" w:hAnsiTheme="minorEastAsia"/>
          <w:color w:val="000000"/>
          <w:kern w:val="0"/>
          <w:sz w:val="28"/>
          <w:szCs w:val="28"/>
        </w:rPr>
      </w:pPr>
      <w:r>
        <w:rPr>
          <w:rFonts w:hint="eastAsia" w:cs="Times New Roman" w:asciiTheme="minorEastAsia" w:hAnsiTheme="minorEastAsia"/>
          <w:color w:val="000000"/>
          <w:kern w:val="0"/>
          <w:sz w:val="28"/>
          <w:szCs w:val="28"/>
        </w:rPr>
        <w:t>10、贯彻执行国家的儿童福利、孤弃儿童保障、儿童收养、儿童救助保护政策、标准。健全农村留守儿童关爱服务体系和困境儿童保障制度。</w:t>
      </w:r>
    </w:p>
    <w:p>
      <w:pPr>
        <w:widowControl/>
        <w:pBdr>
          <w:top w:val="none" w:color="000000" w:sz="0" w:space="0"/>
          <w:left w:val="none" w:color="000000" w:sz="0" w:space="0"/>
          <w:bottom w:val="none" w:color="000000" w:sz="0" w:space="0"/>
          <w:right w:val="none" w:color="000000" w:sz="0" w:space="0"/>
        </w:pBdr>
        <w:spacing w:before="312" w:after="312" w:line="320" w:lineRule="atLeast"/>
        <w:ind w:firstLine="480"/>
        <w:jc w:val="left"/>
        <w:textAlignment w:val="baseline"/>
        <w:rPr>
          <w:rFonts w:cs="Times New Roman" w:asciiTheme="minorEastAsia" w:hAnsiTheme="minorEastAsia"/>
          <w:color w:val="000000"/>
          <w:kern w:val="0"/>
          <w:sz w:val="28"/>
          <w:szCs w:val="28"/>
        </w:rPr>
      </w:pPr>
      <w:r>
        <w:rPr>
          <w:rFonts w:hint="eastAsia" w:cs="Times New Roman" w:asciiTheme="minorEastAsia" w:hAnsiTheme="minorEastAsia"/>
          <w:color w:val="000000"/>
          <w:kern w:val="0"/>
          <w:sz w:val="28"/>
          <w:szCs w:val="28"/>
        </w:rPr>
        <w:t>11、拟订促进全县慈善事业发展规划，指导开展慈善工作和社会捐助工作。负责福利彩票管理工作。</w:t>
      </w:r>
    </w:p>
    <w:p>
      <w:pPr>
        <w:widowControl/>
        <w:pBdr>
          <w:top w:val="none" w:color="000000" w:sz="0" w:space="0"/>
          <w:left w:val="none" w:color="000000" w:sz="0" w:space="0"/>
          <w:bottom w:val="none" w:color="000000" w:sz="0" w:space="0"/>
          <w:right w:val="none" w:color="000000" w:sz="0" w:space="0"/>
        </w:pBdr>
        <w:spacing w:before="312" w:after="312" w:line="320" w:lineRule="atLeast"/>
        <w:ind w:firstLine="480"/>
        <w:jc w:val="left"/>
        <w:textAlignment w:val="baseline"/>
        <w:rPr>
          <w:rFonts w:cs="Times New Roman" w:asciiTheme="minorEastAsia" w:hAnsiTheme="minorEastAsia"/>
          <w:color w:val="000000"/>
          <w:kern w:val="0"/>
          <w:sz w:val="28"/>
          <w:szCs w:val="28"/>
        </w:rPr>
      </w:pPr>
      <w:r>
        <w:rPr>
          <w:rFonts w:hint="eastAsia" w:cs="Times New Roman" w:asciiTheme="minorEastAsia" w:hAnsiTheme="minorEastAsia"/>
          <w:color w:val="000000"/>
          <w:kern w:val="0"/>
          <w:sz w:val="28"/>
          <w:szCs w:val="28"/>
        </w:rPr>
        <w:t>12、贯彻执行国家的社会工作、志愿服务政策和标准。会同有关部门推进社会工作人才队伍建设和志愿者队伍建设。</w:t>
      </w:r>
    </w:p>
    <w:p>
      <w:pPr>
        <w:widowControl/>
        <w:pBdr>
          <w:top w:val="none" w:color="000000" w:sz="0" w:space="0"/>
          <w:left w:val="none" w:color="000000" w:sz="0" w:space="0"/>
          <w:bottom w:val="none" w:color="000000" w:sz="0" w:space="0"/>
          <w:right w:val="none" w:color="000000" w:sz="0" w:space="0"/>
        </w:pBdr>
        <w:spacing w:before="312" w:after="312" w:line="320" w:lineRule="atLeast"/>
        <w:ind w:firstLine="480"/>
        <w:jc w:val="left"/>
        <w:textAlignment w:val="baseline"/>
        <w:rPr>
          <w:rFonts w:cs="Times New Roman" w:asciiTheme="minorEastAsia" w:hAnsiTheme="minorEastAsia"/>
          <w:color w:val="000000"/>
          <w:kern w:val="0"/>
          <w:sz w:val="28"/>
          <w:szCs w:val="28"/>
        </w:rPr>
      </w:pPr>
      <w:r>
        <w:rPr>
          <w:rFonts w:hint="eastAsia" w:cs="Times New Roman" w:asciiTheme="minorEastAsia" w:hAnsiTheme="minorEastAsia"/>
          <w:color w:val="000000"/>
          <w:kern w:val="0"/>
          <w:sz w:val="28"/>
          <w:szCs w:val="28"/>
        </w:rPr>
        <w:t>13、负责本行业、领域的应急管理工作，对本行业、领域的安全生产工作实施监督管理。</w:t>
      </w:r>
    </w:p>
    <w:p>
      <w:pPr>
        <w:widowControl/>
        <w:pBdr>
          <w:top w:val="none" w:color="000000" w:sz="0" w:space="0"/>
          <w:left w:val="none" w:color="000000" w:sz="0" w:space="0"/>
          <w:bottom w:val="none" w:color="000000" w:sz="0" w:space="0"/>
          <w:right w:val="none" w:color="000000" w:sz="0" w:space="0"/>
        </w:pBdr>
        <w:spacing w:before="312" w:after="312" w:line="320" w:lineRule="atLeast"/>
        <w:ind w:firstLine="480"/>
        <w:jc w:val="left"/>
        <w:textAlignment w:val="baseline"/>
        <w:rPr>
          <w:rFonts w:cs="Times New Roman" w:asciiTheme="minorEastAsia" w:hAnsiTheme="minorEastAsia"/>
          <w:color w:val="000000"/>
          <w:kern w:val="0"/>
          <w:sz w:val="28"/>
          <w:szCs w:val="28"/>
        </w:rPr>
      </w:pPr>
      <w:r>
        <w:rPr>
          <w:rFonts w:hint="eastAsia" w:cs="Times New Roman" w:asciiTheme="minorEastAsia" w:hAnsiTheme="minorEastAsia"/>
          <w:color w:val="000000"/>
          <w:kern w:val="0"/>
          <w:sz w:val="28"/>
          <w:szCs w:val="28"/>
        </w:rPr>
        <w:t>14、完成县委、县政府交办的其他任务。</w:t>
      </w:r>
    </w:p>
    <w:p>
      <w:pPr>
        <w:widowControl/>
        <w:pBdr>
          <w:top w:val="none" w:color="000000" w:sz="0" w:space="0"/>
          <w:left w:val="none" w:color="000000" w:sz="0" w:space="0"/>
          <w:bottom w:val="none" w:color="000000" w:sz="0" w:space="0"/>
          <w:right w:val="none" w:color="000000" w:sz="0" w:space="0"/>
        </w:pBdr>
        <w:spacing w:before="312" w:after="312" w:line="320" w:lineRule="atLeast"/>
        <w:ind w:firstLine="480"/>
        <w:jc w:val="left"/>
        <w:textAlignment w:val="baseline"/>
        <w:rPr>
          <w:rFonts w:cs="Times New Roman" w:asciiTheme="minorEastAsia" w:hAnsiTheme="minorEastAsia"/>
          <w:color w:val="000000"/>
          <w:kern w:val="0"/>
          <w:sz w:val="28"/>
          <w:szCs w:val="28"/>
        </w:rPr>
      </w:pPr>
      <w:r>
        <w:rPr>
          <w:rFonts w:hint="eastAsia" w:cs="Times New Roman" w:asciiTheme="minorEastAsia" w:hAnsiTheme="minorEastAsia"/>
          <w:color w:val="000000"/>
          <w:kern w:val="0"/>
          <w:sz w:val="28"/>
          <w:szCs w:val="28"/>
        </w:rPr>
        <w:t>15、职能转变。县民政局应聚焦脱贫攻坚、聚焦特殊群体、聚焦群众关切，强化基本民生保障职能，为困难群众、孤老孤残孤儿等特殊群体提供基本社会服务，促进资源向薄弱地区、领域、环节倾斜。积极培育社会组织、社会工作者等多元参与主体，推动搭建基层社会治理和社区公共服务平台。</w:t>
      </w:r>
    </w:p>
    <w:p>
      <w:pPr>
        <w:widowControl/>
        <w:pBdr>
          <w:top w:val="none" w:color="000000" w:sz="0" w:space="0"/>
          <w:left w:val="none" w:color="000000" w:sz="0" w:space="0"/>
          <w:bottom w:val="none" w:color="000000" w:sz="0" w:space="0"/>
          <w:right w:val="none" w:color="000000" w:sz="0" w:space="0"/>
        </w:pBdr>
        <w:spacing w:before="312" w:after="312" w:line="320" w:lineRule="atLeast"/>
        <w:ind w:firstLine="480"/>
        <w:jc w:val="left"/>
        <w:textAlignment w:val="baseline"/>
        <w:rPr>
          <w:rFonts w:cs="Times New Roman" w:asciiTheme="minorEastAsia" w:hAnsiTheme="minorEastAsia"/>
          <w:color w:val="000000"/>
          <w:kern w:val="0"/>
          <w:sz w:val="28"/>
          <w:szCs w:val="28"/>
        </w:rPr>
      </w:pPr>
      <w:r>
        <w:rPr>
          <w:rFonts w:hint="eastAsia" w:cs="Times New Roman" w:asciiTheme="minorEastAsia" w:hAnsiTheme="minorEastAsia"/>
          <w:color w:val="000000"/>
          <w:kern w:val="0"/>
          <w:sz w:val="28"/>
          <w:szCs w:val="28"/>
        </w:rPr>
        <w:t>16、有关职责分工。</w:t>
      </w:r>
    </w:p>
    <w:p>
      <w:pPr>
        <w:widowControl/>
        <w:pBdr>
          <w:top w:val="none" w:color="000000" w:sz="0" w:space="0"/>
          <w:left w:val="none" w:color="000000" w:sz="0" w:space="0"/>
          <w:bottom w:val="none" w:color="000000" w:sz="0" w:space="0"/>
          <w:right w:val="none" w:color="000000" w:sz="0" w:space="0"/>
        </w:pBdr>
        <w:spacing w:before="312" w:after="312" w:line="320" w:lineRule="atLeast"/>
        <w:ind w:firstLine="480"/>
        <w:jc w:val="left"/>
        <w:textAlignment w:val="baseline"/>
        <w:rPr>
          <w:rFonts w:cs="Times New Roman" w:asciiTheme="minorEastAsia" w:hAnsiTheme="minorEastAsia"/>
          <w:color w:val="000000"/>
          <w:kern w:val="0"/>
          <w:sz w:val="28"/>
          <w:szCs w:val="28"/>
        </w:rPr>
      </w:pPr>
      <w:r>
        <w:rPr>
          <w:rFonts w:hint="eastAsia" w:cs="Times New Roman" w:asciiTheme="minorEastAsia" w:hAnsiTheme="minorEastAsia"/>
          <w:color w:val="000000"/>
          <w:kern w:val="0"/>
          <w:sz w:val="28"/>
          <w:szCs w:val="28"/>
        </w:rPr>
        <w:t>与县卫生健康局的有关职责分工。县民政局负责统筹推进、督促指导、监督管理全县养老服务工作，拟订养老服务体系建设规划、政策、标准并组织实施，承担老年人福利和特殊困难老年人救助工作。县卫生健康局负责拟订应对人口老龄化、医养结合政策措施，综合协调、督促指导、组织推进老龄事业发展，承担老年疾病防治、老年人医疗照护、老年人心理健康与关怀服务等老年健康工作。</w:t>
      </w:r>
    </w:p>
    <w:p>
      <w:pPr>
        <w:widowControl/>
        <w:pBdr>
          <w:top w:val="none" w:color="000000" w:sz="0" w:space="0"/>
          <w:left w:val="none" w:color="000000" w:sz="0" w:space="0"/>
          <w:bottom w:val="none" w:color="000000" w:sz="0" w:space="0"/>
          <w:right w:val="none" w:color="000000" w:sz="0" w:space="0"/>
        </w:pBdr>
        <w:spacing w:before="312" w:after="312" w:line="320" w:lineRule="atLeast"/>
        <w:ind w:firstLine="480"/>
        <w:jc w:val="left"/>
        <w:textAlignment w:val="baseline"/>
        <w:rPr>
          <w:rFonts w:cs="宋体" w:asciiTheme="minorEastAsia" w:hAnsiTheme="minorEastAsia"/>
          <w:b/>
          <w:color w:val="000000"/>
          <w:kern w:val="0"/>
          <w:sz w:val="28"/>
          <w:szCs w:val="28"/>
        </w:rPr>
      </w:pPr>
      <w:r>
        <w:rPr>
          <w:rFonts w:cs="宋体" w:asciiTheme="minorEastAsia" w:hAnsiTheme="minorEastAsia"/>
          <w:b/>
          <w:color w:val="000000"/>
          <w:kern w:val="0"/>
          <w:sz w:val="28"/>
          <w:szCs w:val="28"/>
        </w:rPr>
        <w:t>（二）机构设置</w:t>
      </w:r>
    </w:p>
    <w:p>
      <w:pPr>
        <w:widowControl/>
        <w:pBdr>
          <w:top w:val="none" w:color="000000" w:sz="0" w:space="0"/>
          <w:left w:val="none" w:color="000000" w:sz="0" w:space="0"/>
          <w:bottom w:val="none" w:color="000000" w:sz="0" w:space="0"/>
          <w:right w:val="none" w:color="000000" w:sz="0" w:space="0"/>
        </w:pBdr>
        <w:spacing w:before="312" w:after="312" w:line="320" w:lineRule="atLeast"/>
        <w:ind w:firstLine="480"/>
        <w:jc w:val="left"/>
        <w:textAlignment w:val="baseline"/>
        <w:rPr>
          <w:rFonts w:cs="Arial" w:asciiTheme="minorEastAsia" w:hAnsiTheme="minorEastAsia"/>
          <w:color w:val="333333"/>
          <w:sz w:val="28"/>
          <w:szCs w:val="28"/>
        </w:rPr>
      </w:pPr>
      <w:r>
        <w:rPr>
          <w:rFonts w:hint="eastAsia" w:cs="Times New Roman" w:asciiTheme="minorEastAsia" w:hAnsiTheme="minorEastAsia"/>
          <w:color w:val="000000"/>
          <w:kern w:val="0"/>
          <w:sz w:val="28"/>
          <w:szCs w:val="28"/>
        </w:rPr>
        <w:t>我局内设办公室（政策法规股）、组织人事股、规划财务股、基层政权建设和社区治理股(区划地名办公室)、社会事务和慈善事业促进股（养老服务和儿童福利股）、行政审批股等6个股室，下设县城乡社会救助服务中心、县民间组织服务中心、县慈善总会办公室、县募委办（福彩管理站）、县婚姻登记服务处、县老区开发办公室、县流浪乞讨人员救助管理站、县福利生产办公室、县殡改办、县低收入居民家庭经济状况信息比对中心、县农保办等11个二级事业机构，县福利中心、县园艺场、县殡仪馆等3个下属单位。</w:t>
      </w:r>
      <w:r>
        <w:rPr>
          <w:rFonts w:cs="Times New Roman" w:asciiTheme="minorEastAsia" w:hAnsiTheme="minorEastAsia"/>
          <w:color w:val="000000"/>
          <w:kern w:val="0"/>
          <w:sz w:val="28"/>
          <w:szCs w:val="28"/>
        </w:rPr>
        <w:t>现有在职干部职工</w:t>
      </w:r>
      <w:r>
        <w:rPr>
          <w:rFonts w:hint="eastAsia" w:cs="Times New Roman" w:asciiTheme="minorEastAsia" w:hAnsiTheme="minorEastAsia"/>
          <w:color w:val="000000"/>
          <w:kern w:val="0"/>
          <w:sz w:val="28"/>
          <w:szCs w:val="28"/>
        </w:rPr>
        <w:t>110</w:t>
      </w:r>
      <w:r>
        <w:rPr>
          <w:rFonts w:cs="Times New Roman" w:asciiTheme="minorEastAsia" w:hAnsiTheme="minorEastAsia"/>
          <w:color w:val="000000"/>
          <w:kern w:val="0"/>
          <w:sz w:val="28"/>
          <w:szCs w:val="28"/>
        </w:rPr>
        <w:t>人，</w:t>
      </w:r>
      <w:r>
        <w:rPr>
          <w:rFonts w:hint="eastAsia" w:cs="Times New Roman" w:asciiTheme="minorEastAsia" w:hAnsiTheme="minorEastAsia"/>
          <w:color w:val="000000"/>
          <w:kern w:val="0"/>
          <w:sz w:val="28"/>
          <w:szCs w:val="28"/>
        </w:rPr>
        <w:t>机关党支部、纪检机构和工会组织按有关规定和章程设置</w:t>
      </w:r>
      <w:r>
        <w:rPr>
          <w:rFonts w:cs="Times New Roman" w:asciiTheme="minorEastAsia" w:hAnsiTheme="minorEastAsia"/>
          <w:color w:val="000000"/>
          <w:kern w:val="0"/>
          <w:sz w:val="28"/>
          <w:szCs w:val="28"/>
        </w:rPr>
        <w:t>。</w:t>
      </w:r>
    </w:p>
    <w:p>
      <w:pPr>
        <w:widowControl/>
        <w:pBdr>
          <w:top w:val="none" w:color="000000" w:sz="0" w:space="0"/>
          <w:left w:val="none" w:color="000000" w:sz="0" w:space="0"/>
          <w:bottom w:val="none" w:color="000000" w:sz="0" w:space="0"/>
          <w:right w:val="none" w:color="000000" w:sz="0" w:space="0"/>
        </w:pBdr>
        <w:spacing w:before="312" w:after="312" w:line="320" w:lineRule="atLeast"/>
        <w:jc w:val="left"/>
        <w:textAlignment w:val="baseline"/>
        <w:rPr>
          <w:rFonts w:asciiTheme="minorEastAsia" w:hAnsiTheme="minorEastAsia" w:cstheme="majorEastAsia"/>
          <w:b/>
          <w:color w:val="000000"/>
          <w:kern w:val="0"/>
          <w:sz w:val="28"/>
          <w:szCs w:val="28"/>
        </w:rPr>
      </w:pPr>
      <w:r>
        <w:rPr>
          <w:rFonts w:hint="eastAsia" w:asciiTheme="minorEastAsia" w:hAnsiTheme="minorEastAsia" w:cstheme="majorEastAsia"/>
          <w:b/>
          <w:color w:val="000000"/>
          <w:kern w:val="0"/>
          <w:sz w:val="28"/>
          <w:szCs w:val="28"/>
        </w:rPr>
        <w:t>二、部门预算单位构成</w:t>
      </w:r>
    </w:p>
    <w:p>
      <w:pPr>
        <w:widowControl/>
        <w:pBdr>
          <w:top w:val="none" w:color="000000" w:sz="0" w:space="0"/>
          <w:left w:val="none" w:color="000000" w:sz="0" w:space="0"/>
          <w:bottom w:val="none" w:color="000000" w:sz="0" w:space="0"/>
          <w:right w:val="none" w:color="000000" w:sz="0" w:space="0"/>
        </w:pBdr>
        <w:spacing w:before="312" w:after="312" w:line="320" w:lineRule="atLeast"/>
        <w:ind w:left="23" w:leftChars="11" w:firstLine="562" w:firstLineChars="200"/>
        <w:jc w:val="left"/>
        <w:textAlignment w:val="baseline"/>
        <w:rPr>
          <w:rFonts w:asciiTheme="minorEastAsia" w:hAnsiTheme="minorEastAsia" w:cstheme="majorEastAsia"/>
          <w:b/>
          <w:color w:val="000000"/>
          <w:kern w:val="0"/>
          <w:sz w:val="28"/>
          <w:szCs w:val="28"/>
        </w:rPr>
      </w:pPr>
      <w:r>
        <w:rPr>
          <w:rFonts w:hint="eastAsia" w:asciiTheme="minorEastAsia" w:hAnsiTheme="minorEastAsia" w:cstheme="majorEastAsia"/>
          <w:b/>
          <w:color w:val="000000"/>
          <w:kern w:val="0"/>
          <w:sz w:val="28"/>
          <w:szCs w:val="28"/>
        </w:rPr>
        <w:t>纳入2020年部门预算编制范围的二级预算单位包括：</w:t>
      </w:r>
    </w:p>
    <w:p>
      <w:pPr>
        <w:widowControl/>
        <w:numPr>
          <w:ilvl w:val="0"/>
          <w:numId w:val="1"/>
        </w:numPr>
        <w:pBdr>
          <w:top w:val="none" w:color="000000" w:sz="0" w:space="0"/>
          <w:left w:val="none" w:color="000000" w:sz="0" w:space="0"/>
          <w:bottom w:val="none" w:color="000000" w:sz="0" w:space="0"/>
          <w:right w:val="none" w:color="000000" w:sz="0" w:space="0"/>
        </w:pBdr>
        <w:spacing w:before="312" w:after="312" w:line="320" w:lineRule="atLeast"/>
        <w:ind w:left="23" w:leftChars="11" w:firstLine="560" w:firstLineChars="200"/>
        <w:jc w:val="left"/>
        <w:textAlignment w:val="baseline"/>
        <w:rPr>
          <w:rFonts w:asciiTheme="minorEastAsia" w:hAnsiTheme="minorEastAsia" w:cstheme="majorEastAsia"/>
          <w:bCs/>
          <w:color w:val="000000"/>
          <w:kern w:val="0"/>
          <w:sz w:val="28"/>
          <w:szCs w:val="28"/>
        </w:rPr>
      </w:pPr>
      <w:r>
        <w:rPr>
          <w:rFonts w:hint="eastAsia" w:asciiTheme="minorEastAsia" w:hAnsiTheme="minorEastAsia" w:cstheme="majorEastAsia"/>
          <w:bCs/>
          <w:color w:val="000000"/>
          <w:kern w:val="0"/>
          <w:sz w:val="28"/>
          <w:szCs w:val="28"/>
        </w:rPr>
        <w:t>衡南县民政局本级</w:t>
      </w:r>
    </w:p>
    <w:p>
      <w:pPr>
        <w:widowControl/>
        <w:numPr>
          <w:ilvl w:val="0"/>
          <w:numId w:val="1"/>
        </w:numPr>
        <w:pBdr>
          <w:top w:val="none" w:color="000000" w:sz="0" w:space="0"/>
          <w:left w:val="none" w:color="000000" w:sz="0" w:space="0"/>
          <w:bottom w:val="none" w:color="000000" w:sz="0" w:space="0"/>
          <w:right w:val="none" w:color="000000" w:sz="0" w:space="0"/>
        </w:pBdr>
        <w:spacing w:before="312" w:after="312" w:line="320" w:lineRule="atLeast"/>
        <w:ind w:left="23" w:leftChars="11" w:firstLine="560" w:firstLineChars="200"/>
        <w:jc w:val="left"/>
        <w:textAlignment w:val="baseline"/>
        <w:rPr>
          <w:rFonts w:asciiTheme="minorEastAsia" w:hAnsiTheme="minorEastAsia" w:cstheme="majorEastAsia"/>
          <w:bCs/>
          <w:color w:val="000000"/>
          <w:kern w:val="0"/>
          <w:sz w:val="28"/>
          <w:szCs w:val="28"/>
        </w:rPr>
      </w:pPr>
      <w:r>
        <w:rPr>
          <w:rFonts w:hint="eastAsia" w:asciiTheme="minorEastAsia" w:hAnsiTheme="minorEastAsia" w:cstheme="majorEastAsia"/>
          <w:bCs/>
          <w:color w:val="000000"/>
          <w:kern w:val="0"/>
          <w:sz w:val="28"/>
          <w:szCs w:val="28"/>
        </w:rPr>
        <w:t>衡南县福利中心</w:t>
      </w:r>
    </w:p>
    <w:p>
      <w:pPr>
        <w:widowControl/>
        <w:pBdr>
          <w:top w:val="none" w:color="000000" w:sz="0" w:space="0"/>
          <w:left w:val="none" w:color="000000" w:sz="0" w:space="0"/>
          <w:bottom w:val="none" w:color="000000" w:sz="0" w:space="0"/>
          <w:right w:val="none" w:color="000000" w:sz="0" w:space="0"/>
        </w:pBdr>
        <w:spacing w:before="312" w:after="312" w:line="320" w:lineRule="atLeast"/>
        <w:ind w:left="23" w:leftChars="11" w:firstLine="33" w:firstLineChars="12"/>
        <w:jc w:val="left"/>
        <w:textAlignment w:val="baseline"/>
        <w:rPr>
          <w:rFonts w:asciiTheme="minorEastAsia" w:hAnsiTheme="minorEastAsia" w:cstheme="majorEastAsia"/>
          <w:color w:val="333333"/>
          <w:sz w:val="28"/>
          <w:szCs w:val="28"/>
        </w:rPr>
      </w:pPr>
      <w:r>
        <w:rPr>
          <w:rFonts w:hint="eastAsia" w:asciiTheme="minorEastAsia" w:hAnsiTheme="minorEastAsia" w:cstheme="majorEastAsia"/>
          <w:color w:val="333333"/>
          <w:sz w:val="28"/>
          <w:szCs w:val="28"/>
          <w:shd w:val="clear" w:color="auto" w:fill="FFFFFF"/>
        </w:rPr>
        <w:t>　</w:t>
      </w:r>
      <w:r>
        <w:rPr>
          <w:rFonts w:hint="eastAsia" w:asciiTheme="minorEastAsia" w:hAnsiTheme="minorEastAsia" w:cstheme="majorEastAsia"/>
          <w:b/>
          <w:color w:val="000000"/>
          <w:kern w:val="0"/>
          <w:sz w:val="28"/>
          <w:szCs w:val="28"/>
        </w:rPr>
        <w:t>三、部门收支总体情况</w:t>
      </w:r>
    </w:p>
    <w:p>
      <w:pPr>
        <w:widowControl/>
        <w:pBdr>
          <w:top w:val="none" w:color="000000" w:sz="0" w:space="0"/>
          <w:left w:val="none" w:color="000000" w:sz="0" w:space="0"/>
          <w:bottom w:val="none" w:color="000000" w:sz="0" w:space="0"/>
          <w:right w:val="none" w:color="000000" w:sz="0" w:space="0"/>
        </w:pBdr>
        <w:spacing w:before="312" w:after="312" w:line="320" w:lineRule="atLeast"/>
        <w:ind w:firstLine="560" w:firstLineChars="200"/>
        <w:jc w:val="left"/>
        <w:textAlignment w:val="baseline"/>
        <w:rPr>
          <w:rFonts w:cs="Arial" w:asciiTheme="minorEastAsia" w:hAnsiTheme="minorEastAsia"/>
          <w:color w:val="333333"/>
          <w:sz w:val="28"/>
          <w:szCs w:val="28"/>
        </w:rPr>
      </w:pPr>
      <w:r>
        <w:rPr>
          <w:rFonts w:cs="Arial" w:asciiTheme="minorEastAsia" w:hAnsiTheme="minorEastAsia"/>
          <w:color w:val="333333"/>
          <w:sz w:val="28"/>
          <w:szCs w:val="28"/>
          <w:shd w:val="clear" w:color="auto" w:fill="FFFFFF"/>
        </w:rPr>
        <w:t>　　20</w:t>
      </w:r>
      <w:r>
        <w:rPr>
          <w:rFonts w:hint="eastAsia" w:cs="Arial" w:asciiTheme="minorEastAsia" w:hAnsiTheme="minorEastAsia"/>
          <w:color w:val="333333"/>
          <w:sz w:val="28"/>
          <w:szCs w:val="28"/>
          <w:shd w:val="clear" w:color="auto" w:fill="FFFFFF"/>
        </w:rPr>
        <w:t>20</w:t>
      </w:r>
      <w:r>
        <w:rPr>
          <w:rFonts w:cs="Arial" w:asciiTheme="minorEastAsia" w:hAnsiTheme="minorEastAsia"/>
          <w:color w:val="333333"/>
          <w:sz w:val="28"/>
          <w:szCs w:val="28"/>
          <w:shd w:val="clear" w:color="auto" w:fill="FFFFFF"/>
        </w:rPr>
        <w:t>年部门预算即我</w:t>
      </w:r>
      <w:r>
        <w:rPr>
          <w:rFonts w:hint="eastAsia" w:cs="Arial" w:asciiTheme="minorEastAsia" w:hAnsiTheme="minorEastAsia"/>
          <w:color w:val="333333"/>
          <w:sz w:val="28"/>
          <w:szCs w:val="28"/>
          <w:shd w:val="clear" w:color="auto" w:fill="FFFFFF"/>
        </w:rPr>
        <w:t>局</w:t>
      </w:r>
      <w:r>
        <w:rPr>
          <w:rFonts w:cs="Arial" w:asciiTheme="minorEastAsia" w:hAnsiTheme="minorEastAsia"/>
          <w:color w:val="333333"/>
          <w:sz w:val="28"/>
          <w:szCs w:val="28"/>
          <w:shd w:val="clear" w:color="auto" w:fill="FFFFFF"/>
        </w:rPr>
        <w:t>本级预算</w:t>
      </w:r>
      <w:r>
        <w:rPr>
          <w:rFonts w:hint="eastAsia" w:cs="Arial" w:asciiTheme="minorEastAsia" w:hAnsiTheme="minorEastAsia"/>
          <w:color w:val="333333"/>
          <w:sz w:val="28"/>
          <w:szCs w:val="28"/>
          <w:shd w:val="clear" w:color="auto" w:fill="FFFFFF"/>
        </w:rPr>
        <w:t>和所属单位预算在内的汇总情况，收入均为一般公共预算收入，支出包括保障局机关及局所属单位基本运行的经费和专项经费</w:t>
      </w:r>
      <w:r>
        <w:rPr>
          <w:rFonts w:cs="Times New Roman" w:asciiTheme="minorEastAsia" w:hAnsiTheme="minorEastAsia"/>
          <w:color w:val="000000"/>
          <w:kern w:val="0"/>
          <w:sz w:val="28"/>
          <w:szCs w:val="28"/>
        </w:rPr>
        <w:t>。</w:t>
      </w:r>
    </w:p>
    <w:p>
      <w:pPr>
        <w:pStyle w:val="2"/>
        <w:widowControl/>
        <w:shd w:val="clear" w:color="auto" w:fill="FFFFFF"/>
        <w:spacing w:beforeAutospacing="0" w:afterAutospacing="0"/>
        <w:jc w:val="both"/>
        <w:rPr>
          <w:rFonts w:cs="Arial" w:asciiTheme="minorEastAsia" w:hAnsiTheme="minorEastAsia"/>
          <w:color w:val="333333"/>
          <w:sz w:val="28"/>
          <w:szCs w:val="28"/>
        </w:rPr>
      </w:pPr>
      <w:r>
        <w:rPr>
          <w:rFonts w:cs="Arial" w:asciiTheme="minorEastAsia" w:hAnsiTheme="minorEastAsia"/>
          <w:color w:val="333333"/>
          <w:sz w:val="28"/>
          <w:szCs w:val="28"/>
          <w:shd w:val="clear" w:color="auto" w:fill="FFFFFF"/>
        </w:rPr>
        <w:t>　　（一）收入预算：2020年年初预算数</w:t>
      </w:r>
      <w:r>
        <w:rPr>
          <w:rFonts w:hint="eastAsia" w:cs="Arial" w:asciiTheme="minorEastAsia" w:hAnsiTheme="minorEastAsia"/>
          <w:color w:val="333333"/>
          <w:sz w:val="28"/>
          <w:szCs w:val="28"/>
          <w:shd w:val="clear" w:color="auto" w:fill="FFFFFF"/>
        </w:rPr>
        <w:t>1163.69</w:t>
      </w:r>
      <w:r>
        <w:rPr>
          <w:rFonts w:cs="Arial" w:asciiTheme="minorEastAsia" w:hAnsiTheme="minorEastAsia"/>
          <w:color w:val="333333"/>
          <w:sz w:val="28"/>
          <w:szCs w:val="28"/>
          <w:shd w:val="clear" w:color="auto" w:fill="FFFFFF"/>
        </w:rPr>
        <w:t>万元，其中，一般公共预算拨款</w:t>
      </w:r>
      <w:r>
        <w:rPr>
          <w:rFonts w:hint="eastAsia" w:cs="Arial" w:asciiTheme="minorEastAsia" w:hAnsiTheme="minorEastAsia"/>
          <w:color w:val="333333"/>
          <w:sz w:val="28"/>
          <w:szCs w:val="28"/>
          <w:shd w:val="clear" w:color="auto" w:fill="FFFFFF"/>
        </w:rPr>
        <w:t>1163.69</w:t>
      </w:r>
      <w:r>
        <w:rPr>
          <w:rFonts w:cs="Arial" w:asciiTheme="minorEastAsia" w:hAnsiTheme="minorEastAsia"/>
          <w:color w:val="333333"/>
          <w:sz w:val="28"/>
          <w:szCs w:val="28"/>
          <w:shd w:val="clear" w:color="auto" w:fill="FFFFFF"/>
        </w:rPr>
        <w:t>万元</w:t>
      </w:r>
      <w:r>
        <w:rPr>
          <w:rFonts w:hint="eastAsia" w:cs="Arial" w:asciiTheme="minorEastAsia" w:hAnsiTheme="minorEastAsia"/>
          <w:color w:val="333333"/>
          <w:sz w:val="28"/>
          <w:szCs w:val="28"/>
          <w:shd w:val="clear" w:color="auto" w:fill="FFFFFF"/>
        </w:rPr>
        <w:t>，全部为经费拨款</w:t>
      </w:r>
      <w:r>
        <w:rPr>
          <w:rFonts w:cs="Arial" w:asciiTheme="minorEastAsia" w:hAnsiTheme="minorEastAsia"/>
          <w:color w:val="333333"/>
          <w:sz w:val="28"/>
          <w:szCs w:val="28"/>
          <w:shd w:val="clear" w:color="auto" w:fill="FFFFFF"/>
        </w:rPr>
        <w:t>。收入较去年</w:t>
      </w:r>
      <w:r>
        <w:rPr>
          <w:rFonts w:hint="eastAsia" w:cs="Arial" w:asciiTheme="minorEastAsia" w:hAnsiTheme="minorEastAsia"/>
          <w:color w:val="333333"/>
          <w:sz w:val="28"/>
          <w:szCs w:val="28"/>
          <w:shd w:val="clear" w:color="auto" w:fill="FFFFFF"/>
        </w:rPr>
        <w:t>的1239.99万元减少76.3</w:t>
      </w:r>
      <w:r>
        <w:rPr>
          <w:rFonts w:cs="Arial" w:asciiTheme="minorEastAsia" w:hAnsiTheme="minorEastAsia"/>
          <w:color w:val="333333"/>
          <w:sz w:val="28"/>
          <w:szCs w:val="28"/>
          <w:shd w:val="clear" w:color="auto" w:fill="FFFFFF"/>
        </w:rPr>
        <w:t>万元。 </w:t>
      </w:r>
    </w:p>
    <w:p>
      <w:pPr>
        <w:pStyle w:val="2"/>
        <w:widowControl/>
        <w:shd w:val="clear" w:color="auto" w:fill="FFFFFF"/>
        <w:spacing w:beforeAutospacing="0" w:afterAutospacing="0"/>
        <w:jc w:val="both"/>
        <w:rPr>
          <w:rFonts w:cs="Arial" w:asciiTheme="minorEastAsia" w:hAnsiTheme="minorEastAsia"/>
          <w:color w:val="333333"/>
          <w:sz w:val="28"/>
          <w:szCs w:val="28"/>
          <w:shd w:val="clear" w:color="auto" w:fill="FFFFFF"/>
        </w:rPr>
      </w:pPr>
      <w:r>
        <w:rPr>
          <w:rFonts w:cs="Arial" w:asciiTheme="minorEastAsia" w:hAnsiTheme="minorEastAsia"/>
          <w:color w:val="333333"/>
          <w:sz w:val="28"/>
          <w:szCs w:val="28"/>
          <w:shd w:val="clear" w:color="auto" w:fill="FFFFFF"/>
        </w:rPr>
        <w:t>　　（二）支出预算：2020年年初预算数</w:t>
      </w:r>
      <w:r>
        <w:rPr>
          <w:rFonts w:hint="eastAsia" w:cs="Arial" w:asciiTheme="minorEastAsia" w:hAnsiTheme="minorEastAsia"/>
          <w:color w:val="333333"/>
          <w:sz w:val="28"/>
          <w:szCs w:val="28"/>
          <w:shd w:val="clear" w:color="auto" w:fill="FFFFFF"/>
        </w:rPr>
        <w:t>1163.69</w:t>
      </w:r>
      <w:r>
        <w:rPr>
          <w:rFonts w:cs="Arial" w:asciiTheme="minorEastAsia" w:hAnsiTheme="minorEastAsia"/>
          <w:color w:val="333333"/>
          <w:sz w:val="28"/>
          <w:szCs w:val="28"/>
          <w:shd w:val="clear" w:color="auto" w:fill="FFFFFF"/>
        </w:rPr>
        <w:t>万元，其中，</w:t>
      </w:r>
      <w:r>
        <w:rPr>
          <w:rFonts w:hint="eastAsia" w:cs="Arial" w:asciiTheme="minorEastAsia" w:hAnsiTheme="minorEastAsia"/>
          <w:color w:val="333333"/>
          <w:sz w:val="28"/>
          <w:szCs w:val="28"/>
          <w:shd w:val="clear" w:color="auto" w:fill="FFFFFF"/>
        </w:rPr>
        <w:t>工资福利支出701.32万元，</w:t>
      </w:r>
      <w:r>
        <w:rPr>
          <w:rFonts w:cs="Arial" w:asciiTheme="minorEastAsia" w:hAnsiTheme="minorEastAsia"/>
          <w:color w:val="333333"/>
          <w:sz w:val="28"/>
          <w:szCs w:val="28"/>
          <w:shd w:val="clear" w:color="auto" w:fill="FFFFFF"/>
        </w:rPr>
        <w:t>一般</w:t>
      </w:r>
      <w:r>
        <w:rPr>
          <w:rFonts w:hint="eastAsia" w:cs="Arial" w:asciiTheme="minorEastAsia" w:hAnsiTheme="minorEastAsia"/>
          <w:color w:val="333333"/>
          <w:sz w:val="28"/>
          <w:szCs w:val="28"/>
          <w:shd w:val="clear" w:color="auto" w:fill="FFFFFF"/>
        </w:rPr>
        <w:t>商品和服务支出28.8</w:t>
      </w:r>
      <w:r>
        <w:rPr>
          <w:rFonts w:cs="Arial" w:asciiTheme="minorEastAsia" w:hAnsiTheme="minorEastAsia"/>
          <w:color w:val="333333"/>
          <w:sz w:val="28"/>
          <w:szCs w:val="28"/>
          <w:shd w:val="clear" w:color="auto" w:fill="FFFFFF"/>
        </w:rPr>
        <w:t>万元，</w:t>
      </w:r>
      <w:r>
        <w:rPr>
          <w:rFonts w:hint="eastAsia" w:cs="Arial" w:asciiTheme="minorEastAsia" w:hAnsiTheme="minorEastAsia"/>
          <w:color w:val="333333"/>
          <w:sz w:val="28"/>
          <w:szCs w:val="28"/>
          <w:shd w:val="clear" w:color="auto" w:fill="FFFFFF"/>
        </w:rPr>
        <w:t>对个人和家庭补助10.57</w:t>
      </w:r>
      <w:r>
        <w:rPr>
          <w:rFonts w:cs="Arial" w:asciiTheme="minorEastAsia" w:hAnsiTheme="minorEastAsia"/>
          <w:color w:val="333333"/>
          <w:sz w:val="28"/>
          <w:szCs w:val="28"/>
          <w:shd w:val="clear" w:color="auto" w:fill="FFFFFF"/>
        </w:rPr>
        <w:t>万元，</w:t>
      </w:r>
      <w:r>
        <w:rPr>
          <w:rFonts w:hint="eastAsia" w:cs="Arial" w:asciiTheme="minorEastAsia" w:hAnsiTheme="minorEastAsia"/>
          <w:color w:val="333333"/>
          <w:sz w:val="28"/>
          <w:szCs w:val="28"/>
          <w:shd w:val="clear" w:color="auto" w:fill="FFFFFF"/>
        </w:rPr>
        <w:t>专项经费423</w:t>
      </w:r>
      <w:r>
        <w:rPr>
          <w:rFonts w:cs="Arial" w:asciiTheme="minorEastAsia" w:hAnsiTheme="minorEastAsia"/>
          <w:color w:val="333333"/>
          <w:sz w:val="28"/>
          <w:szCs w:val="28"/>
          <w:shd w:val="clear" w:color="auto" w:fill="FFFFFF"/>
        </w:rPr>
        <w:t>万元。支出较去年</w:t>
      </w:r>
      <w:r>
        <w:rPr>
          <w:rFonts w:hint="eastAsia" w:cs="Arial" w:asciiTheme="minorEastAsia" w:hAnsiTheme="minorEastAsia"/>
          <w:color w:val="333333"/>
          <w:sz w:val="28"/>
          <w:szCs w:val="28"/>
          <w:shd w:val="clear" w:color="auto" w:fill="FFFFFF"/>
        </w:rPr>
        <w:t>减少76.3</w:t>
      </w:r>
      <w:r>
        <w:rPr>
          <w:rFonts w:cs="Arial" w:asciiTheme="minorEastAsia" w:hAnsiTheme="minorEastAsia"/>
          <w:color w:val="333333"/>
          <w:sz w:val="28"/>
          <w:szCs w:val="28"/>
          <w:shd w:val="clear" w:color="auto" w:fill="FFFFFF"/>
        </w:rPr>
        <w:t>万元，</w:t>
      </w:r>
      <w:r>
        <w:rPr>
          <w:rFonts w:hint="eastAsia" w:cs="Arial" w:asciiTheme="minorEastAsia" w:hAnsiTheme="minorEastAsia"/>
          <w:color w:val="333333"/>
          <w:sz w:val="28"/>
          <w:szCs w:val="28"/>
          <w:shd w:val="clear" w:color="auto" w:fill="FFFFFF"/>
        </w:rPr>
        <w:t>其中：</w:t>
      </w:r>
      <w:r>
        <w:rPr>
          <w:rFonts w:cs="Arial" w:asciiTheme="minorEastAsia" w:hAnsiTheme="minorEastAsia"/>
          <w:color w:val="333333"/>
          <w:sz w:val="28"/>
          <w:szCs w:val="28"/>
          <w:shd w:val="clear" w:color="auto" w:fill="FFFFFF"/>
        </w:rPr>
        <w:t>一般</w:t>
      </w:r>
      <w:r>
        <w:rPr>
          <w:rFonts w:hint="eastAsia" w:cs="Arial" w:asciiTheme="minorEastAsia" w:hAnsiTheme="minorEastAsia"/>
          <w:color w:val="333333"/>
          <w:sz w:val="28"/>
          <w:szCs w:val="28"/>
          <w:shd w:val="clear" w:color="auto" w:fill="FFFFFF"/>
        </w:rPr>
        <w:t>商品和服务支出等基本支出减少75.3</w:t>
      </w:r>
      <w:r>
        <w:rPr>
          <w:rFonts w:cs="Arial" w:asciiTheme="minorEastAsia" w:hAnsiTheme="minorEastAsia"/>
          <w:color w:val="333333"/>
          <w:sz w:val="28"/>
          <w:szCs w:val="28"/>
          <w:shd w:val="clear" w:color="auto" w:fill="FFFFFF"/>
        </w:rPr>
        <w:t>万元</w:t>
      </w:r>
      <w:r>
        <w:rPr>
          <w:rFonts w:hint="eastAsia" w:cs="Arial" w:asciiTheme="minorEastAsia" w:hAnsiTheme="minorEastAsia"/>
          <w:color w:val="333333"/>
          <w:sz w:val="28"/>
          <w:szCs w:val="28"/>
          <w:shd w:val="clear" w:color="auto" w:fill="FFFFFF"/>
        </w:rPr>
        <w:t>，项目经费支出减少1万元。</w:t>
      </w:r>
    </w:p>
    <w:p>
      <w:pPr>
        <w:pStyle w:val="2"/>
        <w:widowControl/>
        <w:shd w:val="clear" w:color="auto" w:fill="FFFFFF"/>
        <w:spacing w:beforeAutospacing="0" w:afterAutospacing="0"/>
        <w:jc w:val="both"/>
        <w:rPr>
          <w:rFonts w:cs="Arial" w:asciiTheme="minorEastAsia" w:hAnsiTheme="minorEastAsia"/>
          <w:color w:val="333333"/>
          <w:sz w:val="28"/>
          <w:szCs w:val="28"/>
          <w:shd w:val="clear" w:color="auto" w:fill="FFFFFF"/>
        </w:rPr>
      </w:pPr>
      <w:r>
        <w:rPr>
          <w:rFonts w:cs="Arial" w:asciiTheme="minorEastAsia" w:hAnsiTheme="minorEastAsia"/>
          <w:color w:val="333333"/>
          <w:sz w:val="28"/>
          <w:szCs w:val="28"/>
          <w:shd w:val="clear" w:color="auto" w:fill="FFFFFF"/>
        </w:rPr>
        <w:t>　　四、一般公共预算拨款支出预算 </w:t>
      </w:r>
    </w:p>
    <w:p>
      <w:pPr>
        <w:pStyle w:val="2"/>
        <w:widowControl/>
        <w:shd w:val="clear" w:color="auto" w:fill="FFFFFF"/>
        <w:spacing w:beforeAutospacing="0" w:afterAutospacing="0"/>
        <w:jc w:val="both"/>
        <w:rPr>
          <w:rFonts w:cs="Arial" w:asciiTheme="minorEastAsia" w:hAnsiTheme="minorEastAsia"/>
          <w:color w:val="333333"/>
          <w:sz w:val="28"/>
          <w:szCs w:val="28"/>
          <w:shd w:val="clear" w:color="auto" w:fill="FFFFFF"/>
        </w:rPr>
      </w:pPr>
      <w:r>
        <w:rPr>
          <w:rFonts w:cs="Arial" w:asciiTheme="minorEastAsia" w:hAnsiTheme="minorEastAsia"/>
          <w:color w:val="333333"/>
          <w:sz w:val="28"/>
          <w:szCs w:val="28"/>
          <w:shd w:val="clear" w:color="auto" w:fill="FFFFFF"/>
        </w:rPr>
        <w:t>　　2020年一般公共预算拨款收入</w:t>
      </w:r>
      <w:r>
        <w:rPr>
          <w:rFonts w:hint="eastAsia" w:cs="Arial" w:asciiTheme="minorEastAsia" w:hAnsiTheme="minorEastAsia"/>
          <w:color w:val="333333"/>
          <w:sz w:val="28"/>
          <w:szCs w:val="28"/>
          <w:shd w:val="clear" w:color="auto" w:fill="FFFFFF"/>
        </w:rPr>
        <w:t>1163.69</w:t>
      </w:r>
      <w:r>
        <w:rPr>
          <w:rFonts w:cs="Arial" w:asciiTheme="minorEastAsia" w:hAnsiTheme="minorEastAsia"/>
          <w:color w:val="333333"/>
          <w:sz w:val="28"/>
          <w:szCs w:val="28"/>
          <w:shd w:val="clear" w:color="auto" w:fill="FFFFFF"/>
        </w:rPr>
        <w:t>万元，具体安排情况如下： </w:t>
      </w:r>
    </w:p>
    <w:p>
      <w:pPr>
        <w:pStyle w:val="2"/>
        <w:widowControl/>
        <w:shd w:val="clear" w:color="auto" w:fill="FFFFFF"/>
        <w:spacing w:beforeAutospacing="0" w:afterAutospacing="0"/>
        <w:jc w:val="both"/>
        <w:rPr>
          <w:rFonts w:cs="Arial" w:asciiTheme="minorEastAsia" w:hAnsiTheme="minorEastAsia"/>
          <w:color w:val="333333"/>
          <w:sz w:val="28"/>
          <w:szCs w:val="28"/>
          <w:shd w:val="clear" w:color="auto" w:fill="FFFFFF"/>
        </w:rPr>
      </w:pPr>
      <w:r>
        <w:rPr>
          <w:rFonts w:cs="Arial" w:asciiTheme="minorEastAsia" w:hAnsiTheme="minorEastAsia"/>
          <w:color w:val="333333"/>
          <w:sz w:val="28"/>
          <w:szCs w:val="28"/>
          <w:shd w:val="clear" w:color="auto" w:fill="FFFFFF"/>
        </w:rPr>
        <w:t>　　（一）基本支出：2020年基本支出年初预算数为</w:t>
      </w:r>
      <w:r>
        <w:rPr>
          <w:rFonts w:hint="eastAsia" w:cs="Arial" w:asciiTheme="minorEastAsia" w:hAnsiTheme="minorEastAsia"/>
          <w:color w:val="333333"/>
          <w:sz w:val="28"/>
          <w:szCs w:val="28"/>
          <w:shd w:val="clear" w:color="auto" w:fill="FFFFFF"/>
        </w:rPr>
        <w:t>740.69</w:t>
      </w:r>
      <w:r>
        <w:rPr>
          <w:rFonts w:cs="Arial" w:asciiTheme="minorEastAsia" w:hAnsiTheme="minorEastAsia"/>
          <w:color w:val="333333"/>
          <w:sz w:val="28"/>
          <w:szCs w:val="28"/>
          <w:shd w:val="clear" w:color="auto" w:fill="FFFFFF"/>
        </w:rPr>
        <w:t>万元，是指为保障单位机构正常运转、完成日常工作任务而发生的各项支出，包括用于基本工资、津贴补贴等人员经费以及办公费、印刷费、水电费、办公设备购置等日常公用经费。 </w:t>
      </w:r>
    </w:p>
    <w:p>
      <w:pPr>
        <w:pStyle w:val="2"/>
        <w:widowControl/>
        <w:shd w:val="clear" w:color="auto" w:fill="FFFFFF"/>
        <w:spacing w:beforeAutospacing="0" w:afterAutospacing="0"/>
        <w:ind w:firstLine="560" w:firstLineChars="200"/>
        <w:jc w:val="both"/>
        <w:rPr>
          <w:rFonts w:hint="eastAsia" w:cs="Arial" w:asciiTheme="minorEastAsia" w:hAnsiTheme="minorEastAsia"/>
          <w:color w:val="333333"/>
          <w:sz w:val="28"/>
          <w:szCs w:val="28"/>
          <w:shd w:val="clear" w:color="auto" w:fill="FFFFFF"/>
        </w:rPr>
      </w:pPr>
      <w:r>
        <w:rPr>
          <w:rFonts w:cs="Arial" w:asciiTheme="minorEastAsia" w:hAnsiTheme="minorEastAsia"/>
          <w:color w:val="333333"/>
          <w:sz w:val="28"/>
          <w:szCs w:val="28"/>
          <w:shd w:val="clear" w:color="auto" w:fill="FFFFFF"/>
        </w:rPr>
        <w:t>（二）项目支出：2020年项目支出年初预算数为</w:t>
      </w:r>
      <w:r>
        <w:rPr>
          <w:rFonts w:hint="eastAsia" w:cs="Arial" w:asciiTheme="minorEastAsia" w:hAnsiTheme="minorEastAsia"/>
          <w:color w:val="333333"/>
          <w:sz w:val="28"/>
          <w:szCs w:val="28"/>
          <w:shd w:val="clear" w:color="auto" w:fill="FFFFFF"/>
        </w:rPr>
        <w:t>423</w:t>
      </w:r>
      <w:r>
        <w:rPr>
          <w:rFonts w:cs="Arial" w:asciiTheme="minorEastAsia" w:hAnsiTheme="minorEastAsia"/>
          <w:color w:val="333333"/>
          <w:sz w:val="28"/>
          <w:szCs w:val="28"/>
          <w:shd w:val="clear" w:color="auto" w:fill="FFFFFF"/>
        </w:rPr>
        <w:t>万元，是指</w:t>
      </w:r>
      <w:r>
        <w:rPr>
          <w:rFonts w:hint="eastAsia" w:cs="Arial" w:asciiTheme="minorEastAsia" w:hAnsiTheme="minorEastAsia"/>
          <w:color w:val="333333"/>
          <w:sz w:val="28"/>
          <w:szCs w:val="28"/>
          <w:shd w:val="clear" w:color="auto" w:fill="FFFFFF"/>
        </w:rPr>
        <w:t>单位为完成特定行政工作任务或事业发展目标而发生的支出，包括有关业务工作经费等。其中：敬老院管理162万元，主要是乡镇敬老院人员工资和运转等支出；社会救助工作经费45万元，主要是县城乡社会救助管理中心工作费；流浪乞讨救助站经费30万元；农村社会救助30万元；殡葬改革工作经费20万元；儿童之家运转经费15万元；衡南县福利中心15万元；养老服务工作经费10万元；衡南县园艺场10万元；其他民政管理事务支出86万元，用于婚姻登记、慈善、残疾人、老龄、民间组织、区划地名等专项工作支出。</w:t>
      </w:r>
    </w:p>
    <w:p>
      <w:pPr>
        <w:pStyle w:val="2"/>
        <w:widowControl/>
        <w:shd w:val="clear" w:color="auto" w:fill="FFFFFF"/>
        <w:spacing w:beforeAutospacing="0" w:afterAutospacing="0"/>
        <w:ind w:firstLine="560" w:firstLineChars="200"/>
        <w:jc w:val="both"/>
        <w:rPr>
          <w:rFonts w:hint="eastAsia" w:cs="Arial" w:asciiTheme="minorEastAsia" w:hAnsiTheme="minorEastAsia"/>
          <w:color w:val="333333"/>
          <w:sz w:val="28"/>
          <w:szCs w:val="28"/>
          <w:shd w:val="clear" w:color="auto" w:fill="FFFFFF"/>
        </w:rPr>
      </w:pPr>
      <w:r>
        <w:rPr>
          <w:rFonts w:hint="eastAsia" w:cs="Arial" w:asciiTheme="minorEastAsia" w:hAnsiTheme="minorEastAsia"/>
          <w:color w:val="333333"/>
          <w:sz w:val="28"/>
          <w:szCs w:val="28"/>
          <w:shd w:val="clear" w:color="auto" w:fill="FFFFFF"/>
          <w:lang w:eastAsia="zh-CN"/>
        </w:rPr>
        <w:t>五</w:t>
      </w:r>
      <w:r>
        <w:rPr>
          <w:rFonts w:hint="eastAsia" w:cs="Arial" w:asciiTheme="minorEastAsia" w:hAnsiTheme="minorEastAsia"/>
          <w:color w:val="333333"/>
          <w:sz w:val="28"/>
          <w:szCs w:val="28"/>
          <w:shd w:val="clear" w:color="auto" w:fill="FFFFFF"/>
        </w:rPr>
        <w:t>、政府性基金预算</w:t>
      </w:r>
    </w:p>
    <w:p>
      <w:pPr>
        <w:pStyle w:val="2"/>
        <w:widowControl/>
        <w:shd w:val="clear" w:color="auto" w:fill="FFFFFF"/>
        <w:spacing w:beforeAutospacing="0" w:afterAutospacing="0"/>
        <w:ind w:firstLine="560" w:firstLineChars="200"/>
        <w:jc w:val="both"/>
        <w:rPr>
          <w:rFonts w:hint="eastAsia" w:cs="Arial" w:asciiTheme="minorEastAsia" w:hAnsiTheme="minorEastAsia"/>
          <w:color w:val="333333"/>
          <w:sz w:val="28"/>
          <w:szCs w:val="28"/>
          <w:shd w:val="clear" w:color="auto" w:fill="FFFFFF"/>
        </w:rPr>
      </w:pPr>
      <w:r>
        <w:rPr>
          <w:rFonts w:hint="eastAsia" w:cs="Arial" w:asciiTheme="minorEastAsia" w:hAnsiTheme="minorEastAsia"/>
          <w:color w:val="333333"/>
          <w:sz w:val="28"/>
          <w:szCs w:val="28"/>
          <w:shd w:val="clear" w:color="auto" w:fill="FFFFFF"/>
        </w:rPr>
        <w:t>本年度本单位无政府性基金预算支出。</w:t>
      </w:r>
    </w:p>
    <w:p>
      <w:pPr>
        <w:pStyle w:val="2"/>
        <w:widowControl/>
        <w:shd w:val="clear" w:color="auto" w:fill="FFFFFF"/>
        <w:spacing w:beforeAutospacing="0" w:afterAutospacing="0"/>
        <w:ind w:firstLine="560" w:firstLineChars="200"/>
        <w:jc w:val="both"/>
        <w:rPr>
          <w:rFonts w:cs="Arial" w:asciiTheme="minorEastAsia" w:hAnsiTheme="minorEastAsia"/>
          <w:color w:val="333333"/>
          <w:sz w:val="28"/>
          <w:szCs w:val="28"/>
          <w:shd w:val="clear" w:color="auto" w:fill="FFFFFF"/>
        </w:rPr>
      </w:pPr>
      <w:r>
        <w:rPr>
          <w:rFonts w:hint="eastAsia" w:cs="Arial" w:asciiTheme="minorEastAsia" w:hAnsiTheme="minorEastAsia"/>
          <w:color w:val="333333"/>
          <w:sz w:val="28"/>
          <w:szCs w:val="28"/>
          <w:shd w:val="clear" w:color="auto" w:fill="FFFFFF"/>
          <w:lang w:eastAsia="zh-CN"/>
        </w:rPr>
        <w:t>六、</w:t>
      </w:r>
      <w:r>
        <w:rPr>
          <w:rFonts w:cs="Arial" w:asciiTheme="minorEastAsia" w:hAnsiTheme="minorEastAsia"/>
          <w:color w:val="333333"/>
          <w:sz w:val="28"/>
          <w:szCs w:val="28"/>
          <w:shd w:val="clear" w:color="auto" w:fill="FFFFFF"/>
        </w:rPr>
        <w:t>其他重要事项的情况说明 </w:t>
      </w:r>
    </w:p>
    <w:p>
      <w:pPr>
        <w:pStyle w:val="2"/>
        <w:widowControl/>
        <w:shd w:val="clear" w:color="auto" w:fill="FFFFFF"/>
        <w:spacing w:beforeAutospacing="0" w:afterAutospacing="0"/>
        <w:jc w:val="both"/>
        <w:rPr>
          <w:rFonts w:cs="Arial" w:asciiTheme="minorEastAsia" w:hAnsiTheme="minorEastAsia"/>
          <w:color w:val="333333"/>
          <w:sz w:val="28"/>
          <w:szCs w:val="28"/>
          <w:shd w:val="clear" w:color="auto" w:fill="FFFFFF"/>
        </w:rPr>
      </w:pPr>
      <w:r>
        <w:rPr>
          <w:rFonts w:cs="Arial" w:asciiTheme="minorEastAsia" w:hAnsiTheme="minorEastAsia"/>
          <w:color w:val="333333"/>
          <w:sz w:val="28"/>
          <w:szCs w:val="28"/>
          <w:shd w:val="clear" w:color="auto" w:fill="FFFFFF"/>
        </w:rPr>
        <w:t>　　1、机关运行经费 </w:t>
      </w:r>
    </w:p>
    <w:p>
      <w:pPr>
        <w:pStyle w:val="2"/>
        <w:widowControl/>
        <w:shd w:val="clear" w:color="auto" w:fill="FFFFFF"/>
        <w:spacing w:beforeAutospacing="0" w:afterAutospacing="0"/>
        <w:jc w:val="both"/>
        <w:rPr>
          <w:rFonts w:hint="eastAsia" w:cs="Arial" w:asciiTheme="minorEastAsia" w:hAnsiTheme="minorEastAsia" w:eastAsiaTheme="minorEastAsia"/>
          <w:color w:val="333333"/>
          <w:sz w:val="28"/>
          <w:szCs w:val="28"/>
          <w:shd w:val="clear" w:color="auto" w:fill="FFFFFF"/>
          <w:lang w:eastAsia="zh-CN"/>
        </w:rPr>
      </w:pPr>
      <w:r>
        <w:rPr>
          <w:rFonts w:cs="Arial" w:asciiTheme="minorEastAsia" w:hAnsiTheme="minorEastAsia"/>
          <w:color w:val="333333"/>
          <w:sz w:val="28"/>
          <w:szCs w:val="28"/>
          <w:shd w:val="clear" w:color="auto" w:fill="FFFFFF"/>
        </w:rPr>
        <w:t>　　2020年本级机关运行经费当年一般公共预算拨款</w:t>
      </w:r>
      <w:r>
        <w:rPr>
          <w:rFonts w:hint="eastAsia" w:cs="Arial" w:asciiTheme="minorEastAsia" w:hAnsiTheme="minorEastAsia"/>
          <w:color w:val="333333"/>
          <w:sz w:val="28"/>
          <w:szCs w:val="28"/>
          <w:shd w:val="clear" w:color="auto" w:fill="FFFFFF"/>
        </w:rPr>
        <w:t>28.8</w:t>
      </w:r>
      <w:r>
        <w:rPr>
          <w:rFonts w:cs="Arial" w:asciiTheme="minorEastAsia" w:hAnsiTheme="minorEastAsia"/>
          <w:color w:val="333333"/>
          <w:sz w:val="28"/>
          <w:szCs w:val="28"/>
          <w:shd w:val="clear" w:color="auto" w:fill="FFFFFF"/>
        </w:rPr>
        <w:t>万元，比201</w:t>
      </w:r>
      <w:r>
        <w:rPr>
          <w:rFonts w:hint="eastAsia" w:cs="Arial" w:asciiTheme="minorEastAsia" w:hAnsiTheme="minorEastAsia"/>
          <w:color w:val="333333"/>
          <w:sz w:val="28"/>
          <w:szCs w:val="28"/>
          <w:shd w:val="clear" w:color="auto" w:fill="FFFFFF"/>
        </w:rPr>
        <w:t>9</w:t>
      </w:r>
      <w:r>
        <w:rPr>
          <w:rFonts w:cs="Arial" w:asciiTheme="minorEastAsia" w:hAnsiTheme="minorEastAsia"/>
          <w:color w:val="333333"/>
          <w:sz w:val="28"/>
          <w:szCs w:val="28"/>
          <w:shd w:val="clear" w:color="auto" w:fill="FFFFFF"/>
        </w:rPr>
        <w:t>年预算</w:t>
      </w:r>
      <w:r>
        <w:rPr>
          <w:rFonts w:hint="eastAsia" w:cs="Arial" w:asciiTheme="minorEastAsia" w:hAnsiTheme="minorEastAsia"/>
          <w:color w:val="333333"/>
          <w:sz w:val="28"/>
          <w:szCs w:val="28"/>
          <w:shd w:val="clear" w:color="auto" w:fill="FFFFFF"/>
        </w:rPr>
        <w:t>减少21.6</w:t>
      </w:r>
      <w:r>
        <w:rPr>
          <w:rFonts w:cs="Arial" w:asciiTheme="minorEastAsia" w:hAnsiTheme="minorEastAsia"/>
          <w:color w:val="333333"/>
          <w:sz w:val="28"/>
          <w:szCs w:val="28"/>
          <w:shd w:val="clear" w:color="auto" w:fill="FFFFFF"/>
        </w:rPr>
        <w:t>万元</w:t>
      </w:r>
      <w:r>
        <w:rPr>
          <w:rFonts w:hint="eastAsia" w:cs="Arial" w:asciiTheme="minorEastAsia" w:hAnsiTheme="minorEastAsia"/>
          <w:color w:val="333333"/>
          <w:sz w:val="28"/>
          <w:szCs w:val="28"/>
          <w:shd w:val="clear" w:color="auto" w:fill="FFFFFF"/>
          <w:lang w:eastAsia="zh-CN"/>
        </w:rPr>
        <w:t>，主要为办公费。</w:t>
      </w:r>
    </w:p>
    <w:p>
      <w:pPr>
        <w:pStyle w:val="2"/>
        <w:widowControl/>
        <w:shd w:val="clear" w:color="auto" w:fill="FFFFFF"/>
        <w:spacing w:beforeAutospacing="0" w:afterAutospacing="0"/>
        <w:ind w:firstLine="560" w:firstLineChars="200"/>
        <w:jc w:val="both"/>
        <w:rPr>
          <w:rFonts w:cs="Arial" w:asciiTheme="minorEastAsia" w:hAnsiTheme="minorEastAsia"/>
          <w:color w:val="333333"/>
          <w:sz w:val="28"/>
          <w:szCs w:val="28"/>
          <w:shd w:val="clear" w:color="auto" w:fill="FFFFFF"/>
        </w:rPr>
      </w:pPr>
      <w:r>
        <w:rPr>
          <w:rFonts w:hint="eastAsia" w:cs="Arial" w:asciiTheme="minorEastAsia" w:hAnsiTheme="minorEastAsia"/>
          <w:color w:val="333333"/>
          <w:sz w:val="28"/>
          <w:szCs w:val="28"/>
          <w:shd w:val="clear" w:color="auto" w:fill="FFFFFF"/>
        </w:rPr>
        <w:t>2、</w:t>
      </w:r>
      <w:r>
        <w:rPr>
          <w:rFonts w:cs="Arial" w:asciiTheme="minorEastAsia" w:hAnsiTheme="minorEastAsia"/>
          <w:color w:val="333333"/>
          <w:sz w:val="28"/>
          <w:szCs w:val="28"/>
          <w:shd w:val="clear" w:color="auto" w:fill="FFFFFF"/>
        </w:rPr>
        <w:t>“三公”经费预算 </w:t>
      </w:r>
    </w:p>
    <w:p>
      <w:pPr>
        <w:pStyle w:val="2"/>
        <w:widowControl/>
        <w:shd w:val="clear" w:color="auto" w:fill="FFFFFF"/>
        <w:spacing w:beforeAutospacing="0" w:afterAutospacing="0"/>
        <w:ind w:firstLine="560" w:firstLineChars="200"/>
        <w:jc w:val="both"/>
        <w:rPr>
          <w:rFonts w:cs="Arial" w:asciiTheme="minorEastAsia" w:hAnsiTheme="minorEastAsia"/>
          <w:color w:val="333333"/>
          <w:sz w:val="28"/>
          <w:szCs w:val="28"/>
          <w:shd w:val="clear" w:color="auto" w:fill="FFFFFF"/>
        </w:rPr>
      </w:pPr>
      <w:r>
        <w:rPr>
          <w:rFonts w:cs="Arial" w:asciiTheme="minorEastAsia" w:hAnsiTheme="minorEastAsia"/>
          <w:color w:val="333333"/>
          <w:sz w:val="28"/>
          <w:szCs w:val="28"/>
          <w:shd w:val="clear" w:color="auto" w:fill="FFFFFF"/>
        </w:rPr>
        <w:t>2020年“三公”经费预算数为</w:t>
      </w:r>
      <w:r>
        <w:rPr>
          <w:rFonts w:hint="eastAsia" w:cs="Arial" w:asciiTheme="minorEastAsia" w:hAnsiTheme="minorEastAsia"/>
          <w:color w:val="333333"/>
          <w:sz w:val="28"/>
          <w:szCs w:val="28"/>
          <w:shd w:val="clear" w:color="auto" w:fill="FFFFFF"/>
        </w:rPr>
        <w:t>34.05</w:t>
      </w:r>
      <w:r>
        <w:rPr>
          <w:rFonts w:cs="Arial" w:asciiTheme="minorEastAsia" w:hAnsiTheme="minorEastAsia"/>
          <w:color w:val="333333"/>
          <w:sz w:val="28"/>
          <w:szCs w:val="28"/>
          <w:shd w:val="clear" w:color="auto" w:fill="FFFFFF"/>
        </w:rPr>
        <w:t>万元，其中，公务接待费</w:t>
      </w:r>
      <w:r>
        <w:rPr>
          <w:rFonts w:hint="eastAsia" w:cs="Arial" w:asciiTheme="minorEastAsia" w:hAnsiTheme="minorEastAsia"/>
          <w:color w:val="333333"/>
          <w:sz w:val="28"/>
          <w:szCs w:val="28"/>
          <w:shd w:val="clear" w:color="auto" w:fill="FFFFFF"/>
        </w:rPr>
        <w:t>14.59</w:t>
      </w:r>
      <w:r>
        <w:rPr>
          <w:rFonts w:cs="Arial" w:asciiTheme="minorEastAsia" w:hAnsiTheme="minorEastAsia"/>
          <w:color w:val="333333"/>
          <w:sz w:val="28"/>
          <w:szCs w:val="28"/>
          <w:shd w:val="clear" w:color="auto" w:fill="FFFFFF"/>
        </w:rPr>
        <w:t>万元，公务用车购置及运行费</w:t>
      </w:r>
      <w:r>
        <w:rPr>
          <w:rFonts w:hint="eastAsia" w:cs="Arial" w:asciiTheme="minorEastAsia" w:hAnsiTheme="minorEastAsia"/>
          <w:color w:val="333333"/>
          <w:sz w:val="28"/>
          <w:szCs w:val="28"/>
          <w:shd w:val="clear" w:color="auto" w:fill="FFFFFF"/>
        </w:rPr>
        <w:t>19.46</w:t>
      </w:r>
      <w:r>
        <w:rPr>
          <w:rFonts w:cs="Arial" w:asciiTheme="minorEastAsia" w:hAnsiTheme="minorEastAsia"/>
          <w:color w:val="333333"/>
          <w:sz w:val="28"/>
          <w:szCs w:val="28"/>
          <w:shd w:val="clear" w:color="auto" w:fill="FFFFFF"/>
        </w:rPr>
        <w:t>万元（其中，公务用车购置费0万元，公务用车运行费</w:t>
      </w:r>
      <w:r>
        <w:rPr>
          <w:rFonts w:hint="eastAsia" w:cs="Arial" w:asciiTheme="minorEastAsia" w:hAnsiTheme="minorEastAsia"/>
          <w:color w:val="333333"/>
          <w:sz w:val="28"/>
          <w:szCs w:val="28"/>
          <w:shd w:val="clear" w:color="auto" w:fill="FFFFFF"/>
        </w:rPr>
        <w:t>19.46</w:t>
      </w:r>
      <w:r>
        <w:rPr>
          <w:rFonts w:cs="Arial" w:asciiTheme="minorEastAsia" w:hAnsiTheme="minorEastAsia"/>
          <w:color w:val="333333"/>
          <w:sz w:val="28"/>
          <w:szCs w:val="28"/>
          <w:shd w:val="clear" w:color="auto" w:fill="FFFFFF"/>
        </w:rPr>
        <w:t>万元）。2020年“三公”经费预算较201</w:t>
      </w:r>
      <w:r>
        <w:rPr>
          <w:rFonts w:hint="eastAsia" w:cs="Arial" w:asciiTheme="minorEastAsia" w:hAnsiTheme="minorEastAsia"/>
          <w:color w:val="333333"/>
          <w:sz w:val="28"/>
          <w:szCs w:val="28"/>
          <w:shd w:val="clear" w:color="auto" w:fill="FFFFFF"/>
        </w:rPr>
        <w:t>9</w:t>
      </w:r>
      <w:r>
        <w:rPr>
          <w:rFonts w:cs="Arial" w:asciiTheme="minorEastAsia" w:hAnsiTheme="minorEastAsia"/>
          <w:color w:val="333333"/>
          <w:sz w:val="28"/>
          <w:szCs w:val="28"/>
          <w:shd w:val="clear" w:color="auto" w:fill="FFFFFF"/>
        </w:rPr>
        <w:t>年减少</w:t>
      </w:r>
      <w:r>
        <w:rPr>
          <w:rFonts w:hint="eastAsia" w:cs="Arial" w:asciiTheme="minorEastAsia" w:hAnsiTheme="minorEastAsia"/>
          <w:color w:val="333333"/>
          <w:sz w:val="28"/>
          <w:szCs w:val="28"/>
          <w:shd w:val="clear" w:color="auto" w:fill="FFFFFF"/>
        </w:rPr>
        <w:t>34.35</w:t>
      </w:r>
      <w:r>
        <w:rPr>
          <w:rFonts w:cs="Arial" w:asciiTheme="minorEastAsia" w:hAnsiTheme="minorEastAsia"/>
          <w:color w:val="333333"/>
          <w:sz w:val="28"/>
          <w:szCs w:val="28"/>
          <w:shd w:val="clear" w:color="auto" w:fill="FFFFFF"/>
        </w:rPr>
        <w:t>万</w:t>
      </w:r>
      <w:r>
        <w:rPr>
          <w:rFonts w:hint="eastAsia" w:cs="Arial" w:asciiTheme="minorEastAsia" w:hAnsiTheme="minorEastAsia"/>
          <w:color w:val="333333"/>
          <w:sz w:val="28"/>
          <w:szCs w:val="28"/>
          <w:shd w:val="clear" w:color="auto" w:fill="FFFFFF"/>
        </w:rPr>
        <w:t>元。主要原因有二：一是继续推进厉行节约，严格财务制度，进一步压减公务接待费支出；二是加强对公务车辆的管理，严格控制公车使用，提高车辆使用效率。</w:t>
      </w:r>
    </w:p>
    <w:p>
      <w:pPr>
        <w:pStyle w:val="2"/>
        <w:widowControl/>
        <w:shd w:val="clear" w:color="auto" w:fill="FFFFFF"/>
        <w:spacing w:beforeAutospacing="0" w:afterAutospacing="0"/>
        <w:jc w:val="both"/>
        <w:rPr>
          <w:rFonts w:cs="Arial" w:asciiTheme="minorEastAsia" w:hAnsiTheme="minorEastAsia"/>
          <w:color w:val="333333"/>
          <w:sz w:val="28"/>
          <w:szCs w:val="28"/>
          <w:shd w:val="clear" w:color="auto" w:fill="FFFFFF"/>
        </w:rPr>
      </w:pPr>
      <w:r>
        <w:rPr>
          <w:rFonts w:cs="Arial" w:asciiTheme="minorEastAsia" w:hAnsiTheme="minorEastAsia"/>
          <w:color w:val="333333"/>
          <w:sz w:val="28"/>
          <w:szCs w:val="28"/>
          <w:shd w:val="clear" w:color="auto" w:fill="FFFFFF"/>
        </w:rPr>
        <w:t>　　3、政府采购情况 </w:t>
      </w:r>
    </w:p>
    <w:p>
      <w:pPr>
        <w:rPr>
          <w:rFonts w:cs="Arial" w:asciiTheme="minorEastAsia" w:hAnsiTheme="minorEastAsia"/>
          <w:color w:val="333333"/>
          <w:sz w:val="28"/>
          <w:szCs w:val="28"/>
          <w:highlight w:val="none"/>
          <w:shd w:val="clear" w:color="auto" w:fill="FFFFFF"/>
        </w:rPr>
      </w:pPr>
      <w:r>
        <w:rPr>
          <w:rFonts w:cs="Arial" w:asciiTheme="minorEastAsia" w:hAnsiTheme="minorEastAsia"/>
          <w:color w:val="333333"/>
          <w:sz w:val="28"/>
          <w:szCs w:val="28"/>
          <w:shd w:val="clear" w:color="auto" w:fill="FFFFFF"/>
        </w:rPr>
        <w:t>　　</w:t>
      </w:r>
      <w:r>
        <w:rPr>
          <w:rFonts w:cs="Arial" w:asciiTheme="minorEastAsia" w:hAnsiTheme="minorEastAsia"/>
          <w:color w:val="333333"/>
          <w:sz w:val="28"/>
          <w:szCs w:val="28"/>
          <w:highlight w:val="none"/>
          <w:shd w:val="clear" w:color="auto" w:fill="FFFFFF"/>
        </w:rPr>
        <w:t>2020年</w:t>
      </w:r>
      <w:r>
        <w:rPr>
          <w:rFonts w:hint="eastAsia" w:cs="Arial" w:asciiTheme="minorEastAsia" w:hAnsiTheme="minorEastAsia"/>
          <w:color w:val="333333"/>
          <w:sz w:val="28"/>
          <w:szCs w:val="28"/>
          <w:highlight w:val="none"/>
          <w:shd w:val="clear" w:color="auto" w:fill="FFFFFF"/>
        </w:rPr>
        <w:t>本单位</w:t>
      </w:r>
      <w:r>
        <w:rPr>
          <w:rFonts w:cs="Arial" w:asciiTheme="minorEastAsia" w:hAnsiTheme="minorEastAsia"/>
          <w:color w:val="333333"/>
          <w:sz w:val="28"/>
          <w:szCs w:val="28"/>
          <w:highlight w:val="none"/>
          <w:shd w:val="clear" w:color="auto" w:fill="FFFFFF"/>
        </w:rPr>
        <w:t>政府采购预算总额</w:t>
      </w:r>
      <w:r>
        <w:rPr>
          <w:rFonts w:hint="eastAsia" w:cs="Arial" w:asciiTheme="minorEastAsia" w:hAnsiTheme="minorEastAsia"/>
          <w:color w:val="333333"/>
          <w:sz w:val="28"/>
          <w:szCs w:val="28"/>
          <w:highlight w:val="none"/>
          <w:shd w:val="clear" w:color="auto" w:fill="FFFFFF"/>
        </w:rPr>
        <w:t>3359.42</w:t>
      </w:r>
      <w:r>
        <w:rPr>
          <w:rFonts w:cs="Arial" w:asciiTheme="minorEastAsia" w:hAnsiTheme="minorEastAsia"/>
          <w:color w:val="333333"/>
          <w:sz w:val="28"/>
          <w:szCs w:val="28"/>
          <w:highlight w:val="none"/>
          <w:shd w:val="clear" w:color="auto" w:fill="FFFFFF"/>
        </w:rPr>
        <w:t>万元。</w:t>
      </w:r>
      <w:r>
        <w:rPr>
          <w:rFonts w:hint="eastAsia" w:cs="Arial" w:asciiTheme="minorEastAsia" w:hAnsiTheme="minorEastAsia"/>
          <w:color w:val="333333"/>
          <w:sz w:val="28"/>
          <w:szCs w:val="28"/>
          <w:highlight w:val="none"/>
          <w:shd w:val="clear" w:color="auto" w:fill="FFFFFF"/>
        </w:rPr>
        <w:t>主要用于</w:t>
      </w:r>
      <w:r>
        <w:rPr>
          <w:rFonts w:cs="Arial" w:asciiTheme="minorEastAsia" w:hAnsiTheme="minorEastAsia"/>
          <w:color w:val="333333"/>
          <w:sz w:val="28"/>
          <w:szCs w:val="28"/>
          <w:highlight w:val="none"/>
          <w:shd w:val="clear" w:color="auto" w:fill="FFFFFF"/>
        </w:rPr>
        <w:t>政府采购</w:t>
      </w:r>
      <w:r>
        <w:rPr>
          <w:rFonts w:hint="eastAsia" w:cs="Arial" w:asciiTheme="minorEastAsia" w:hAnsiTheme="minorEastAsia"/>
          <w:color w:val="333333"/>
          <w:sz w:val="28"/>
          <w:szCs w:val="28"/>
          <w:highlight w:val="none"/>
          <w:shd w:val="clear" w:color="auto" w:fill="FFFFFF"/>
          <w:lang w:eastAsia="zh-CN"/>
        </w:rPr>
        <w:t>工程类</w:t>
      </w:r>
      <w:r>
        <w:rPr>
          <w:rFonts w:hint="eastAsia" w:cs="Arial" w:asciiTheme="minorEastAsia" w:hAnsiTheme="minorEastAsia"/>
          <w:color w:val="333333"/>
          <w:sz w:val="28"/>
          <w:szCs w:val="28"/>
          <w:highlight w:val="none"/>
          <w:shd w:val="clear" w:color="auto" w:fill="FFFFFF"/>
        </w:rPr>
        <w:t>1240.8万元，</w:t>
      </w:r>
      <w:r>
        <w:rPr>
          <w:rFonts w:cs="Arial" w:asciiTheme="minorEastAsia" w:hAnsiTheme="minorEastAsia"/>
          <w:color w:val="333333"/>
          <w:sz w:val="28"/>
          <w:szCs w:val="28"/>
          <w:highlight w:val="none"/>
          <w:shd w:val="clear" w:color="auto" w:fill="FFFFFF"/>
        </w:rPr>
        <w:t>政府采购</w:t>
      </w:r>
      <w:r>
        <w:rPr>
          <w:rFonts w:hint="eastAsia" w:cs="Arial" w:asciiTheme="minorEastAsia" w:hAnsiTheme="minorEastAsia"/>
          <w:color w:val="333333"/>
          <w:sz w:val="28"/>
          <w:szCs w:val="28"/>
          <w:highlight w:val="none"/>
          <w:shd w:val="clear" w:color="auto" w:fill="FFFFFF"/>
          <w:lang w:eastAsia="zh-CN"/>
        </w:rPr>
        <w:t>服务类</w:t>
      </w:r>
      <w:r>
        <w:rPr>
          <w:rFonts w:hint="eastAsia" w:cs="Arial" w:asciiTheme="minorEastAsia" w:hAnsiTheme="minorEastAsia"/>
          <w:color w:val="333333"/>
          <w:sz w:val="28"/>
          <w:szCs w:val="28"/>
          <w:highlight w:val="none"/>
          <w:shd w:val="clear" w:color="auto" w:fill="FFFFFF"/>
          <w:lang w:val="en-US" w:eastAsia="zh-CN"/>
        </w:rPr>
        <w:t>156.1</w:t>
      </w:r>
      <w:r>
        <w:rPr>
          <w:rFonts w:hint="eastAsia" w:cs="Arial" w:asciiTheme="minorEastAsia" w:hAnsiTheme="minorEastAsia"/>
          <w:color w:val="333333"/>
          <w:sz w:val="28"/>
          <w:szCs w:val="28"/>
          <w:highlight w:val="none"/>
          <w:shd w:val="clear" w:color="auto" w:fill="FFFFFF"/>
        </w:rPr>
        <w:t>万元</w:t>
      </w:r>
      <w:r>
        <w:rPr>
          <w:rFonts w:hint="eastAsia" w:cs="Arial" w:asciiTheme="minorEastAsia" w:hAnsiTheme="minorEastAsia"/>
          <w:color w:val="333333"/>
          <w:sz w:val="28"/>
          <w:szCs w:val="28"/>
          <w:highlight w:val="none"/>
          <w:shd w:val="clear" w:color="auto" w:fill="FFFFFF"/>
          <w:lang w:eastAsia="zh-CN"/>
        </w:rPr>
        <w:t>，</w:t>
      </w:r>
      <w:r>
        <w:rPr>
          <w:rFonts w:cs="Arial" w:asciiTheme="minorEastAsia" w:hAnsiTheme="minorEastAsia"/>
          <w:color w:val="333333"/>
          <w:sz w:val="28"/>
          <w:szCs w:val="28"/>
          <w:highlight w:val="none"/>
          <w:shd w:val="clear" w:color="auto" w:fill="FFFFFF"/>
        </w:rPr>
        <w:t>政府采购</w:t>
      </w:r>
      <w:r>
        <w:rPr>
          <w:rFonts w:hint="eastAsia" w:cs="Arial" w:asciiTheme="minorEastAsia" w:hAnsiTheme="minorEastAsia"/>
          <w:color w:val="333333"/>
          <w:sz w:val="28"/>
          <w:szCs w:val="28"/>
          <w:highlight w:val="none"/>
          <w:shd w:val="clear" w:color="auto" w:fill="FFFFFF"/>
          <w:lang w:eastAsia="zh-CN"/>
        </w:rPr>
        <w:t>货物支出类元</w:t>
      </w:r>
      <w:r>
        <w:rPr>
          <w:rFonts w:hint="eastAsia" w:cs="Arial" w:asciiTheme="minorEastAsia" w:hAnsiTheme="minorEastAsia"/>
          <w:color w:val="333333"/>
          <w:sz w:val="28"/>
          <w:szCs w:val="28"/>
          <w:highlight w:val="none"/>
          <w:shd w:val="clear" w:color="auto" w:fill="FFFFFF"/>
          <w:lang w:val="en-US" w:eastAsia="zh-CN"/>
        </w:rPr>
        <w:t>1962.52</w:t>
      </w:r>
      <w:r>
        <w:rPr>
          <w:rFonts w:hint="eastAsia" w:cs="Arial" w:asciiTheme="minorEastAsia" w:hAnsiTheme="minorEastAsia"/>
          <w:color w:val="333333"/>
          <w:sz w:val="28"/>
          <w:szCs w:val="28"/>
          <w:highlight w:val="none"/>
          <w:shd w:val="clear" w:color="auto" w:fill="FFFFFF"/>
        </w:rPr>
        <w:t>万元</w:t>
      </w:r>
      <w:r>
        <w:rPr>
          <w:rFonts w:hint="eastAsia" w:cs="Arial" w:asciiTheme="minorEastAsia" w:hAnsiTheme="minorEastAsia"/>
          <w:color w:val="333333"/>
          <w:sz w:val="28"/>
          <w:szCs w:val="28"/>
          <w:highlight w:val="none"/>
          <w:shd w:val="clear" w:color="auto" w:fill="FFFFFF"/>
          <w:lang w:eastAsia="zh-CN"/>
        </w:rPr>
        <w:t>。</w:t>
      </w:r>
    </w:p>
    <w:p>
      <w:pPr>
        <w:pStyle w:val="2"/>
        <w:widowControl/>
        <w:shd w:val="clear" w:color="auto" w:fill="FFFFFF"/>
        <w:spacing w:beforeAutospacing="0" w:afterAutospacing="0"/>
        <w:jc w:val="both"/>
        <w:rPr>
          <w:rFonts w:cs="Arial" w:asciiTheme="minorEastAsia" w:hAnsiTheme="minorEastAsia"/>
          <w:color w:val="333333"/>
          <w:sz w:val="28"/>
          <w:szCs w:val="28"/>
          <w:shd w:val="clear" w:color="auto" w:fill="FFFFFF"/>
        </w:rPr>
      </w:pPr>
      <w:r>
        <w:rPr>
          <w:rFonts w:cs="Arial" w:asciiTheme="minorEastAsia" w:hAnsiTheme="minorEastAsia"/>
          <w:color w:val="333333"/>
          <w:sz w:val="28"/>
          <w:szCs w:val="28"/>
          <w:shd w:val="clear" w:color="auto" w:fill="FFFFFF"/>
        </w:rPr>
        <w:t>　　4、国有资产占用使用情况说明：截至201</w:t>
      </w:r>
      <w:r>
        <w:rPr>
          <w:rFonts w:hint="eastAsia" w:cs="Arial" w:asciiTheme="minorEastAsia" w:hAnsiTheme="minorEastAsia"/>
          <w:color w:val="333333"/>
          <w:sz w:val="28"/>
          <w:szCs w:val="28"/>
          <w:shd w:val="clear" w:color="auto" w:fill="FFFFFF"/>
        </w:rPr>
        <w:t>9</w:t>
      </w:r>
      <w:r>
        <w:rPr>
          <w:rFonts w:cs="Arial" w:asciiTheme="minorEastAsia" w:hAnsiTheme="minorEastAsia"/>
          <w:color w:val="333333"/>
          <w:sz w:val="28"/>
          <w:szCs w:val="28"/>
          <w:shd w:val="clear" w:color="auto" w:fill="FFFFFF"/>
        </w:rPr>
        <w:t>年</w:t>
      </w:r>
      <w:r>
        <w:rPr>
          <w:rFonts w:hint="eastAsia" w:cs="Arial" w:asciiTheme="minorEastAsia" w:hAnsiTheme="minorEastAsia"/>
          <w:color w:val="333333"/>
          <w:sz w:val="28"/>
          <w:szCs w:val="28"/>
          <w:shd w:val="clear" w:color="auto" w:fill="FFFFFF"/>
        </w:rPr>
        <w:t>12</w:t>
      </w:r>
      <w:r>
        <w:rPr>
          <w:rFonts w:cs="Arial" w:asciiTheme="minorEastAsia" w:hAnsiTheme="minorEastAsia"/>
          <w:color w:val="333333"/>
          <w:sz w:val="28"/>
          <w:szCs w:val="28"/>
          <w:shd w:val="clear" w:color="auto" w:fill="FFFFFF"/>
        </w:rPr>
        <w:t>月3</w:t>
      </w:r>
      <w:r>
        <w:rPr>
          <w:rFonts w:hint="eastAsia" w:cs="Arial" w:asciiTheme="minorEastAsia" w:hAnsiTheme="minorEastAsia"/>
          <w:color w:val="333333"/>
          <w:sz w:val="28"/>
          <w:szCs w:val="28"/>
          <w:shd w:val="clear" w:color="auto" w:fill="FFFFFF"/>
        </w:rPr>
        <w:t>1</w:t>
      </w:r>
      <w:r>
        <w:rPr>
          <w:rFonts w:cs="Arial" w:asciiTheme="minorEastAsia" w:hAnsiTheme="minorEastAsia"/>
          <w:color w:val="333333"/>
          <w:sz w:val="28"/>
          <w:szCs w:val="28"/>
          <w:shd w:val="clear" w:color="auto" w:fill="FFFFFF"/>
        </w:rPr>
        <w:t>日，</w:t>
      </w:r>
      <w:r>
        <w:rPr>
          <w:rFonts w:hint="eastAsia" w:cs="Arial" w:asciiTheme="minorEastAsia" w:hAnsiTheme="minorEastAsia"/>
          <w:color w:val="333333"/>
          <w:sz w:val="28"/>
          <w:szCs w:val="28"/>
          <w:shd w:val="clear" w:color="auto" w:fill="FFFFFF"/>
        </w:rPr>
        <w:t>本单位占用固定资产原值3,717.10万元，净值为2,855.81万元，主要为办公大楼、办公电脑、打印机等通用设备和办公桌椅、会议桌椅、文件柜等办公家具以及县福利中心用房。</w:t>
      </w:r>
    </w:p>
    <w:p>
      <w:pPr>
        <w:pStyle w:val="2"/>
        <w:widowControl/>
        <w:shd w:val="clear" w:color="auto" w:fill="FFFFFF"/>
        <w:spacing w:beforeAutospacing="0" w:afterAutospacing="0"/>
        <w:jc w:val="both"/>
        <w:rPr>
          <w:rFonts w:cs="Arial" w:asciiTheme="minorEastAsia" w:hAnsiTheme="minorEastAsia"/>
          <w:color w:val="333333"/>
          <w:sz w:val="28"/>
          <w:szCs w:val="28"/>
          <w:shd w:val="clear" w:color="auto" w:fill="FFFFFF"/>
        </w:rPr>
      </w:pPr>
      <w:r>
        <w:rPr>
          <w:rFonts w:cs="Arial" w:asciiTheme="minorEastAsia" w:hAnsiTheme="minorEastAsia"/>
          <w:color w:val="333333"/>
          <w:sz w:val="28"/>
          <w:szCs w:val="28"/>
          <w:shd w:val="clear" w:color="auto" w:fill="FFFFFF"/>
        </w:rPr>
        <w:t>　　5、预算绩效目标说明：本部门整体支出和项目支出实行绩效目标管理，纳入2020年部门整体支出绩效目标的金额为</w:t>
      </w:r>
      <w:r>
        <w:rPr>
          <w:rFonts w:hint="eastAsia" w:cs="Arial" w:asciiTheme="minorEastAsia" w:hAnsiTheme="minorEastAsia"/>
          <w:color w:val="333333"/>
          <w:sz w:val="28"/>
          <w:szCs w:val="28"/>
          <w:shd w:val="clear" w:color="auto" w:fill="FFFFFF"/>
        </w:rPr>
        <w:t>1163.69</w:t>
      </w:r>
      <w:r>
        <w:rPr>
          <w:rFonts w:cs="Arial" w:asciiTheme="minorEastAsia" w:hAnsiTheme="minorEastAsia"/>
          <w:color w:val="333333"/>
          <w:sz w:val="28"/>
          <w:szCs w:val="28"/>
          <w:shd w:val="clear" w:color="auto" w:fill="FFFFFF"/>
        </w:rPr>
        <w:t>万元，其中，基本支出</w:t>
      </w:r>
      <w:r>
        <w:rPr>
          <w:rFonts w:hint="eastAsia" w:cs="Arial" w:asciiTheme="minorEastAsia" w:hAnsiTheme="minorEastAsia"/>
          <w:color w:val="333333"/>
          <w:sz w:val="28"/>
          <w:szCs w:val="28"/>
          <w:shd w:val="clear" w:color="auto" w:fill="FFFFFF"/>
        </w:rPr>
        <w:t>740.69</w:t>
      </w:r>
      <w:r>
        <w:rPr>
          <w:rFonts w:cs="Arial" w:asciiTheme="minorEastAsia" w:hAnsiTheme="minorEastAsia"/>
          <w:color w:val="333333"/>
          <w:sz w:val="28"/>
          <w:szCs w:val="28"/>
          <w:shd w:val="clear" w:color="auto" w:fill="FFFFFF"/>
        </w:rPr>
        <w:t>万元，项目支出</w:t>
      </w:r>
      <w:r>
        <w:rPr>
          <w:rFonts w:hint="eastAsia" w:cs="Arial" w:asciiTheme="minorEastAsia" w:hAnsiTheme="minorEastAsia"/>
          <w:color w:val="333333"/>
          <w:sz w:val="28"/>
          <w:szCs w:val="28"/>
          <w:shd w:val="clear" w:color="auto" w:fill="FFFFFF"/>
        </w:rPr>
        <w:t>423</w:t>
      </w:r>
      <w:r>
        <w:rPr>
          <w:rFonts w:cs="Arial" w:asciiTheme="minorEastAsia" w:hAnsiTheme="minorEastAsia"/>
          <w:color w:val="333333"/>
          <w:sz w:val="28"/>
          <w:szCs w:val="28"/>
          <w:shd w:val="clear" w:color="auto" w:fill="FFFFFF"/>
        </w:rPr>
        <w:t>万元。 </w:t>
      </w:r>
    </w:p>
    <w:p>
      <w:pPr>
        <w:pStyle w:val="2"/>
        <w:widowControl/>
        <w:shd w:val="clear" w:color="auto" w:fill="FFFFFF"/>
        <w:spacing w:beforeAutospacing="0" w:afterAutospacing="0"/>
        <w:jc w:val="both"/>
        <w:rPr>
          <w:rFonts w:cs="Arial" w:asciiTheme="minorEastAsia" w:hAnsiTheme="minorEastAsia"/>
          <w:color w:val="333333"/>
          <w:sz w:val="28"/>
          <w:szCs w:val="28"/>
          <w:shd w:val="clear" w:color="auto" w:fill="FFFFFF"/>
        </w:rPr>
      </w:pPr>
      <w:r>
        <w:rPr>
          <w:rFonts w:cs="Arial" w:asciiTheme="minorEastAsia" w:hAnsiTheme="minorEastAsia"/>
          <w:color w:val="333333"/>
          <w:sz w:val="28"/>
          <w:szCs w:val="28"/>
          <w:shd w:val="clear" w:color="auto" w:fill="FFFFFF"/>
        </w:rPr>
        <w:t>　　</w:t>
      </w:r>
      <w:r>
        <w:rPr>
          <w:rFonts w:hint="eastAsia" w:cs="Arial" w:asciiTheme="minorEastAsia" w:hAnsiTheme="minorEastAsia"/>
          <w:color w:val="333333"/>
          <w:sz w:val="28"/>
          <w:szCs w:val="28"/>
          <w:shd w:val="clear" w:color="auto" w:fill="FFFFFF"/>
          <w:lang w:eastAsia="zh-CN"/>
        </w:rPr>
        <w:t>七</w:t>
      </w:r>
      <w:r>
        <w:rPr>
          <w:rFonts w:cs="Arial" w:asciiTheme="minorEastAsia" w:hAnsiTheme="minorEastAsia"/>
          <w:color w:val="333333"/>
          <w:sz w:val="28"/>
          <w:szCs w:val="28"/>
          <w:shd w:val="clear" w:color="auto" w:fill="FFFFFF"/>
        </w:rPr>
        <w:t>、名词解释 </w:t>
      </w:r>
    </w:p>
    <w:p>
      <w:pPr>
        <w:pStyle w:val="2"/>
        <w:widowControl/>
        <w:shd w:val="clear" w:color="auto" w:fill="FFFFFF"/>
        <w:spacing w:beforeAutospacing="0" w:afterAutospacing="0"/>
        <w:jc w:val="both"/>
        <w:rPr>
          <w:rFonts w:cs="Arial" w:asciiTheme="minorEastAsia" w:hAnsiTheme="minorEastAsia"/>
          <w:color w:val="333333"/>
          <w:sz w:val="28"/>
          <w:szCs w:val="28"/>
          <w:shd w:val="clear" w:color="auto" w:fill="FFFFFF"/>
        </w:rPr>
      </w:pPr>
      <w:r>
        <w:rPr>
          <w:rFonts w:cs="Arial" w:asciiTheme="minorEastAsia" w:hAnsiTheme="minorEastAsia"/>
          <w:color w:val="333333"/>
          <w:sz w:val="28"/>
          <w:szCs w:val="28"/>
          <w:shd w:val="clear" w:color="auto" w:fill="FFFFFF"/>
        </w:rPr>
        <w:t>　　1、机关运行经费：是指各部门的公用经费，包括办公及印刷费、邮电费、差旅费、会议费、福利费、日常维修费、专用资料及一般设备购置费、办公用房水电费、办公用房取暖费、办公用房物业管理费、公务用车运行维护费以及其他费用。 </w:t>
      </w:r>
    </w:p>
    <w:p>
      <w:pPr>
        <w:pStyle w:val="2"/>
        <w:widowControl/>
        <w:shd w:val="clear" w:color="auto" w:fill="FFFFFF"/>
        <w:spacing w:beforeAutospacing="0" w:afterAutospacing="0"/>
        <w:ind w:firstLine="560"/>
        <w:jc w:val="both"/>
        <w:rPr>
          <w:rFonts w:cs="Arial" w:asciiTheme="minorEastAsia" w:hAnsiTheme="minorEastAsia"/>
          <w:color w:val="333333"/>
          <w:sz w:val="28"/>
          <w:szCs w:val="28"/>
          <w:shd w:val="clear" w:color="auto" w:fill="FFFFFF"/>
        </w:rPr>
      </w:pPr>
      <w:r>
        <w:rPr>
          <w:rFonts w:cs="Arial" w:asciiTheme="minorEastAsia" w:hAnsiTheme="minorEastAsia"/>
          <w:color w:val="333333"/>
          <w:sz w:val="28"/>
          <w:szCs w:val="28"/>
          <w:shd w:val="clear" w:color="auto" w:fill="FFFFFF"/>
        </w:rPr>
        <w:t>2、“三公”经费：纳入省财政预算管理的“三公“经费，是指用一般公共预算拨款安排的公务接待费、公务用车购置及运行维护费和因公出国（境）费。其中，公务接待费反映单位按规定开支的各类公务接待支出；公务用车购置及运行费反映单位公务用车车辆购置支出（含车辆购置税），以及燃料费、维修费、保险费等支出；因公出国（境）费反映单位公务出国（境）的国际旅费、国外城市间交通费、食宿费等支出。 </w:t>
      </w:r>
    </w:p>
    <w:p>
      <w:pPr>
        <w:pStyle w:val="2"/>
        <w:widowControl/>
        <w:shd w:val="clear" w:color="auto" w:fill="FFFFFF"/>
        <w:spacing w:beforeAutospacing="0" w:afterAutospacing="0"/>
        <w:ind w:firstLine="560"/>
        <w:jc w:val="both"/>
        <w:rPr>
          <w:rFonts w:hint="eastAsia" w:cs="Arial" w:asciiTheme="minorEastAsia" w:hAnsiTheme="minorEastAsia"/>
          <w:b/>
          <w:bCs/>
          <w:color w:val="333333"/>
          <w:sz w:val="28"/>
          <w:szCs w:val="28"/>
          <w:shd w:val="clear" w:color="auto" w:fill="FFFFFF"/>
        </w:rPr>
      </w:pPr>
    </w:p>
    <w:p>
      <w:pPr>
        <w:pStyle w:val="2"/>
        <w:widowControl/>
        <w:shd w:val="clear" w:color="auto" w:fill="FFFFFF"/>
        <w:spacing w:beforeAutospacing="0" w:afterAutospacing="0"/>
        <w:ind w:firstLine="560"/>
        <w:jc w:val="both"/>
        <w:rPr>
          <w:rFonts w:hint="eastAsia" w:cs="Arial" w:asciiTheme="minorEastAsia" w:hAnsiTheme="minorEastAsia"/>
          <w:b/>
          <w:bCs/>
          <w:color w:val="333333"/>
          <w:sz w:val="28"/>
          <w:szCs w:val="28"/>
          <w:shd w:val="clear" w:color="auto" w:fill="FFFFFF"/>
        </w:rPr>
      </w:pPr>
      <w:r>
        <w:rPr>
          <w:rFonts w:hint="eastAsia" w:cs="Arial" w:asciiTheme="minorEastAsia" w:hAnsiTheme="minorEastAsia"/>
          <w:b/>
          <w:bCs/>
          <w:color w:val="333333"/>
          <w:sz w:val="28"/>
          <w:szCs w:val="28"/>
          <w:shd w:val="clear" w:color="auto" w:fill="FFFFFF"/>
        </w:rPr>
        <w:t>第二部分：公开表格</w:t>
      </w:r>
    </w:p>
    <w:p>
      <w:pPr>
        <w:pStyle w:val="2"/>
        <w:widowControl/>
        <w:shd w:val="clear" w:color="auto" w:fill="FFFFFF"/>
        <w:spacing w:beforeAutospacing="0" w:afterAutospacing="0"/>
        <w:ind w:firstLine="560"/>
        <w:jc w:val="both"/>
        <w:rPr>
          <w:rFonts w:cs="Arial" w:asciiTheme="minorEastAsia" w:hAnsiTheme="minorEastAsia"/>
          <w:color w:val="333333"/>
          <w:sz w:val="28"/>
          <w:szCs w:val="28"/>
          <w:shd w:val="clear" w:color="auto" w:fill="FFFFFF"/>
        </w:rPr>
      </w:pPr>
      <w:r>
        <w:rPr>
          <w:rFonts w:hint="eastAsia" w:cs="Arial" w:asciiTheme="minorEastAsia" w:hAnsiTheme="minorEastAsia"/>
          <w:color w:val="333333"/>
          <w:sz w:val="28"/>
          <w:szCs w:val="28"/>
          <w:shd w:val="clear" w:color="auto" w:fill="FFFFFF"/>
        </w:rPr>
        <w:t>附件：</w:t>
      </w:r>
      <w:r>
        <w:rPr>
          <w:rFonts w:hint="eastAsia" w:cs="Arial" w:asciiTheme="minorEastAsia" w:hAnsiTheme="minorEastAsia"/>
          <w:color w:val="333333"/>
          <w:sz w:val="28"/>
          <w:szCs w:val="28"/>
          <w:shd w:val="clear" w:color="auto" w:fill="FFFFFF"/>
          <w:lang w:eastAsia="zh-CN"/>
        </w:rPr>
        <w:t>衡南县民政局</w:t>
      </w:r>
      <w:bookmarkStart w:id="0" w:name="_GoBack"/>
      <w:bookmarkEnd w:id="0"/>
      <w:r>
        <w:rPr>
          <w:rFonts w:hint="eastAsia" w:cs="Arial" w:asciiTheme="minorEastAsia" w:hAnsiTheme="minorEastAsia"/>
          <w:color w:val="333333"/>
          <w:sz w:val="28"/>
          <w:szCs w:val="28"/>
          <w:shd w:val="clear" w:color="auto" w:fill="FFFFFF"/>
        </w:rPr>
        <w:t>2020年预算公开表 -（25张表）</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微软雅黑">
    <w:panose1 w:val="020B0503020204020204"/>
    <w:charset w:val="86"/>
    <w:family w:val="auto"/>
    <w:pitch w:val="default"/>
    <w:sig w:usb0="80000287" w:usb1="280F3C52" w:usb2="00000016" w:usb3="00000000" w:csb0="0004001F" w:csb1="00000000"/>
  </w:font>
  <w:font w:name="仿宋">
    <w:panose1 w:val="02010609060101010101"/>
    <w:charset w:val="86"/>
    <w:family w:val="modern"/>
    <w:pitch w:val="default"/>
    <w:sig w:usb0="800002BF" w:usb1="38CF7CFA" w:usb2="00000016" w:usb3="00000000" w:csb0="00040001" w:csb1="00000000"/>
  </w:font>
  <w:font w:name="Helvetica">
    <w:altName w:val="Arial"/>
    <w:panose1 w:val="020B0604020202020204"/>
    <w:charset w:val="00"/>
    <w:family w:val="swiss"/>
    <w:pitch w:val="default"/>
    <w:sig w:usb0="00000000" w:usb1="00000000"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8A97CC0"/>
    <w:multiLevelType w:val="singleLevel"/>
    <w:tmpl w:val="B8A97CC0"/>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attachedTemplate r:id="rId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rsids>
    <w:rsidRoot w:val="436A3461"/>
    <w:rsid w:val="00466634"/>
    <w:rsid w:val="005D33B4"/>
    <w:rsid w:val="005F23F2"/>
    <w:rsid w:val="009C11DB"/>
    <w:rsid w:val="00C54DBF"/>
    <w:rsid w:val="00D17F28"/>
    <w:rsid w:val="01A553BF"/>
    <w:rsid w:val="06E8660B"/>
    <w:rsid w:val="0CD41182"/>
    <w:rsid w:val="0F7451E8"/>
    <w:rsid w:val="0FC748C7"/>
    <w:rsid w:val="14552133"/>
    <w:rsid w:val="159F77E3"/>
    <w:rsid w:val="20627909"/>
    <w:rsid w:val="23043086"/>
    <w:rsid w:val="27BC04C5"/>
    <w:rsid w:val="2833149B"/>
    <w:rsid w:val="30D8521A"/>
    <w:rsid w:val="366007A9"/>
    <w:rsid w:val="37D93CB2"/>
    <w:rsid w:val="3AD2628F"/>
    <w:rsid w:val="436A3461"/>
    <w:rsid w:val="52C330C0"/>
    <w:rsid w:val="555D240C"/>
    <w:rsid w:val="587769D3"/>
    <w:rsid w:val="5CF958A0"/>
    <w:rsid w:val="60642AC0"/>
    <w:rsid w:val="6ACA1768"/>
    <w:rsid w:val="6D535020"/>
    <w:rsid w:val="756D05C9"/>
    <w:rsid w:val="774E76FB"/>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nhideWhenUsed/>
    <w:qFormat/>
    <w:uiPriority w:val="1"/>
  </w:style>
  <w:style w:type="table" w:default="1" w:styleId="3">
    <w:name w:val="Normal Table"/>
    <w:semiHidden/>
    <w:unhideWhenUsed/>
    <w:qFormat/>
    <w:uiPriority w:val="99"/>
    <w:tblPr>
      <w:tblCellMar>
        <w:top w:w="0" w:type="dxa"/>
        <w:left w:w="108" w:type="dxa"/>
        <w:bottom w:w="0" w:type="dxa"/>
        <w:right w:w="108" w:type="dxa"/>
      </w:tblCellMar>
    </w:tblPr>
  </w:style>
  <w:style w:type="paragraph" w:styleId="2">
    <w:name w:val="Normal (Web)"/>
    <w:basedOn w:val="1"/>
    <w:qFormat/>
    <w:uiPriority w:val="0"/>
    <w:pPr>
      <w:spacing w:beforeAutospacing="1" w:afterAutospacing="1"/>
      <w:jc w:val="left"/>
    </w:pPr>
    <w:rPr>
      <w:rFonts w:cs="Times New Roman"/>
      <w:kern w:val="0"/>
      <w:sz w:val="24"/>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dministrator\AppData\Roaming\Kingsoft\wps\addons\pool\win-i386\knewfileruby_1.0.0.12\template\wps\0.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0.docx</Template>
  <Company>B</Company>
  <Pages>7</Pages>
  <Words>481</Words>
  <Characters>2745</Characters>
  <Lines>22</Lines>
  <Paragraphs>6</Paragraphs>
  <TotalTime>11</TotalTime>
  <ScaleCrop>false</ScaleCrop>
  <LinksUpToDate>false</LinksUpToDate>
  <CharactersWithSpaces>3220</CharactersWithSpaces>
  <Application>WPS Office_11.1.0.10495_F1E327BC-269C-435d-A152-05C5408002CA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2019-06-05T05:02:00Z</dcterms:created>
  <dc:creator>人生如飘</dc:creator>
  <cp:lastModifiedBy>Administrator</cp:lastModifiedBy>
  <cp:lastPrinted>2020-07-14T03:29:00Z</cp:lastPrinted>
  <dcterms:modified xsi:type="dcterms:W3CDTF">2021-06-25T02:45:06Z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2052-11.1.0.10495</vt:lpwstr>
  </property>
  <property fmtid="{D5CDD505-2E9C-101B-9397-08002B2CF9AE}" pid="3" name="ICV">
    <vt:lpwstr>E71F5475850B4474947C17611C0B16AE</vt:lpwstr>
  </property>
</Properties>
</file>