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spacing w:line="680" w:lineRule="exact"/>
        <w:ind w:left="0" w:leftChars="0" w:firstLine="960" w:firstLineChars="200"/>
        <w:jc w:val="left"/>
        <w:textAlignment w:val="auto"/>
        <w:rPr>
          <w:rFonts w:hint="eastAsia" w:ascii="黑体" w:hAnsi="黑体" w:eastAsia="黑体" w:cs="黑体"/>
          <w:b w:val="0"/>
          <w:bCs w:val="0"/>
          <w:sz w:val="48"/>
          <w:szCs w:val="48"/>
        </w:rPr>
      </w:pPr>
      <w:r>
        <w:rPr>
          <w:rFonts w:hint="eastAsia" w:ascii="黑体" w:hAnsi="黑体" w:eastAsia="黑体" w:cs="黑体"/>
          <w:b w:val="0"/>
          <w:bCs w:val="0"/>
          <w:sz w:val="48"/>
          <w:szCs w:val="48"/>
        </w:rPr>
        <w:t>衡南县统战部20</w:t>
      </w:r>
      <w:r>
        <w:rPr>
          <w:rFonts w:hint="eastAsia" w:ascii="黑体" w:hAnsi="黑体" w:eastAsia="黑体" w:cs="黑体"/>
          <w:b w:val="0"/>
          <w:bCs w:val="0"/>
          <w:sz w:val="48"/>
          <w:szCs w:val="48"/>
          <w:lang w:val="en-US" w:eastAsia="zh-CN"/>
        </w:rPr>
        <w:t>20</w:t>
      </w:r>
      <w:r>
        <w:rPr>
          <w:rFonts w:hint="eastAsia" w:ascii="黑体" w:hAnsi="黑体" w:eastAsia="黑体" w:cs="黑体"/>
          <w:b w:val="0"/>
          <w:bCs w:val="0"/>
          <w:sz w:val="48"/>
          <w:szCs w:val="48"/>
        </w:rPr>
        <w:t>年部门预算说明</w:t>
      </w:r>
    </w:p>
    <w:p>
      <w:pPr>
        <w:keepNext w:val="0"/>
        <w:keepLines w:val="0"/>
        <w:pageBreakBefore w:val="0"/>
        <w:widowControl w:val="0"/>
        <w:kinsoku/>
        <w:wordWrap/>
        <w:overflowPunct w:val="0"/>
        <w:topLinePunct w:val="0"/>
        <w:autoSpaceDE/>
        <w:autoSpaceDN/>
        <w:bidi w:val="0"/>
        <w:adjustRightInd/>
        <w:snapToGrid/>
        <w:spacing w:line="680" w:lineRule="exact"/>
        <w:jc w:val="both"/>
        <w:textAlignment w:val="auto"/>
        <w:rPr>
          <w:rFonts w:hint="eastAsia" w:ascii="黑体" w:hAnsi="黑体" w:eastAsia="黑体" w:cs="黑体"/>
          <w:b w:val="0"/>
          <w:bCs w:val="0"/>
          <w:sz w:val="48"/>
          <w:szCs w:val="48"/>
        </w:rPr>
      </w:pPr>
    </w:p>
    <w:p>
      <w:pPr>
        <w:keepNext w:val="0"/>
        <w:keepLines w:val="0"/>
        <w:pageBreakBefore w:val="0"/>
        <w:widowControl w:val="0"/>
        <w:kinsoku/>
        <w:wordWrap/>
        <w:overflowPunct w:val="0"/>
        <w:topLinePunct w:val="0"/>
        <w:autoSpaceDE/>
        <w:autoSpaceDN/>
        <w:bidi w:val="0"/>
        <w:adjustRightInd/>
        <w:snapToGrid/>
        <w:spacing w:line="680" w:lineRule="exact"/>
        <w:ind w:left="0" w:leftChars="0" w:firstLine="3840" w:firstLineChars="800"/>
        <w:jc w:val="both"/>
        <w:textAlignment w:val="auto"/>
        <w:rPr>
          <w:rFonts w:hint="eastAsia" w:ascii="黑体" w:hAnsi="黑体" w:eastAsia="黑体" w:cs="黑体"/>
          <w:b/>
          <w:bCs/>
          <w:sz w:val="52"/>
          <w:szCs w:val="52"/>
          <w:lang w:eastAsia="zh-CN"/>
        </w:rPr>
      </w:pPr>
      <w:r>
        <w:rPr>
          <w:rFonts w:hint="eastAsia" w:ascii="黑体" w:hAnsi="黑体" w:eastAsia="黑体" w:cs="黑体"/>
          <w:b w:val="0"/>
          <w:bCs w:val="0"/>
          <w:sz w:val="48"/>
          <w:szCs w:val="48"/>
          <w:lang w:eastAsia="zh-CN"/>
        </w:rPr>
        <w:t>目</w:t>
      </w:r>
      <w:r>
        <w:rPr>
          <w:rFonts w:hint="eastAsia" w:ascii="黑体" w:hAnsi="黑体" w:eastAsia="黑体" w:cs="黑体"/>
          <w:b w:val="0"/>
          <w:bCs w:val="0"/>
          <w:sz w:val="48"/>
          <w:szCs w:val="48"/>
          <w:lang w:val="en-US" w:eastAsia="zh-CN"/>
        </w:rPr>
        <w:t xml:space="preserve">  </w:t>
      </w:r>
      <w:r>
        <w:rPr>
          <w:rFonts w:hint="eastAsia" w:ascii="黑体" w:hAnsi="黑体" w:eastAsia="黑体" w:cs="黑体"/>
          <w:b w:val="0"/>
          <w:bCs w:val="0"/>
          <w:sz w:val="48"/>
          <w:szCs w:val="48"/>
          <w:lang w:eastAsia="zh-CN"/>
        </w:rPr>
        <w:t>录</w:t>
      </w:r>
    </w:p>
    <w:p>
      <w:pPr>
        <w:pStyle w:val="2"/>
        <w:widowControl/>
        <w:numPr>
          <w:numId w:val="0"/>
        </w:numPr>
        <w:shd w:val="clear" w:color="auto" w:fill="FFFFFF"/>
        <w:spacing w:beforeAutospacing="0" w:afterAutospacing="0" w:line="700" w:lineRule="exact"/>
        <w:jc w:val="left"/>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第一部分 2020年部门预算说明</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一、部门基本概况</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二、部门预算单位构成</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三、部门收支总体情况</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四、一般公共预算拨款支出</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五、政府性基金预算支出</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六、其他重要事项的情况说明</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七、名词解释</w:t>
      </w:r>
    </w:p>
    <w:p>
      <w:pPr>
        <w:pStyle w:val="2"/>
        <w:widowControl/>
        <w:numPr>
          <w:numId w:val="0"/>
        </w:numPr>
        <w:shd w:val="clear" w:color="auto" w:fill="FFFFFF"/>
        <w:spacing w:beforeAutospacing="0" w:afterAutospacing="0" w:line="700" w:lineRule="exact"/>
        <w:jc w:val="left"/>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第二部分 2020年部门预算表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 部门收支总表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 部门收入总表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3、 部门支出总表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4、 部门支出总表（分类）</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5、 支出分类（政府预算）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6、 基本—工资福利</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7、 工资福利（政府预算）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8、 基本—商品服务</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9、 商品服务（政府预算）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10、 基本－个人家庭</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11、 个人家庭（政府预算）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12、 财政拨款收支总表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13、 一般预算支出表</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14、 一般预算基本支出</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15、 一般支出——工资福利</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16、 工资福利（政府预算）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17、 一般支出——商品服务</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18、 商品服务（政府预算）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19、 一般支出——个人家庭</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20、 个人家庭（政府预算）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21、 经费拨款</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22、 经费拨款（政府预算）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23、 政府基金</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24、 政府基金（政府预算）</w:t>
      </w:r>
    </w:p>
    <w:p>
      <w:pPr>
        <w:pStyle w:val="2"/>
        <w:widowControl/>
        <w:numPr>
          <w:numId w:val="0"/>
        </w:numPr>
        <w:shd w:val="clear" w:color="auto" w:fill="FFFFFF"/>
        <w:spacing w:beforeAutospacing="0" w:afterAutospacing="0" w:line="700" w:lineRule="exact"/>
        <w:jc w:val="lef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25、 三公经费</w:t>
      </w:r>
    </w:p>
    <w:p>
      <w:pPr>
        <w:pStyle w:val="2"/>
        <w:widowControl/>
        <w:numPr>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p>
    <w:p>
      <w:pPr>
        <w:pStyle w:val="2"/>
        <w:widowControl/>
        <w:numPr>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p>
    <w:p>
      <w:pPr>
        <w:pStyle w:val="2"/>
        <w:widowControl/>
        <w:numPr>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p>
    <w:p>
      <w:pPr>
        <w:pStyle w:val="2"/>
        <w:widowControl/>
        <w:numPr>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p>
    <w:p>
      <w:pPr>
        <w:pStyle w:val="2"/>
        <w:widowControl/>
        <w:numPr>
          <w:ilvl w:val="0"/>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r>
        <w:rPr>
          <w:rFonts w:hint="eastAsia" w:ascii="仿宋" w:hAnsi="仿宋" w:eastAsia="仿宋" w:cs="仿宋"/>
          <w:b/>
          <w:bCs/>
          <w:sz w:val="32"/>
          <w:szCs w:val="32"/>
          <w:lang w:eastAsia="zh-CN"/>
        </w:rPr>
        <w:t>第一部分 2020年部门预算说明</w:t>
      </w:r>
    </w:p>
    <w:p>
      <w:pPr>
        <w:pStyle w:val="2"/>
        <w:widowControl/>
        <w:numPr>
          <w:numId w:val="0"/>
        </w:numPr>
        <w:shd w:val="clear" w:color="auto" w:fill="FFFFFF"/>
        <w:spacing w:beforeAutospacing="0" w:afterAutospacing="0" w:line="700" w:lineRule="exact"/>
        <w:jc w:val="left"/>
        <w:rPr>
          <w:rFonts w:hint="eastAsia" w:ascii="仿宋" w:hAnsi="仿宋" w:eastAsia="仿宋" w:cs="仿宋"/>
          <w:b/>
          <w:bCs/>
          <w:color w:val="333333"/>
          <w:sz w:val="36"/>
          <w:szCs w:val="36"/>
          <w:shd w:val="clear" w:color="auto" w:fill="FFFFFF"/>
        </w:rPr>
      </w:pPr>
      <w:r>
        <w:rPr>
          <w:rFonts w:hint="eastAsia" w:ascii="仿宋" w:hAnsi="仿宋" w:eastAsia="仿宋" w:cs="仿宋"/>
          <w:b/>
          <w:bCs/>
          <w:color w:val="333333"/>
          <w:sz w:val="36"/>
          <w:szCs w:val="36"/>
          <w:shd w:val="clear" w:color="auto" w:fill="FFFFFF"/>
        </w:rPr>
        <w:t>部门基本概况</w:t>
      </w:r>
    </w:p>
    <w:p>
      <w:pPr>
        <w:overflowPunct w:val="0"/>
        <w:spacing w:line="70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1、职能职责</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（1）贯彻执行中央和省委、市委、县委有关方针、政策；调查研究统一战线理论和方针、政策，向县委反映统一战线情况，提出统战工作的意见和建议；检查统战政策执行情况，协调统一战线各方面的关系。</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2）负责联系各民主党派和无党派代表人士，通报情况，反映意见和建议；研究、贯彻落实与完善多党合作和政治协商制度以及对民主党派工作的有关方针、政策；落实中央和省委、市委、县委关于发挥民主党派和无党派代表人士参政议政和民主监督作用的工作；为县委与县各民主党派进行政治协商做好组织联络工作；受县委委托，向民主党派、无党派人士通报县委精神；支持、帮助县各民主党派加强自身建设，选拔培养新一代代表人物；协助有关部门帮助县各民主党派改善工作条件。</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3）负责各民主党派组织、党外人士的政治安排；会同有关部门做好培养、考察、选拔、推荐、安排民主党派党外人士担任政府及其部门和司法机关领导职务的工作；协同做好民主党派、无党派人士代表的培训工作；协助民主党派、工商联管理干部工作。</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（4）调查研究并反映非公有制经济代表人士的情况，协调关系，提出政策建议；团结、帮助、引导、教育非公有制经济人士，开展思想政治工作。</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（5）负责开展以祖国统一为重点的海外统战工作；联系香港、澳门、台湾和海外有关社团及代表人士；协调港澳台统战工作。</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（6）指导乡镇、系统、科局党委统战工作；协调政府各有关部门的统战工作；指导和协调县委台办、县外事局、县工商联、县侨联事务等各项统战工作。</w:t>
      </w:r>
    </w:p>
    <w:p>
      <w:pPr>
        <w:overflowPunct w:val="0"/>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（7）承办县委和省、市委统战部交办的其他事项、工作。</w:t>
      </w:r>
    </w:p>
    <w:p>
      <w:pPr>
        <w:overflowPunct w:val="0"/>
        <w:spacing w:line="70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 xml:space="preserve"> 2、机构设置</w:t>
      </w:r>
    </w:p>
    <w:p>
      <w:pPr>
        <w:pStyle w:val="2"/>
        <w:widowControl/>
        <w:shd w:val="clear" w:color="auto" w:fill="FFFFFF"/>
        <w:spacing w:beforeAutospacing="0" w:afterAutospacing="0" w:line="700" w:lineRule="exact"/>
        <w:ind w:firstLine="640" w:firstLineChars="200"/>
        <w:jc w:val="both"/>
        <w:rPr>
          <w:rFonts w:hint="eastAsia" w:ascii="仿宋" w:hAnsi="仿宋" w:eastAsia="仿宋" w:cs="仿宋"/>
          <w:color w:val="333333"/>
          <w:sz w:val="32"/>
          <w:szCs w:val="32"/>
          <w:shd w:val="clear" w:color="auto" w:fill="FFFFFF"/>
          <w:lang w:eastAsia="zh-CN"/>
        </w:rPr>
      </w:pPr>
      <w:r>
        <w:rPr>
          <w:rFonts w:hint="eastAsia" w:ascii="仿宋" w:hAnsi="仿宋" w:eastAsia="仿宋" w:cs="仿宋"/>
          <w:sz w:val="32"/>
          <w:szCs w:val="32"/>
        </w:rPr>
        <w:t xml:space="preserve"> </w:t>
      </w:r>
      <w:r>
        <w:rPr>
          <w:rFonts w:hint="eastAsia" w:ascii="仿宋" w:hAnsi="仿宋" w:eastAsia="仿宋" w:cs="仿宋"/>
          <w:color w:val="333333"/>
          <w:sz w:val="32"/>
          <w:szCs w:val="32"/>
          <w:shd w:val="clear" w:color="auto" w:fill="FFFFFF"/>
        </w:rPr>
        <w:t>根据编委核定中共衡南县委</w:t>
      </w:r>
      <w:r>
        <w:rPr>
          <w:rFonts w:hint="eastAsia" w:ascii="仿宋" w:hAnsi="仿宋" w:eastAsia="仿宋" w:cs="仿宋"/>
          <w:sz w:val="32"/>
          <w:szCs w:val="32"/>
        </w:rPr>
        <w:t>统战部</w:t>
      </w:r>
      <w:r>
        <w:rPr>
          <w:rFonts w:hint="eastAsia" w:ascii="仿宋" w:hAnsi="仿宋" w:eastAsia="仿宋" w:cs="仿宋"/>
          <w:sz w:val="32"/>
          <w:szCs w:val="32"/>
          <w:lang w:val="en-US" w:eastAsia="zh-CN"/>
        </w:rPr>
        <w:t>内</w:t>
      </w:r>
      <w:r>
        <w:rPr>
          <w:rFonts w:hint="eastAsia" w:ascii="仿宋" w:hAnsi="仿宋" w:eastAsia="仿宋" w:cs="仿宋"/>
          <w:sz w:val="32"/>
          <w:szCs w:val="32"/>
        </w:rPr>
        <w:t>设</w:t>
      </w:r>
      <w:r>
        <w:rPr>
          <w:rFonts w:hint="eastAsia" w:ascii="仿宋" w:hAnsi="仿宋" w:eastAsia="仿宋" w:cs="仿宋"/>
          <w:sz w:val="32"/>
          <w:szCs w:val="32"/>
          <w:lang w:val="en-US" w:eastAsia="zh-CN"/>
        </w:rPr>
        <w:t>办公室、干部室（民主党派工作室）、民族宗教和侨务工作室</w:t>
      </w:r>
      <w:r>
        <w:rPr>
          <w:rFonts w:hint="eastAsia" w:ascii="仿宋" w:hAnsi="仿宋" w:eastAsia="仿宋" w:cs="仿宋"/>
          <w:sz w:val="32"/>
          <w:szCs w:val="32"/>
        </w:rPr>
        <w:t>，</w:t>
      </w:r>
      <w:r>
        <w:rPr>
          <w:rFonts w:hint="eastAsia" w:ascii="仿宋" w:hAnsi="仿宋" w:eastAsia="仿宋" w:cs="仿宋"/>
          <w:sz w:val="32"/>
          <w:szCs w:val="32"/>
          <w:lang w:val="en-US" w:eastAsia="zh-CN"/>
        </w:rPr>
        <w:t>非公有制经济室等四个内设机构，</w:t>
      </w:r>
      <w:r>
        <w:rPr>
          <w:rFonts w:hint="eastAsia" w:ascii="仿宋" w:hAnsi="仿宋" w:eastAsia="仿宋" w:cs="仿宋"/>
          <w:sz w:val="32"/>
          <w:szCs w:val="32"/>
        </w:rPr>
        <w:t>另</w:t>
      </w:r>
      <w:r>
        <w:rPr>
          <w:rFonts w:hint="eastAsia" w:ascii="仿宋" w:hAnsi="仿宋" w:eastAsia="仿宋" w:cs="仿宋"/>
          <w:sz w:val="32"/>
          <w:szCs w:val="32"/>
          <w:lang w:val="en-US" w:eastAsia="zh-CN"/>
        </w:rPr>
        <w:t>下</w:t>
      </w:r>
      <w:r>
        <w:rPr>
          <w:rFonts w:hint="eastAsia" w:ascii="仿宋" w:hAnsi="仿宋" w:eastAsia="仿宋" w:cs="仿宋"/>
          <w:sz w:val="32"/>
          <w:szCs w:val="32"/>
        </w:rPr>
        <w:t>设</w:t>
      </w:r>
      <w:r>
        <w:rPr>
          <w:rFonts w:hint="eastAsia" w:ascii="仿宋" w:hAnsi="仿宋" w:eastAsia="仿宋" w:cs="仿宋"/>
          <w:sz w:val="32"/>
          <w:szCs w:val="32"/>
          <w:lang w:val="en-US" w:eastAsia="zh-CN"/>
        </w:rPr>
        <w:t>非独立核算的</w:t>
      </w:r>
      <w:r>
        <w:rPr>
          <w:rFonts w:hint="eastAsia" w:ascii="仿宋" w:hAnsi="仿宋" w:eastAsia="仿宋" w:cs="仿宋"/>
          <w:sz w:val="32"/>
          <w:szCs w:val="32"/>
        </w:rPr>
        <w:t>党外知识分子</w:t>
      </w:r>
      <w:r>
        <w:rPr>
          <w:rFonts w:hint="eastAsia" w:ascii="仿宋" w:hAnsi="仿宋" w:eastAsia="仿宋" w:cs="仿宋"/>
          <w:sz w:val="32"/>
          <w:szCs w:val="32"/>
          <w:lang w:val="en-US" w:eastAsia="zh-CN"/>
        </w:rPr>
        <w:t>工作</w:t>
      </w:r>
      <w:r>
        <w:rPr>
          <w:rFonts w:hint="eastAsia" w:ascii="仿宋" w:hAnsi="仿宋" w:eastAsia="仿宋" w:cs="仿宋"/>
          <w:sz w:val="32"/>
          <w:szCs w:val="32"/>
        </w:rPr>
        <w:t>办公室</w:t>
      </w:r>
      <w:r>
        <w:rPr>
          <w:rFonts w:hint="eastAsia" w:ascii="仿宋" w:hAnsi="仿宋" w:eastAsia="仿宋" w:cs="仿宋"/>
          <w:color w:val="333333"/>
          <w:sz w:val="32"/>
          <w:szCs w:val="32"/>
          <w:shd w:val="clear" w:color="auto" w:fill="FFFFFF"/>
        </w:rPr>
        <w:t> </w:t>
      </w:r>
      <w:r>
        <w:rPr>
          <w:rFonts w:hint="eastAsia" w:ascii="仿宋" w:hAnsi="仿宋" w:eastAsia="仿宋" w:cs="仿宋"/>
          <w:color w:val="333333"/>
          <w:sz w:val="32"/>
          <w:szCs w:val="32"/>
          <w:shd w:val="clear" w:color="auto" w:fill="FFFFFF"/>
          <w:lang w:eastAsia="zh-CN"/>
        </w:rPr>
        <w:t>，</w:t>
      </w:r>
      <w:r>
        <w:rPr>
          <w:rFonts w:hint="eastAsia" w:ascii="仿宋" w:hAnsi="仿宋" w:eastAsia="仿宋" w:cs="仿宋"/>
          <w:color w:val="333333"/>
          <w:sz w:val="32"/>
          <w:szCs w:val="32"/>
          <w:shd w:val="clear" w:color="auto" w:fill="FFFFFF"/>
          <w:lang w:val="en-US" w:eastAsia="zh-CN"/>
        </w:rPr>
        <w:t>为部属公益一类事业单位</w:t>
      </w:r>
      <w:r>
        <w:rPr>
          <w:rFonts w:hint="eastAsia" w:ascii="仿宋" w:hAnsi="仿宋" w:eastAsia="仿宋" w:cs="仿宋"/>
          <w:color w:val="333333"/>
          <w:sz w:val="32"/>
          <w:szCs w:val="32"/>
          <w:shd w:val="clear" w:color="auto" w:fill="FFFFFF"/>
          <w:lang w:eastAsia="zh-CN"/>
        </w:rPr>
        <w:t>。</w:t>
      </w:r>
    </w:p>
    <w:p>
      <w:pPr>
        <w:pStyle w:val="2"/>
        <w:widowControl/>
        <w:numPr>
          <w:numId w:val="0"/>
        </w:numPr>
        <w:shd w:val="clear" w:color="auto" w:fill="FFFFFF"/>
        <w:spacing w:beforeAutospacing="0" w:afterAutospacing="0" w:line="700" w:lineRule="exact"/>
        <w:jc w:val="both"/>
        <w:rPr>
          <w:rFonts w:hint="eastAsia" w:ascii="仿宋" w:hAnsi="仿宋" w:eastAsia="仿宋" w:cs="仿宋"/>
          <w:b/>
          <w:bCs/>
          <w:color w:val="333333"/>
          <w:sz w:val="36"/>
          <w:szCs w:val="36"/>
          <w:shd w:val="clear" w:color="auto" w:fill="FFFFFF"/>
        </w:rPr>
      </w:pPr>
      <w:r>
        <w:rPr>
          <w:rFonts w:hint="eastAsia" w:ascii="仿宋" w:hAnsi="仿宋" w:eastAsia="仿宋" w:cs="仿宋"/>
          <w:b/>
          <w:bCs/>
          <w:color w:val="333333"/>
          <w:sz w:val="36"/>
          <w:szCs w:val="36"/>
          <w:shd w:val="clear" w:color="auto" w:fill="FFFFFF"/>
          <w:lang w:eastAsia="zh-CN"/>
        </w:rPr>
        <w:t>二、</w:t>
      </w:r>
      <w:r>
        <w:rPr>
          <w:rFonts w:hint="eastAsia" w:ascii="仿宋" w:hAnsi="仿宋" w:eastAsia="仿宋" w:cs="仿宋"/>
          <w:b/>
          <w:bCs/>
          <w:color w:val="333333"/>
          <w:sz w:val="36"/>
          <w:szCs w:val="36"/>
          <w:shd w:val="clear" w:color="auto" w:fill="FFFFFF"/>
        </w:rPr>
        <w:t>部门预算单位构成</w:t>
      </w:r>
    </w:p>
    <w:p>
      <w:pPr>
        <w:pStyle w:val="2"/>
        <w:widowControl/>
        <w:shd w:val="clear" w:color="auto" w:fill="FFFFFF"/>
        <w:spacing w:beforeAutospacing="0" w:afterAutospacing="0" w:line="700" w:lineRule="exact"/>
        <w:ind w:firstLine="640" w:firstLineChars="200"/>
        <w:jc w:val="both"/>
        <w:rPr>
          <w:rFonts w:hint="eastAsia" w:ascii="仿宋" w:hAnsi="仿宋" w:eastAsia="仿宋" w:cs="仿宋"/>
          <w:sz w:val="32"/>
          <w:szCs w:val="32"/>
        </w:rPr>
      </w:pPr>
      <w:r>
        <w:rPr>
          <w:rFonts w:hint="eastAsia" w:ascii="仿宋" w:hAnsi="仿宋" w:eastAsia="仿宋" w:cs="仿宋"/>
          <w:color w:val="333333"/>
          <w:sz w:val="32"/>
          <w:szCs w:val="32"/>
          <w:shd w:val="clear" w:color="auto" w:fill="FFFFFF"/>
        </w:rPr>
        <w:t>我部</w:t>
      </w:r>
      <w:r>
        <w:rPr>
          <w:rFonts w:hint="eastAsia" w:ascii="仿宋" w:hAnsi="仿宋" w:eastAsia="仿宋" w:cs="仿宋"/>
          <w:color w:val="333333"/>
          <w:sz w:val="32"/>
          <w:szCs w:val="32"/>
          <w:shd w:val="clear" w:color="auto" w:fill="FFFFFF"/>
          <w:lang w:val="en-US" w:eastAsia="zh-CN"/>
        </w:rPr>
        <w:t>除</w:t>
      </w:r>
      <w:r>
        <w:rPr>
          <w:rFonts w:hint="eastAsia" w:ascii="仿宋" w:hAnsi="仿宋" w:eastAsia="仿宋" w:cs="仿宋"/>
          <w:color w:val="333333"/>
          <w:sz w:val="32"/>
          <w:szCs w:val="32"/>
          <w:shd w:val="clear" w:color="auto" w:fill="FFFFFF"/>
        </w:rPr>
        <w:t>本级</w:t>
      </w:r>
      <w:r>
        <w:rPr>
          <w:rFonts w:hint="eastAsia" w:ascii="仿宋" w:hAnsi="仿宋" w:eastAsia="仿宋" w:cs="仿宋"/>
          <w:color w:val="333333"/>
          <w:sz w:val="32"/>
          <w:szCs w:val="32"/>
          <w:shd w:val="clear" w:color="auto" w:fill="FFFFFF"/>
          <w:lang w:val="en-US" w:eastAsia="zh-CN"/>
        </w:rPr>
        <w:t>外还下设有一个非独立核算公益一类事业单位</w:t>
      </w:r>
      <w:r>
        <w:rPr>
          <w:rFonts w:hint="eastAsia" w:ascii="仿宋" w:hAnsi="仿宋" w:eastAsia="仿宋" w:cs="仿宋"/>
          <w:color w:val="333333"/>
          <w:sz w:val="32"/>
          <w:szCs w:val="32"/>
          <w:shd w:val="clear" w:color="auto" w:fill="FFFFFF"/>
        </w:rPr>
        <w:t>。 </w:t>
      </w:r>
      <w:r>
        <w:rPr>
          <w:rFonts w:hint="eastAsia" w:ascii="仿宋" w:hAnsi="仿宋" w:eastAsia="仿宋" w:cs="仿宋"/>
          <w:sz w:val="32"/>
          <w:szCs w:val="32"/>
        </w:rPr>
        <w:t>因此，纳入 2020 年部门预算编制范围的</w:t>
      </w:r>
      <w:r>
        <w:rPr>
          <w:rFonts w:hint="eastAsia" w:ascii="仿宋" w:hAnsi="仿宋" w:eastAsia="仿宋" w:cs="仿宋"/>
          <w:sz w:val="32"/>
          <w:szCs w:val="32"/>
          <w:lang w:val="en-US" w:eastAsia="zh-CN"/>
        </w:rPr>
        <w:t>为</w:t>
      </w:r>
      <w:r>
        <w:rPr>
          <w:rFonts w:hint="eastAsia" w:ascii="仿宋" w:hAnsi="仿宋" w:eastAsia="仿宋" w:cs="仿宋"/>
          <w:sz w:val="32"/>
          <w:szCs w:val="32"/>
        </w:rPr>
        <w:t>中共衡南县委统战部部门本级</w:t>
      </w:r>
      <w:r>
        <w:rPr>
          <w:rFonts w:hint="eastAsia" w:ascii="仿宋" w:hAnsi="仿宋" w:eastAsia="仿宋" w:cs="仿宋"/>
          <w:sz w:val="32"/>
          <w:szCs w:val="32"/>
          <w:lang w:val="en-US" w:eastAsia="zh-CN"/>
        </w:rPr>
        <w:t>及该二级事业机构</w:t>
      </w:r>
      <w:r>
        <w:rPr>
          <w:rFonts w:hint="eastAsia" w:ascii="仿宋" w:hAnsi="仿宋" w:eastAsia="仿宋" w:cs="仿宋"/>
          <w:sz w:val="32"/>
          <w:szCs w:val="32"/>
        </w:rPr>
        <w:t>。</w:t>
      </w:r>
    </w:p>
    <w:p>
      <w:pPr>
        <w:pStyle w:val="2"/>
        <w:widowControl/>
        <w:numPr>
          <w:numId w:val="0"/>
        </w:numPr>
        <w:shd w:val="clear" w:color="auto" w:fill="FFFFFF"/>
        <w:spacing w:beforeAutospacing="0" w:afterAutospacing="0" w:line="700" w:lineRule="exact"/>
        <w:jc w:val="both"/>
        <w:rPr>
          <w:rFonts w:hint="eastAsia" w:ascii="仿宋" w:hAnsi="仿宋" w:eastAsia="仿宋" w:cs="仿宋"/>
          <w:b/>
          <w:bCs/>
          <w:color w:val="333333"/>
          <w:sz w:val="36"/>
          <w:szCs w:val="36"/>
          <w:shd w:val="clear" w:color="auto" w:fill="FFFFFF"/>
        </w:rPr>
      </w:pPr>
      <w:r>
        <w:rPr>
          <w:rFonts w:hint="eastAsia" w:ascii="仿宋" w:hAnsi="仿宋" w:eastAsia="仿宋" w:cs="仿宋"/>
          <w:b/>
          <w:bCs/>
          <w:color w:val="333333"/>
          <w:sz w:val="36"/>
          <w:szCs w:val="36"/>
          <w:shd w:val="clear" w:color="auto" w:fill="FFFFFF"/>
          <w:lang w:eastAsia="zh-CN"/>
        </w:rPr>
        <w:t>三、</w:t>
      </w:r>
      <w:r>
        <w:rPr>
          <w:rFonts w:hint="eastAsia" w:ascii="仿宋" w:hAnsi="仿宋" w:eastAsia="仿宋" w:cs="仿宋"/>
          <w:b/>
          <w:bCs/>
          <w:color w:val="333333"/>
          <w:sz w:val="36"/>
          <w:szCs w:val="36"/>
          <w:shd w:val="clear" w:color="auto" w:fill="FFFFFF"/>
        </w:rPr>
        <w:t>部门收支总体情况</w:t>
      </w:r>
    </w:p>
    <w:p>
      <w:pPr>
        <w:pStyle w:val="2"/>
        <w:widowControl/>
        <w:numPr>
          <w:ilvl w:val="0"/>
          <w:numId w:val="0"/>
        </w:numPr>
        <w:shd w:val="clear" w:color="auto" w:fill="FFFFFF"/>
        <w:spacing w:beforeAutospacing="0" w:afterAutospacing="0" w:line="700" w:lineRule="exact"/>
        <w:ind w:leftChars="200"/>
        <w:jc w:val="both"/>
        <w:rPr>
          <w:rFonts w:hint="eastAsia" w:ascii="仿宋" w:hAnsi="仿宋" w:eastAsia="仿宋" w:cs="仿宋"/>
          <w:b/>
          <w:bCs/>
          <w:color w:val="333333"/>
          <w:sz w:val="32"/>
          <w:szCs w:val="32"/>
          <w:shd w:val="clear" w:color="auto" w:fill="FFFFFF"/>
        </w:rPr>
      </w:pPr>
    </w:p>
    <w:p>
      <w:pPr>
        <w:pStyle w:val="2"/>
        <w:widowControl/>
        <w:shd w:val="clear" w:color="auto" w:fill="FFFFFF"/>
        <w:spacing w:beforeAutospacing="0" w:afterAutospacing="0" w:line="700" w:lineRule="exact"/>
        <w:ind w:firstLine="640" w:firstLineChars="200"/>
        <w:jc w:val="both"/>
        <w:rPr>
          <w:rFonts w:ascii="仿宋" w:hAnsi="仿宋" w:eastAsia="仿宋" w:cs="仿宋"/>
          <w:color w:val="333333"/>
          <w:sz w:val="32"/>
          <w:szCs w:val="32"/>
          <w:shd w:val="clear" w:color="auto" w:fill="FFFFFF"/>
        </w:rPr>
      </w:pPr>
      <w:r>
        <w:rPr>
          <w:rFonts w:hint="eastAsia" w:ascii="仿宋" w:hAnsi="仿宋" w:eastAsia="仿宋" w:cs="仿宋"/>
          <w:sz w:val="32"/>
          <w:szCs w:val="32"/>
        </w:rPr>
        <w:t>我部 2020 年部门预算编报范围包括部机关及衡南县党外知识分子工作办公室。收入仅指一般公共预算收入；支出既包括保障部本级和衡南县党外知识分子工作办公室基本运行 的经费，也包括开展业务工作的各类专项经费。</w:t>
      </w:r>
    </w:p>
    <w:p>
      <w:pPr>
        <w:pStyle w:val="5"/>
        <w:overflowPunct w:val="0"/>
        <w:spacing w:line="700" w:lineRule="exact"/>
        <w:ind w:firstLine="640"/>
        <w:jc w:val="left"/>
        <w:rPr>
          <w:rFonts w:ascii="仿宋" w:hAnsi="仿宋" w:eastAsia="仿宋" w:cs="仿宋"/>
          <w:sz w:val="32"/>
          <w:szCs w:val="32"/>
        </w:rPr>
      </w:pPr>
      <w:r>
        <w:rPr>
          <w:rFonts w:hint="eastAsia" w:ascii="仿宋" w:hAnsi="仿宋" w:eastAsia="仿宋" w:cs="仿宋"/>
          <w:b/>
          <w:bCs/>
          <w:sz w:val="32"/>
          <w:szCs w:val="32"/>
        </w:rPr>
        <w:t>（1）收入预算</w:t>
      </w:r>
      <w:r>
        <w:rPr>
          <w:rFonts w:hint="eastAsia" w:ascii="仿宋" w:hAnsi="仿宋" w:eastAsia="仿宋" w:cs="仿宋"/>
          <w:sz w:val="32"/>
          <w:szCs w:val="32"/>
        </w:rPr>
        <w:t>：2020年收入预算总计248.98万元。</w:t>
      </w:r>
      <w:r>
        <w:rPr>
          <w:rFonts w:hint="eastAsia" w:ascii="仿宋" w:hAnsi="仿宋" w:eastAsia="仿宋" w:cs="仿宋"/>
          <w:color w:val="333333"/>
          <w:sz w:val="32"/>
          <w:szCs w:val="32"/>
          <w:shd w:val="clear" w:color="auto" w:fill="FFFFFF"/>
        </w:rPr>
        <w:t>其中，一般公共预算拨款215.78万元。收入较去年增加60.33万元，其中项目经费拨款114.5万元，增加13.5万元。经费增加是因机构改革民宗和华侨工作职能并入，</w:t>
      </w:r>
      <w:r>
        <w:rPr>
          <w:rFonts w:hint="eastAsia" w:ascii="仿宋" w:hAnsi="仿宋" w:eastAsia="仿宋" w:cs="仿宋"/>
          <w:color w:val="333333"/>
          <w:sz w:val="32"/>
          <w:szCs w:val="32"/>
          <w:shd w:val="clear" w:color="auto" w:fill="FFFFFF"/>
          <w:lang w:val="en-US" w:eastAsia="zh-CN"/>
        </w:rPr>
        <w:t>并调入转隶</w:t>
      </w:r>
      <w:r>
        <w:rPr>
          <w:rFonts w:hint="eastAsia" w:ascii="仿宋" w:hAnsi="仿宋" w:eastAsia="仿宋" w:cs="仿宋"/>
          <w:color w:val="333333"/>
          <w:sz w:val="32"/>
          <w:szCs w:val="32"/>
          <w:shd w:val="clear" w:color="auto" w:fill="FFFFFF"/>
        </w:rPr>
        <w:t>人员增加所需。</w:t>
      </w:r>
    </w:p>
    <w:p>
      <w:pPr>
        <w:pStyle w:val="5"/>
        <w:overflowPunct w:val="0"/>
        <w:spacing w:line="700" w:lineRule="exact"/>
        <w:ind w:firstLine="640"/>
        <w:jc w:val="left"/>
        <w:rPr>
          <w:rFonts w:ascii="仿宋" w:hAnsi="仿宋" w:eastAsia="仿宋" w:cs="仿宋"/>
          <w:sz w:val="32"/>
          <w:szCs w:val="32"/>
        </w:rPr>
      </w:pPr>
      <w:r>
        <w:rPr>
          <w:rFonts w:hint="eastAsia" w:ascii="仿宋" w:hAnsi="仿宋" w:eastAsia="仿宋" w:cs="仿宋"/>
          <w:b/>
          <w:bCs/>
          <w:sz w:val="32"/>
          <w:szCs w:val="32"/>
        </w:rPr>
        <w:t>（2）支出预算</w:t>
      </w:r>
      <w:r>
        <w:rPr>
          <w:rFonts w:hint="eastAsia" w:ascii="仿宋" w:hAnsi="仿宋" w:eastAsia="仿宋" w:cs="仿宋"/>
          <w:sz w:val="32"/>
          <w:szCs w:val="32"/>
        </w:rPr>
        <w:t>：2020年年初预算数248.98 万元。其中：工资福利支出124.08万元、一般商品和服务支出10.4万元、专项商品和服务支出114.5万元。支出预算较去年</w:t>
      </w:r>
      <w:r>
        <w:rPr>
          <w:rFonts w:hint="eastAsia" w:ascii="仿宋" w:hAnsi="仿宋" w:eastAsia="仿宋" w:cs="仿宋"/>
          <w:color w:val="333333"/>
          <w:sz w:val="32"/>
          <w:szCs w:val="32"/>
          <w:shd w:val="clear" w:color="auto" w:fill="FFFFFF"/>
        </w:rPr>
        <w:t>去年增加</w:t>
      </w:r>
      <w:r>
        <w:rPr>
          <w:rFonts w:hint="eastAsia" w:ascii="仿宋" w:hAnsi="仿宋" w:eastAsia="仿宋" w:cs="仿宋"/>
          <w:color w:val="333333"/>
          <w:sz w:val="32"/>
          <w:szCs w:val="32"/>
          <w:shd w:val="clear" w:color="auto" w:fill="FFFFFF"/>
          <w:lang w:val="en-US" w:eastAsia="zh-CN"/>
        </w:rPr>
        <w:t>60.33</w:t>
      </w:r>
      <w:r>
        <w:rPr>
          <w:rFonts w:hint="eastAsia" w:ascii="仿宋" w:hAnsi="仿宋" w:eastAsia="仿宋" w:cs="仿宋"/>
          <w:color w:val="333333"/>
          <w:sz w:val="32"/>
          <w:szCs w:val="32"/>
          <w:shd w:val="clear" w:color="auto" w:fill="FFFFFF"/>
        </w:rPr>
        <w:t>元</w:t>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经费增加是因机构改革民宗和华侨工作职能并入，</w:t>
      </w:r>
      <w:r>
        <w:rPr>
          <w:rFonts w:hint="eastAsia" w:ascii="仿宋" w:hAnsi="仿宋" w:eastAsia="仿宋" w:cs="仿宋"/>
          <w:color w:val="333333"/>
          <w:sz w:val="32"/>
          <w:szCs w:val="32"/>
          <w:shd w:val="clear" w:color="auto" w:fill="FFFFFF"/>
          <w:lang w:val="en-US" w:eastAsia="zh-CN"/>
        </w:rPr>
        <w:t>并调入转隶</w:t>
      </w:r>
      <w:r>
        <w:rPr>
          <w:rFonts w:hint="eastAsia" w:ascii="仿宋" w:hAnsi="仿宋" w:eastAsia="仿宋" w:cs="仿宋"/>
          <w:color w:val="333333"/>
          <w:sz w:val="32"/>
          <w:szCs w:val="32"/>
          <w:shd w:val="clear" w:color="auto" w:fill="FFFFFF"/>
        </w:rPr>
        <w:t>人员增加所需。</w:t>
      </w:r>
    </w:p>
    <w:p>
      <w:pPr>
        <w:pStyle w:val="5"/>
        <w:overflowPunct w:val="0"/>
        <w:spacing w:line="700" w:lineRule="exact"/>
        <w:ind w:firstLine="640"/>
        <w:rPr>
          <w:rFonts w:hint="eastAsia" w:ascii="仿宋" w:hAnsi="仿宋" w:eastAsia="仿宋" w:cs="仿宋"/>
          <w:sz w:val="32"/>
          <w:szCs w:val="32"/>
        </w:rPr>
      </w:pPr>
      <w:r>
        <w:rPr>
          <w:rFonts w:hint="eastAsia" w:ascii="仿宋" w:hAnsi="仿宋" w:eastAsia="仿宋" w:cs="仿宋"/>
          <w:sz w:val="32"/>
          <w:szCs w:val="32"/>
        </w:rPr>
        <w:t>全年预算收支平衡。</w:t>
      </w:r>
    </w:p>
    <w:p>
      <w:pPr>
        <w:keepNext w:val="0"/>
        <w:keepLines w:val="0"/>
        <w:pageBreakBefore w:val="0"/>
        <w:numPr>
          <w:ilvl w:val="0"/>
          <w:numId w:val="0"/>
        </w:numPr>
        <w:kinsoku/>
        <w:wordWrap/>
        <w:topLinePunct w:val="0"/>
        <w:autoSpaceDE/>
        <w:autoSpaceDN/>
        <w:bidi w:val="0"/>
        <w:adjustRightInd/>
        <w:snapToGrid/>
        <w:spacing w:line="700" w:lineRule="exact"/>
        <w:jc w:val="both"/>
        <w:textAlignment w:val="auto"/>
        <w:rPr>
          <w:rFonts w:ascii="仿宋" w:hAnsi="仿宋" w:eastAsia="仿宋" w:cs="仿宋"/>
          <w:b/>
          <w:bCs/>
          <w:sz w:val="32"/>
          <w:szCs w:val="32"/>
        </w:rPr>
      </w:pPr>
      <w:r>
        <w:rPr>
          <w:rFonts w:hint="eastAsia" w:ascii="仿宋" w:hAnsi="仿宋" w:eastAsia="仿宋" w:cs="仿宋"/>
          <w:b/>
          <w:bCs/>
          <w:sz w:val="32"/>
          <w:szCs w:val="32"/>
        </w:rPr>
        <w:t>四、</w:t>
      </w:r>
      <w:r>
        <w:rPr>
          <w:rFonts w:hint="eastAsia" w:ascii="仿宋" w:hAnsi="仿宋" w:eastAsia="仿宋" w:cs="仿宋"/>
          <w:b/>
          <w:bCs/>
          <w:sz w:val="36"/>
          <w:szCs w:val="36"/>
        </w:rPr>
        <w:t>一般公共预算拔款支出预算</w:t>
      </w:r>
    </w:p>
    <w:p>
      <w:pPr>
        <w:pStyle w:val="5"/>
        <w:overflowPunct w:val="0"/>
        <w:spacing w:line="700" w:lineRule="exact"/>
        <w:ind w:firstLine="640"/>
        <w:rPr>
          <w:rFonts w:ascii="仿宋" w:hAnsi="仿宋" w:eastAsia="仿宋" w:cs="仿宋"/>
          <w:sz w:val="32"/>
          <w:szCs w:val="32"/>
        </w:rPr>
      </w:pPr>
      <w:r>
        <w:rPr>
          <w:rFonts w:hint="eastAsia" w:ascii="仿宋" w:hAnsi="仿宋" w:eastAsia="仿宋" w:cs="仿宋"/>
          <w:sz w:val="32"/>
          <w:szCs w:val="32"/>
        </w:rPr>
        <w:t xml:space="preserve">2020年财政拨款收入 248.98万元，具体安排如下：     </w:t>
      </w:r>
    </w:p>
    <w:p>
      <w:pPr>
        <w:pStyle w:val="5"/>
        <w:overflowPunct w:val="0"/>
        <w:spacing w:line="700" w:lineRule="exact"/>
        <w:ind w:firstLine="640"/>
        <w:rPr>
          <w:rFonts w:ascii="仿宋" w:hAnsi="仿宋" w:eastAsia="仿宋" w:cs="仿宋"/>
          <w:sz w:val="32"/>
          <w:szCs w:val="32"/>
        </w:rPr>
      </w:pPr>
      <w:r>
        <w:rPr>
          <w:rFonts w:hint="eastAsia" w:ascii="仿宋" w:hAnsi="仿宋" w:eastAsia="仿宋" w:cs="仿宋"/>
          <w:b/>
          <w:bCs/>
          <w:sz w:val="32"/>
          <w:szCs w:val="32"/>
        </w:rPr>
        <w:t>1、 基本支出</w:t>
      </w:r>
      <w:r>
        <w:rPr>
          <w:rFonts w:hint="eastAsia" w:ascii="仿宋" w:hAnsi="仿宋" w:eastAsia="仿宋" w:cs="仿宋"/>
          <w:sz w:val="32"/>
          <w:szCs w:val="32"/>
        </w:rPr>
        <w:t>：2020年年初预算数为134.48万元，系保障我单位机构正常运转、完成日常工作任务而发生的各项支出，包括用于在职人员基本工资、津贴补贴等人员经费以及办公费、印刷费、水电费、办公设备购置等日常公用经费。</w:t>
      </w:r>
    </w:p>
    <w:p>
      <w:pPr>
        <w:overflowPunct w:val="0"/>
        <w:spacing w:line="700" w:lineRule="exact"/>
        <w:ind w:firstLine="321" w:firstLineChars="100"/>
        <w:rPr>
          <w:rFonts w:hint="eastAsia" w:ascii="仿宋" w:hAnsi="仿宋" w:eastAsia="仿宋" w:cs="仿宋"/>
          <w:sz w:val="32"/>
          <w:szCs w:val="32"/>
        </w:rPr>
      </w:pPr>
      <w:r>
        <w:rPr>
          <w:rFonts w:hint="eastAsia" w:ascii="仿宋" w:hAnsi="仿宋" w:eastAsia="仿宋" w:cs="仿宋"/>
          <w:b/>
          <w:bCs/>
          <w:sz w:val="32"/>
          <w:szCs w:val="32"/>
        </w:rPr>
        <w:t xml:space="preserve"> 2、 项目支出</w:t>
      </w:r>
      <w:r>
        <w:rPr>
          <w:rFonts w:hint="eastAsia" w:ascii="仿宋" w:hAnsi="仿宋" w:eastAsia="仿宋" w:cs="仿宋"/>
          <w:sz w:val="32"/>
          <w:szCs w:val="32"/>
        </w:rPr>
        <w:t>：2020年初预算为114.5万元，系保障我部负责各党外干部及党外人士队伍的考察交流培训及政治安排、“暑期谈心”活动等工作经费8万元；全县四个民主党派、党外知识分子联谊会工作经费共22万元；；调查研究并协同做好非公有制经济组织交流引导及非公有制经济代表人士的团结、帮助、引导、教育非公有制经济人士，开展思想政治工作及举行“百企帮百村”活动经费6万元；指导全县统战系统工作队伍建设，组织统战人员学习培训及各乡镇党委统战工作经费8万元；协调政府各有关部门的统战工作；“同心美丽乡村”工程示范点建设补助经费及新农村建设工作经费30万元；原解放战争时期国民党起义投诚老兵及黄埔同学会走访慰问及工作经费共约3万元；统战保密工作经费约20万元；民族宗教事务工作经费6万元，归侨侨眷专项经费2.5万元。</w:t>
      </w:r>
    </w:p>
    <w:p>
      <w:pPr>
        <w:numPr>
          <w:ilvl w:val="0"/>
          <w:numId w:val="0"/>
        </w:numPr>
        <w:overflowPunct w:val="0"/>
        <w:spacing w:line="700" w:lineRule="exact"/>
        <w:ind w:leftChars="200"/>
        <w:jc w:val="left"/>
        <w:rPr>
          <w:rFonts w:hint="eastAsia" w:ascii="仿宋" w:hAnsi="仿宋" w:eastAsia="仿宋" w:cs="仿宋"/>
          <w:b/>
          <w:bCs/>
          <w:color w:val="333333"/>
          <w:sz w:val="36"/>
          <w:szCs w:val="36"/>
          <w:shd w:val="clear" w:color="auto" w:fill="FFFFFF"/>
        </w:rPr>
      </w:pPr>
      <w:r>
        <w:rPr>
          <w:rFonts w:hint="eastAsia" w:ascii="仿宋" w:hAnsi="仿宋" w:eastAsia="仿宋" w:cs="仿宋"/>
          <w:b/>
          <w:bCs/>
          <w:color w:val="333333"/>
          <w:sz w:val="36"/>
          <w:szCs w:val="36"/>
          <w:shd w:val="clear" w:color="auto" w:fill="FFFFFF"/>
        </w:rPr>
        <w:t>五、政府性基金预算</w:t>
      </w:r>
    </w:p>
    <w:p>
      <w:pPr>
        <w:overflowPunct w:val="0"/>
        <w:spacing w:line="700" w:lineRule="exact"/>
        <w:rPr>
          <w:rFonts w:hint="eastAsia" w:ascii="仿宋" w:hAnsi="仿宋" w:eastAsia="仿宋" w:cs="仿宋"/>
          <w:sz w:val="32"/>
          <w:szCs w:val="32"/>
        </w:rPr>
      </w:pPr>
      <w:r>
        <w:rPr>
          <w:rFonts w:hint="eastAsia" w:ascii="仿宋" w:hAnsi="仿宋" w:eastAsia="仿宋" w:cs="仿宋"/>
          <w:sz w:val="32"/>
          <w:szCs w:val="32"/>
        </w:rPr>
        <w:t>本年度本单位无政府性基金预算支出。</w:t>
      </w:r>
    </w:p>
    <w:p>
      <w:pPr>
        <w:numPr>
          <w:ilvl w:val="0"/>
          <w:numId w:val="0"/>
        </w:numPr>
        <w:overflowPunct w:val="0"/>
        <w:spacing w:line="700" w:lineRule="exact"/>
        <w:ind w:firstLine="361" w:firstLineChars="100"/>
        <w:jc w:val="both"/>
        <w:rPr>
          <w:rFonts w:hint="eastAsia" w:ascii="仿宋" w:hAnsi="仿宋" w:eastAsia="仿宋" w:cs="仿宋"/>
          <w:b/>
          <w:bCs/>
          <w:color w:val="333333"/>
          <w:sz w:val="32"/>
          <w:szCs w:val="32"/>
          <w:shd w:val="clear" w:color="auto" w:fill="FFFFFF"/>
        </w:rPr>
      </w:pPr>
      <w:r>
        <w:rPr>
          <w:rFonts w:hint="eastAsia" w:ascii="仿宋" w:hAnsi="仿宋" w:eastAsia="仿宋" w:cs="仿宋"/>
          <w:b/>
          <w:bCs/>
          <w:color w:val="333333"/>
          <w:sz w:val="36"/>
          <w:szCs w:val="36"/>
          <w:shd w:val="clear" w:color="auto" w:fill="FFFFFF"/>
          <w:lang w:val="en-US" w:eastAsia="zh-CN"/>
        </w:rPr>
        <w:t>六、</w:t>
      </w:r>
      <w:r>
        <w:rPr>
          <w:rFonts w:hint="eastAsia" w:ascii="仿宋" w:hAnsi="仿宋" w:eastAsia="仿宋" w:cs="仿宋"/>
          <w:b/>
          <w:bCs/>
          <w:color w:val="333333"/>
          <w:sz w:val="36"/>
          <w:szCs w:val="36"/>
          <w:shd w:val="clear" w:color="auto" w:fill="FFFFFF"/>
        </w:rPr>
        <w:t>其他重要事项的情况说明</w:t>
      </w:r>
    </w:p>
    <w:p>
      <w:pPr>
        <w:pStyle w:val="2"/>
        <w:widowControl/>
        <w:shd w:val="clear" w:color="auto" w:fill="FFFFFF"/>
        <w:spacing w:beforeAutospacing="0" w:afterAutospacing="0" w:line="700" w:lineRule="exact"/>
        <w:ind w:firstLine="643" w:firstLineChars="200"/>
        <w:jc w:val="both"/>
        <w:rPr>
          <w:rFonts w:ascii="仿宋" w:hAnsi="仿宋" w:eastAsia="仿宋" w:cs="仿宋"/>
          <w:b/>
          <w:bCs/>
          <w:color w:val="333333"/>
          <w:sz w:val="32"/>
          <w:szCs w:val="32"/>
        </w:rPr>
      </w:pPr>
      <w:r>
        <w:rPr>
          <w:rFonts w:hint="eastAsia" w:ascii="仿宋" w:hAnsi="仿宋" w:eastAsia="仿宋" w:cs="仿宋"/>
          <w:b/>
          <w:bCs/>
          <w:color w:val="333333"/>
          <w:sz w:val="32"/>
          <w:szCs w:val="32"/>
          <w:shd w:val="clear" w:color="auto" w:fill="FFFFFF"/>
        </w:rPr>
        <w:t>1、机关运行经费 </w:t>
      </w:r>
    </w:p>
    <w:p>
      <w:pPr>
        <w:pStyle w:val="2"/>
        <w:widowControl/>
        <w:shd w:val="clear" w:color="auto" w:fill="FFFFFF"/>
        <w:spacing w:beforeAutospacing="0" w:afterAutospacing="0" w:line="700" w:lineRule="exact"/>
        <w:ind w:firstLine="640" w:firstLineChars="200"/>
        <w:jc w:val="both"/>
        <w:rPr>
          <w:rFonts w:ascii="仿宋" w:hAnsi="仿宋" w:eastAsia="仿宋" w:cs="仿宋"/>
          <w:sz w:val="32"/>
          <w:szCs w:val="32"/>
        </w:rPr>
      </w:pPr>
      <w:r>
        <w:rPr>
          <w:rFonts w:hint="eastAsia" w:ascii="仿宋" w:hAnsi="仿宋" w:eastAsia="仿宋" w:cs="仿宋"/>
          <w:color w:val="333333"/>
          <w:sz w:val="32"/>
          <w:szCs w:val="32"/>
          <w:shd w:val="clear" w:color="auto" w:fill="FFFFFF"/>
        </w:rPr>
        <w:t>2020年机关运行经费当年一般公共预算拨款 10.4万元，与2019年相比增加4万元，为二级机构运行经费。 </w:t>
      </w:r>
    </w:p>
    <w:p>
      <w:pPr>
        <w:pStyle w:val="5"/>
        <w:overflowPunct w:val="0"/>
        <w:spacing w:line="700" w:lineRule="exact"/>
        <w:ind w:left="420" w:leftChars="200" w:firstLine="321" w:firstLineChars="100"/>
        <w:rPr>
          <w:rFonts w:ascii="仿宋" w:hAnsi="仿宋" w:eastAsia="仿宋" w:cs="仿宋"/>
          <w:b/>
          <w:bCs/>
          <w:sz w:val="32"/>
          <w:szCs w:val="32"/>
        </w:rPr>
      </w:pPr>
      <w:r>
        <w:rPr>
          <w:rFonts w:hint="eastAsia" w:ascii="仿宋" w:hAnsi="仿宋" w:eastAsia="仿宋" w:cs="仿宋"/>
          <w:b/>
          <w:bCs/>
          <w:sz w:val="32"/>
          <w:szCs w:val="32"/>
        </w:rPr>
        <w:t xml:space="preserve">2、“三公”经费预算: </w:t>
      </w:r>
    </w:p>
    <w:p>
      <w:pPr>
        <w:pStyle w:val="2"/>
        <w:widowControl/>
        <w:shd w:val="clear" w:color="auto" w:fill="FFFFFF"/>
        <w:spacing w:beforeAutospacing="0" w:afterAutospacing="0" w:line="700" w:lineRule="exact"/>
        <w:ind w:firstLine="640" w:firstLineChars="200"/>
        <w:jc w:val="both"/>
        <w:rPr>
          <w:rFonts w:ascii="仿宋" w:hAnsi="仿宋" w:eastAsia="仿宋" w:cs="仿宋"/>
          <w:color w:val="333333"/>
          <w:sz w:val="32"/>
          <w:szCs w:val="32"/>
          <w:shd w:val="clear" w:color="auto" w:fill="FFFFFF"/>
        </w:rPr>
      </w:pPr>
      <w:r>
        <w:rPr>
          <w:rFonts w:hint="eastAsia" w:ascii="仿宋" w:hAnsi="仿宋" w:eastAsia="仿宋" w:cs="仿宋"/>
          <w:sz w:val="32"/>
          <w:szCs w:val="32"/>
        </w:rPr>
        <w:t>2020年“三公”经费预算1.7万元，其中公务接待费1.7万元。在工作职能增加的情况跟上2019年度基本持平，由于统战工作具有特殊性，肩负着围绕党的工作大局和中心工作调动一切积极因素，团结一切可以团结的力量，同心同德，为改革、发展和稳定服务的重要任务。统战工作本质上是做人的工作，担负着从政治大局出发为党广交各界朋友凝心聚力的任务。从历年来的工作实际情况来看，各方协调和接待任务较多。能够比去年基本保持平衡，</w:t>
      </w:r>
      <w:r>
        <w:rPr>
          <w:rFonts w:hint="eastAsia" w:ascii="仿宋" w:hAnsi="仿宋" w:eastAsia="仿宋" w:cs="仿宋"/>
          <w:color w:val="333333"/>
          <w:sz w:val="32"/>
          <w:szCs w:val="32"/>
          <w:shd w:val="clear" w:color="auto" w:fill="FFFFFF"/>
        </w:rPr>
        <w:t>主要是厉行节约，规范管理，进一步压缩三公经费。 </w:t>
      </w:r>
    </w:p>
    <w:p>
      <w:pPr>
        <w:pStyle w:val="2"/>
        <w:widowControl/>
        <w:shd w:val="clear" w:color="auto" w:fill="FFFFFF"/>
        <w:spacing w:beforeAutospacing="0" w:afterAutospacing="0" w:line="700" w:lineRule="exact"/>
        <w:ind w:firstLine="643" w:firstLineChars="200"/>
        <w:jc w:val="both"/>
        <w:rPr>
          <w:rFonts w:ascii="仿宋" w:hAnsi="仿宋" w:eastAsia="仿宋" w:cs="仿宋"/>
          <w:b/>
          <w:bCs/>
          <w:color w:val="333333"/>
          <w:sz w:val="32"/>
          <w:szCs w:val="32"/>
        </w:rPr>
      </w:pPr>
      <w:r>
        <w:rPr>
          <w:rFonts w:hint="eastAsia" w:ascii="仿宋" w:hAnsi="仿宋" w:eastAsia="仿宋" w:cs="仿宋"/>
          <w:b/>
          <w:bCs/>
          <w:color w:val="333333"/>
          <w:sz w:val="32"/>
          <w:szCs w:val="32"/>
          <w:shd w:val="clear" w:color="auto" w:fill="FFFFFF"/>
        </w:rPr>
        <w:t>3、政府采购情况 </w:t>
      </w:r>
    </w:p>
    <w:p>
      <w:pPr>
        <w:pStyle w:val="2"/>
        <w:widowControl/>
        <w:shd w:val="clear" w:color="auto" w:fill="FFFFFF"/>
        <w:spacing w:beforeAutospacing="0" w:afterAutospacing="0" w:line="70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2020年我部政府采购预算总额1.88万元，其中，政府采购货物预算1.88万元。 </w:t>
      </w:r>
    </w:p>
    <w:p>
      <w:pPr>
        <w:pStyle w:val="2"/>
        <w:widowControl/>
        <w:shd w:val="clear" w:color="auto" w:fill="FFFFFF"/>
        <w:spacing w:beforeAutospacing="0" w:afterAutospacing="0" w:line="70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w:t>
      </w:r>
      <w:r>
        <w:rPr>
          <w:rFonts w:hint="eastAsia" w:ascii="仿宋" w:hAnsi="仿宋" w:eastAsia="仿宋" w:cs="仿宋"/>
          <w:b/>
          <w:bCs/>
          <w:color w:val="333333"/>
          <w:sz w:val="32"/>
          <w:szCs w:val="32"/>
          <w:shd w:val="clear" w:color="auto" w:fill="FFFFFF"/>
        </w:rPr>
        <w:t>　4、国有资产占用使用情况说明</w:t>
      </w:r>
      <w:r>
        <w:rPr>
          <w:rFonts w:hint="eastAsia" w:ascii="仿宋" w:hAnsi="仿宋" w:eastAsia="仿宋" w:cs="仿宋"/>
          <w:color w:val="333333"/>
          <w:sz w:val="32"/>
          <w:szCs w:val="32"/>
          <w:shd w:val="clear" w:color="auto" w:fill="FFFFFF"/>
        </w:rPr>
        <w:t>：截至2019年12月31日，单位办公用固定资产44万元（包括四个民主党派办公设备）。 </w:t>
      </w:r>
    </w:p>
    <w:p>
      <w:pPr>
        <w:pStyle w:val="2"/>
        <w:widowControl/>
        <w:shd w:val="clear" w:color="auto" w:fill="FFFFFF"/>
        <w:spacing w:beforeAutospacing="0" w:afterAutospacing="0" w:line="700" w:lineRule="exact"/>
        <w:ind w:firstLine="647"/>
        <w:jc w:val="both"/>
        <w:rPr>
          <w:rFonts w:hint="eastAsia" w:ascii="仿宋" w:hAnsi="仿宋" w:eastAsia="仿宋" w:cs="仿宋"/>
          <w:color w:val="333333"/>
          <w:sz w:val="32"/>
          <w:szCs w:val="32"/>
          <w:shd w:val="clear" w:color="auto" w:fill="FFFFFF"/>
        </w:rPr>
      </w:pPr>
      <w:r>
        <w:rPr>
          <w:rFonts w:hint="eastAsia" w:ascii="仿宋" w:hAnsi="仿宋" w:eastAsia="仿宋" w:cs="仿宋"/>
          <w:b/>
          <w:bCs/>
          <w:color w:val="333333"/>
          <w:sz w:val="32"/>
          <w:szCs w:val="32"/>
          <w:shd w:val="clear" w:color="auto" w:fill="FFFFFF"/>
        </w:rPr>
        <w:t>5、预算绩效目标说明</w:t>
      </w:r>
      <w:r>
        <w:rPr>
          <w:rFonts w:hint="eastAsia" w:ascii="仿宋" w:hAnsi="仿宋" w:eastAsia="仿宋" w:cs="仿宋"/>
          <w:color w:val="333333"/>
          <w:sz w:val="32"/>
          <w:szCs w:val="32"/>
          <w:shd w:val="clear" w:color="auto" w:fill="FFFFFF"/>
        </w:rPr>
        <w:t>：本部门整体支出和项目支出实行绩效目标管理，纳入2020年部门整体支出绩效目标的金额为248.98万元，其中，基本支出134.48万元，项目支出114.5万元。 </w:t>
      </w:r>
    </w:p>
    <w:p>
      <w:pPr>
        <w:pStyle w:val="2"/>
        <w:widowControl/>
        <w:numPr>
          <w:ilvl w:val="0"/>
          <w:numId w:val="0"/>
        </w:numPr>
        <w:shd w:val="clear" w:color="auto" w:fill="FFFFFF"/>
        <w:spacing w:beforeAutospacing="0" w:afterAutospacing="0" w:line="700" w:lineRule="exact"/>
        <w:ind w:firstLine="723" w:firstLineChars="200"/>
        <w:jc w:val="both"/>
        <w:rPr>
          <w:rFonts w:hint="eastAsia" w:ascii="仿宋" w:hAnsi="仿宋" w:eastAsia="仿宋" w:cs="仿宋"/>
          <w:b/>
          <w:bCs/>
          <w:color w:val="333333"/>
          <w:sz w:val="36"/>
          <w:szCs w:val="36"/>
          <w:shd w:val="clear" w:color="auto" w:fill="FFFFFF"/>
        </w:rPr>
      </w:pPr>
      <w:r>
        <w:rPr>
          <w:rFonts w:hint="eastAsia" w:ascii="仿宋" w:hAnsi="仿宋" w:eastAsia="仿宋" w:cs="仿宋"/>
          <w:b/>
          <w:bCs/>
          <w:color w:val="333333"/>
          <w:sz w:val="36"/>
          <w:szCs w:val="36"/>
          <w:shd w:val="clear" w:color="auto" w:fill="FFFFFF"/>
          <w:lang w:val="en-US" w:eastAsia="zh-CN"/>
        </w:rPr>
        <w:t>七、</w:t>
      </w:r>
      <w:r>
        <w:rPr>
          <w:rFonts w:hint="eastAsia" w:ascii="仿宋" w:hAnsi="仿宋" w:eastAsia="仿宋" w:cs="仿宋"/>
          <w:b/>
          <w:bCs/>
          <w:color w:val="333333"/>
          <w:sz w:val="36"/>
          <w:szCs w:val="36"/>
          <w:shd w:val="clear" w:color="auto" w:fill="FFFFFF"/>
        </w:rPr>
        <w:t>名词解释</w:t>
      </w:r>
    </w:p>
    <w:p>
      <w:pPr>
        <w:pStyle w:val="2"/>
        <w:widowControl/>
        <w:shd w:val="clear" w:color="auto" w:fill="FFFFFF"/>
        <w:spacing w:beforeAutospacing="0" w:afterAutospacing="0" w:line="70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pStyle w:val="2"/>
        <w:widowControl/>
        <w:shd w:val="clear" w:color="auto" w:fill="FFFFFF"/>
        <w:spacing w:beforeAutospacing="0" w:afterAutospacing="0" w:line="700" w:lineRule="exact"/>
        <w:ind w:firstLine="647"/>
        <w:jc w:val="both"/>
        <w:rPr>
          <w:rFonts w:hint="eastAsia" w:ascii="仿宋" w:hAnsi="仿宋" w:eastAsia="仿宋" w:cs="仿宋"/>
          <w:color w:val="333333"/>
          <w:sz w:val="32"/>
          <w:szCs w:val="32"/>
          <w:shd w:val="clear" w:color="auto" w:fill="FFFFFF"/>
        </w:rPr>
      </w:pPr>
      <w:r>
        <w:rPr>
          <w:rFonts w:hint="eastAsia" w:ascii="仿宋" w:hAnsi="仿宋" w:eastAsia="仿宋" w:cs="仿宋"/>
          <w:color w:val="333333"/>
          <w:sz w:val="32"/>
          <w:szCs w:val="32"/>
          <w:shd w:val="clear" w:color="auto" w:fill="FFFFFF"/>
        </w:rPr>
        <w:t>2、“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pPr>
        <w:pStyle w:val="2"/>
        <w:widowControl/>
        <w:shd w:val="clear" w:color="auto" w:fill="FFFFFF"/>
        <w:spacing w:beforeAutospacing="0" w:afterAutospacing="0" w:line="700" w:lineRule="exact"/>
        <w:ind w:firstLine="647"/>
        <w:jc w:val="both"/>
        <w:rPr>
          <w:rFonts w:hint="eastAsia" w:ascii="仿宋" w:hAnsi="仿宋" w:eastAsia="仿宋" w:cs="仿宋"/>
          <w:b/>
          <w:bCs/>
          <w:color w:val="333333"/>
          <w:sz w:val="32"/>
          <w:szCs w:val="32"/>
          <w:shd w:val="clear" w:color="auto" w:fill="FFFFFF"/>
        </w:rPr>
      </w:pPr>
    </w:p>
    <w:p>
      <w:pPr>
        <w:pStyle w:val="2"/>
        <w:widowControl/>
        <w:shd w:val="clear" w:color="auto" w:fill="FFFFFF"/>
        <w:spacing w:beforeAutospacing="0" w:afterAutospacing="0" w:line="700" w:lineRule="exact"/>
        <w:ind w:firstLine="647"/>
        <w:jc w:val="both"/>
        <w:rPr>
          <w:rFonts w:hint="eastAsia" w:ascii="仿宋" w:hAnsi="仿宋" w:eastAsia="仿宋" w:cs="仿宋"/>
          <w:b/>
          <w:bCs/>
          <w:color w:val="333333"/>
          <w:sz w:val="32"/>
          <w:szCs w:val="32"/>
          <w:shd w:val="clear" w:color="auto" w:fill="FFFFFF"/>
        </w:rPr>
      </w:pPr>
    </w:p>
    <w:p>
      <w:pPr>
        <w:pStyle w:val="2"/>
        <w:widowControl/>
        <w:shd w:val="clear" w:color="auto" w:fill="FFFFFF"/>
        <w:spacing w:beforeAutospacing="0" w:afterAutospacing="0" w:line="700" w:lineRule="exact"/>
        <w:ind w:firstLine="647"/>
        <w:jc w:val="both"/>
        <w:rPr>
          <w:rFonts w:hint="eastAsia" w:ascii="仿宋" w:hAnsi="仿宋" w:eastAsia="仿宋" w:cs="仿宋"/>
          <w:b/>
          <w:bCs/>
          <w:color w:val="333333"/>
          <w:sz w:val="32"/>
          <w:szCs w:val="32"/>
          <w:shd w:val="clear" w:color="auto" w:fill="FFFFFF"/>
        </w:rPr>
      </w:pPr>
      <w:bookmarkStart w:id="0" w:name="_GoBack"/>
      <w:bookmarkEnd w:id="0"/>
      <w:r>
        <w:rPr>
          <w:rFonts w:hint="eastAsia" w:ascii="仿宋" w:hAnsi="仿宋" w:eastAsia="仿宋" w:cs="仿宋"/>
          <w:b/>
          <w:bCs/>
          <w:color w:val="333333"/>
          <w:sz w:val="32"/>
          <w:szCs w:val="32"/>
          <w:shd w:val="clear" w:color="auto" w:fill="FFFFFF"/>
        </w:rPr>
        <w:t>第二部分：公开表格</w:t>
      </w:r>
    </w:p>
    <w:p>
      <w:pPr>
        <w:pStyle w:val="2"/>
        <w:widowControl/>
        <w:shd w:val="clear" w:color="auto" w:fill="FFFFFF"/>
        <w:spacing w:beforeAutospacing="0" w:afterAutospacing="0" w:line="700" w:lineRule="exact"/>
        <w:ind w:firstLine="647"/>
        <w:jc w:val="both"/>
        <w:rPr>
          <w:rFonts w:hint="eastAsia" w:ascii="仿宋" w:hAnsi="仿宋" w:eastAsia="仿宋" w:cs="仿宋"/>
          <w:color w:val="333333"/>
          <w:sz w:val="32"/>
          <w:szCs w:val="32"/>
          <w:shd w:val="clear" w:color="auto" w:fill="FFFFFF"/>
        </w:rPr>
      </w:pPr>
      <w:r>
        <w:rPr>
          <w:rFonts w:hint="eastAsia" w:ascii="仿宋" w:hAnsi="仿宋" w:eastAsia="仿宋" w:cs="仿宋"/>
          <w:color w:val="333333"/>
          <w:sz w:val="32"/>
          <w:szCs w:val="32"/>
          <w:shd w:val="clear" w:color="auto" w:fill="FFFFFF"/>
        </w:rPr>
        <w:t>附件：</w:t>
      </w:r>
      <w:r>
        <w:rPr>
          <w:rFonts w:hint="eastAsia" w:ascii="仿宋" w:hAnsi="仿宋" w:eastAsia="仿宋" w:cs="仿宋"/>
          <w:color w:val="333333"/>
          <w:sz w:val="32"/>
          <w:szCs w:val="32"/>
          <w:shd w:val="clear" w:color="auto" w:fill="FFFFFF"/>
          <w:lang w:eastAsia="zh-CN"/>
        </w:rPr>
        <w:t>衡南县统战部</w:t>
      </w:r>
      <w:r>
        <w:rPr>
          <w:rFonts w:hint="eastAsia" w:ascii="仿宋" w:hAnsi="仿宋" w:eastAsia="仿宋" w:cs="仿宋"/>
          <w:color w:val="333333"/>
          <w:sz w:val="32"/>
          <w:szCs w:val="32"/>
          <w:shd w:val="clear" w:color="auto" w:fill="FFFFFF"/>
        </w:rPr>
        <w:t>2020年预算公开表 -（25张表）</w:t>
      </w:r>
    </w:p>
    <w:sectPr>
      <w:pgSz w:w="11906" w:h="16838"/>
      <w:pgMar w:top="1077" w:right="1179" w:bottom="1077" w:left="1179"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5A71EB"/>
    <w:rsid w:val="001206CE"/>
    <w:rsid w:val="007161CD"/>
    <w:rsid w:val="033F76E0"/>
    <w:rsid w:val="295A71EB"/>
    <w:rsid w:val="5AA342C6"/>
    <w:rsid w:val="5D2D3D9E"/>
    <w:rsid w:val="706A0E08"/>
    <w:rsid w:val="7397691A"/>
    <w:rsid w:val="79332B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paragraph" w:customStyle="1" w:styleId="5">
    <w:name w:val="_Style 1"/>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383</Words>
  <Characters>2188</Characters>
  <Lines>18</Lines>
  <Paragraphs>5</Paragraphs>
  <TotalTime>4</TotalTime>
  <ScaleCrop>false</ScaleCrop>
  <LinksUpToDate>false</LinksUpToDate>
  <CharactersWithSpaces>2566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2020-07-14T04:06:00Z</dcterms:created>
  <dc:creator>黄娟</dc:creator>
  <cp:lastModifiedBy>Administrator</cp:lastModifiedBy>
  <dcterms:modified xsi:type="dcterms:W3CDTF">2021-06-25T05:12:52Z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69C9381D1AD146A2AD828C6A27EDB73E</vt:lpwstr>
  </property>
</Properties>
</file>