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ind w:firstLine="1621" w:firstLineChars="600"/>
        <w:jc w:val="left"/>
        <w:outlineLvl w:val="2"/>
        <w:rPr>
          <w:rFonts w:ascii="微软雅黑" w:hAnsi="微软雅黑" w:eastAsia="微软雅黑" w:cs="宋体"/>
          <w:b/>
          <w:bCs/>
          <w:kern w:val="0"/>
          <w:sz w:val="27"/>
          <w:szCs w:val="27"/>
        </w:rPr>
      </w:pPr>
      <w:r>
        <w:rPr>
          <w:rFonts w:hint="eastAsia" w:ascii="微软雅黑" w:hAnsi="微软雅黑" w:eastAsia="微软雅黑" w:cs="宋体"/>
          <w:b/>
          <w:bCs/>
          <w:kern w:val="0"/>
          <w:sz w:val="27"/>
          <w:szCs w:val="27"/>
        </w:rPr>
        <w:t>衡南县供销社2019年部门预算说明</w:t>
      </w:r>
    </w:p>
    <w:p>
      <w:pPr>
        <w:widowControl/>
        <w:spacing w:line="480" w:lineRule="auto"/>
        <w:ind w:firstLine="480" w:firstLineChars="200"/>
        <w:jc w:val="left"/>
        <w:rPr>
          <w:rFonts w:ascii="微软雅黑" w:hAnsi="微软雅黑" w:eastAsia="微软雅黑" w:cs="宋体"/>
          <w:kern w:val="0"/>
          <w:sz w:val="24"/>
          <w:szCs w:val="24"/>
        </w:rPr>
      </w:pPr>
    </w:p>
    <w:p>
      <w:pPr>
        <w:widowControl/>
        <w:spacing w:line="480" w:lineRule="auto"/>
        <w:ind w:firstLine="480" w:firstLineChars="200"/>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部门预算公开信息目录</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第一部分 2019年部门预算说明</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一、部门基本概况</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二、部门预算单位构成</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三、部门收支总体情况</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四、一般公共预算拨款支出</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五、政府性基金预算支出</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六、其他重要事项的情况说明</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七、名词解释</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第二部分 2019 年部门预算表</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 部门收支总表</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2、 部门收入总表</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3、 部门支出总表</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4、 部门支出总表（分类）</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5、 支出分类（政府预算）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6、 基本—工资福利</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7、 工资福利（政府预算）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8、 基本—商品服务</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9、 商品服务（政府预算）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10、 基本－个人家庭</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11、 个人家庭（政府预算）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12、 财政拨款收支总表</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13、 一般预算支出表</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14、 一般预算基本支出</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15、 一般支出——工资福利</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16、 工资福利（政府预算）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17、 一般支出——商品服务</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18、 商品服务（政府预算）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19、 一般支出——个人家庭</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20、 个人家庭（政府预算）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21、 经费拨款</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22、 经费拨款（政府预算）</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23、 政府基金</w:t>
      </w:r>
    </w:p>
    <w:p>
      <w:pPr>
        <w:widowControl/>
        <w:spacing w:line="480" w:lineRule="auto"/>
        <w:ind w:firstLine="48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24、 政府基金（政府预算）</w:t>
      </w:r>
    </w:p>
    <w:p>
      <w:pPr>
        <w:widowControl/>
        <w:spacing w:line="480" w:lineRule="auto"/>
        <w:ind w:firstLine="480"/>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25、 三公经费</w:t>
      </w:r>
    </w:p>
    <w:p>
      <w:pPr>
        <w:widowControl/>
        <w:spacing w:line="480" w:lineRule="auto"/>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　　</w:t>
      </w:r>
      <w:bookmarkStart w:id="0" w:name="_Hlk73775035"/>
    </w:p>
    <w:p>
      <w:pPr>
        <w:widowControl/>
        <w:spacing w:line="480" w:lineRule="auto"/>
        <w:jc w:val="left"/>
        <w:rPr>
          <w:rFonts w:hint="eastAsia" w:ascii="微软雅黑" w:hAnsi="微软雅黑" w:eastAsia="微软雅黑" w:cs="宋体"/>
          <w:kern w:val="0"/>
          <w:sz w:val="24"/>
          <w:szCs w:val="24"/>
        </w:rPr>
      </w:pPr>
    </w:p>
    <w:p>
      <w:pPr>
        <w:widowControl/>
        <w:spacing w:line="480" w:lineRule="auto"/>
        <w:jc w:val="left"/>
        <w:rPr>
          <w:rFonts w:hint="eastAsia" w:ascii="微软雅黑" w:hAnsi="微软雅黑" w:eastAsia="微软雅黑" w:cs="宋体"/>
          <w:kern w:val="0"/>
          <w:sz w:val="24"/>
          <w:szCs w:val="24"/>
        </w:rPr>
      </w:pPr>
    </w:p>
    <w:p>
      <w:pPr>
        <w:widowControl/>
        <w:spacing w:line="480" w:lineRule="auto"/>
        <w:jc w:val="left"/>
        <w:rPr>
          <w:rFonts w:hint="eastAsia" w:ascii="微软雅黑" w:hAnsi="微软雅黑" w:eastAsia="微软雅黑" w:cs="宋体"/>
          <w:kern w:val="0"/>
          <w:sz w:val="24"/>
          <w:szCs w:val="24"/>
        </w:rPr>
      </w:pPr>
    </w:p>
    <w:p>
      <w:pPr>
        <w:widowControl/>
        <w:spacing w:line="480" w:lineRule="auto"/>
        <w:jc w:val="left"/>
        <w:rPr>
          <w:rFonts w:hint="eastAsia" w:ascii="微软雅黑" w:hAnsi="微软雅黑" w:eastAsia="微软雅黑" w:cs="宋体"/>
          <w:kern w:val="0"/>
          <w:sz w:val="24"/>
          <w:szCs w:val="24"/>
        </w:rPr>
      </w:pPr>
    </w:p>
    <w:p>
      <w:pPr>
        <w:widowControl/>
        <w:spacing w:line="480" w:lineRule="auto"/>
        <w:jc w:val="left"/>
        <w:rPr>
          <w:rFonts w:hint="eastAsia" w:ascii="微软雅黑" w:hAnsi="微软雅黑" w:eastAsia="微软雅黑" w:cs="宋体"/>
          <w:kern w:val="0"/>
          <w:sz w:val="24"/>
          <w:szCs w:val="24"/>
        </w:rPr>
      </w:pPr>
    </w:p>
    <w:p>
      <w:pPr>
        <w:widowControl/>
        <w:spacing w:line="480" w:lineRule="auto"/>
        <w:jc w:val="left"/>
        <w:rPr>
          <w:rFonts w:hint="eastAsia" w:ascii="微软雅黑" w:hAnsi="微软雅黑" w:eastAsia="微软雅黑" w:cs="宋体"/>
          <w:kern w:val="0"/>
          <w:sz w:val="24"/>
          <w:szCs w:val="24"/>
        </w:rPr>
      </w:pPr>
    </w:p>
    <w:p>
      <w:pPr>
        <w:widowControl/>
        <w:spacing w:line="480" w:lineRule="auto"/>
        <w:jc w:val="center"/>
        <w:rPr>
          <w:rFonts w:ascii="微软雅黑" w:hAnsi="微软雅黑" w:eastAsia="微软雅黑" w:cs="宋体"/>
          <w:kern w:val="0"/>
          <w:sz w:val="24"/>
          <w:szCs w:val="24"/>
        </w:rPr>
      </w:pPr>
      <w:r>
        <w:rPr>
          <w:rFonts w:hint="eastAsia" w:ascii="微软雅黑" w:hAnsi="微软雅黑" w:eastAsia="微软雅黑" w:cs="宋体"/>
          <w:kern w:val="0"/>
          <w:sz w:val="24"/>
          <w:szCs w:val="24"/>
        </w:rPr>
        <w:t>衡南县供销社</w:t>
      </w:r>
      <w:bookmarkEnd w:id="0"/>
      <w:r>
        <w:rPr>
          <w:rFonts w:hint="eastAsia" w:ascii="微软雅黑" w:hAnsi="微软雅黑" w:eastAsia="微软雅黑" w:cs="宋体"/>
          <w:kern w:val="0"/>
          <w:sz w:val="24"/>
          <w:szCs w:val="24"/>
        </w:rPr>
        <w:t>2019年部门预算说明</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w:t>
      </w:r>
      <w:bookmarkStart w:id="1" w:name="_Hlk73775048"/>
      <w:r>
        <w:rPr>
          <w:rFonts w:hint="eastAsia" w:ascii="微软雅黑" w:hAnsi="微软雅黑" w:eastAsia="微软雅黑" w:cs="宋体"/>
          <w:kern w:val="0"/>
          <w:sz w:val="24"/>
          <w:szCs w:val="24"/>
        </w:rPr>
        <w:t>一、部门基本概况</w:t>
      </w:r>
    </w:p>
    <w:bookmarkEnd w:id="1"/>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（一）职能职责</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1、负责制定全县供销合作社系统改革和发展规划，组织指导全县系统具体实施。</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2、负责建设全县农村现代商品流通体系。</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3、负责建立新型的完善的为农服务体系。</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4、指导全县供销合作社系统做大做强社有企业，培育参股控股各类龙头企业，推进社有企业健全现代企业制度。</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5、承担化肥、农药、棉花、食用油等重要物资的国家和地方政府储备及救灾物资储备等任务。</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6、指导和监督全县供销社系统的资产管理，依法维护供销社的合法权益。</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7、指导全县供销社系统的科技开发和有关科技成果的转化推广工作，推进科技兴社。</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8、负责全县供销社系统人才队伍建设和干部职工教育培训工作。</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9、承办县委、县政府和上级社交办的其它工作。</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w:t>
      </w:r>
      <w:bookmarkStart w:id="2" w:name="_Hlk73775061"/>
      <w:r>
        <w:rPr>
          <w:rFonts w:hint="eastAsia" w:ascii="微软雅黑" w:hAnsi="微软雅黑" w:eastAsia="微软雅黑" w:cs="宋体"/>
          <w:kern w:val="0"/>
          <w:sz w:val="24"/>
          <w:szCs w:val="24"/>
        </w:rPr>
        <w:t>（二）机构设置</w:t>
      </w:r>
    </w:p>
    <w:bookmarkEnd w:id="2"/>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下设二级机构1个：衡南县集体商业管理办公室。7个内设机构：办公室、人事股、财务股、合作指导股、安全保卫股、监事会办公室、审计股。</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二、部门预算单位构成</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纳入2019年部门预算编制范围的二级预算单位包括：</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1、衡南县供销社本级</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2、衡南县集体商业管理办公室</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三、部门收支总体情况</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2019年部门预算包括本级预算和所属二级单位预算在内的汇总情况。收入均为财政经费拨款；支出包括工资福利支出、一般商品和服务支出、专项商品和服务支出。全年预算收支平衡。</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（一）收入预算：2019年年初预算数334.37万元。其中衡南县供销社本级一般公共预算拨款284.94万元，相比去年减少35.98万元；衡南县集体商业管理办公室一般公共预算拨款49.43万元，相比去年减少49.25万元。</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二）支出预算：2019年年初预算数334.37万元。其中：工资福利支出214.31万元，一般商品和服务支出15万元，对个人及家庭补助3.06万元，项目支出102万元。支出较去年减少85.23万元，其中：工资福利支出减少34.21万元，一般商品和服务支出减少3万元，对个人及家庭补助减少1.02万元，项目支出减少47万元。</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四、一般公共预算拨款支出预算</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2019年一般公共预算拨款收入334.37万元，具体安排情况如下：</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一）基本支出：2019年初预算数为232.37万元，其中衡南县供销社本级为198.94万元，衡南县集体商业管理办公室为33.43万元。系保障我社机构正常运转，完成日常工作任务而发生的各项支出，包括用于在职人员基本工资，津贴补贴、劳动保险费、遗属人员抚恤费等人员经费，以及办公费、印刷费、水电费、办公设备购置等日常公用经费。</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二）项目支出：2019年项目支出年初预算数为102万元，其中衡南县供销社本级为86万元，衡南县集体商业管理办公室为16万元。系保障我社支持基层组织发展、推进新农村现代流通网络、“万村千乡”、供销网络信息化发展、供销合作发展基金和基层组织建设资金、基层单位及涉军人员维稳等专项支出。</w:t>
      </w:r>
    </w:p>
    <w:p>
      <w:pPr>
        <w:widowControl/>
        <w:spacing w:line="480" w:lineRule="auto"/>
        <w:ind w:firstLine="480" w:firstLineChars="20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五、政府性基金预算</w:t>
      </w:r>
    </w:p>
    <w:p>
      <w:pPr>
        <w:widowControl/>
        <w:spacing w:line="480" w:lineRule="auto"/>
        <w:ind w:firstLine="480" w:firstLineChars="200"/>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本年度本单位无政府性基金预算支出。</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w:t>
      </w:r>
      <w:r>
        <w:rPr>
          <w:rFonts w:hint="eastAsia" w:ascii="微软雅黑" w:hAnsi="微软雅黑" w:eastAsia="微软雅黑" w:cs="宋体"/>
          <w:kern w:val="0"/>
          <w:sz w:val="24"/>
          <w:szCs w:val="24"/>
          <w:lang w:val="en-US" w:eastAsia="zh-CN"/>
        </w:rPr>
        <w:t xml:space="preserve">  六</w:t>
      </w:r>
      <w:r>
        <w:rPr>
          <w:rFonts w:hint="eastAsia" w:ascii="微软雅黑" w:hAnsi="微软雅黑" w:eastAsia="微软雅黑" w:cs="宋体"/>
          <w:kern w:val="0"/>
          <w:sz w:val="24"/>
          <w:szCs w:val="24"/>
        </w:rPr>
        <w:t>、其他重要事项的情况说明</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（一）机关运行经费</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2019年衡南县供销社及集体商业管理办公室的机关运行经费当年一般公共预算拨款15万元，比2019年预算减少3万元，下降16.67％。</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二）“三公”经费预算：2018年“三公”经费预算8.5万元，为公务接待费8.5万元。因公务用车已交公车平台，2019年无公务用车运行维护费、因公出国（境）费。2019年“三公”经费预算较2018年减少5%，进一步压减公务接待费支出。</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（三）政府采购情况</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2019年衡南县供销社政府采购预算总额32.9万元，其中：政府采购货物预算9.9万元、政府采购工程预算10万元（房屋修缮）、政府采购服务预算13万元（会议及印刷服务）。</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四）国有资产占用使用情况说明：截至2018年12月31日，本单位固定资产原值为276.7万元，主要资产为办公楼房、办公电脑、打印机等通用设备和办公桌椅、会议桌椅、文件柜等办公家具。本单位无公务用车，无价值10万以上的专业设备。</w:t>
      </w:r>
    </w:p>
    <w:p>
      <w:pPr>
        <w:widowControl/>
        <w:spacing w:line="480" w:lineRule="auto"/>
        <w:ind w:firstLine="480"/>
        <w:jc w:val="left"/>
        <w:rPr>
          <w:rFonts w:hint="eastAsia" w:ascii="微软雅黑" w:hAnsi="微软雅黑" w:eastAsia="微软雅黑" w:cs="宋体"/>
          <w:kern w:val="0"/>
          <w:sz w:val="24"/>
          <w:szCs w:val="24"/>
        </w:rPr>
      </w:pPr>
      <w:bookmarkStart w:id="3" w:name="_Hlk73775455"/>
      <w:r>
        <w:rPr>
          <w:rFonts w:hint="eastAsia" w:ascii="微软雅黑" w:hAnsi="微软雅黑" w:eastAsia="微软雅黑" w:cs="宋体"/>
          <w:kern w:val="0"/>
          <w:sz w:val="24"/>
          <w:szCs w:val="24"/>
        </w:rPr>
        <w:t>（五）预算绩效目标说明</w:t>
      </w:r>
      <w:bookmarkEnd w:id="3"/>
      <w:r>
        <w:rPr>
          <w:rFonts w:hint="eastAsia" w:ascii="微软雅黑" w:hAnsi="微软雅黑" w:eastAsia="微软雅黑" w:cs="宋体"/>
          <w:kern w:val="0"/>
          <w:sz w:val="24"/>
          <w:szCs w:val="24"/>
        </w:rPr>
        <w:t>：本部门整体支出和项目支出实行绩效目标管理，纳入2019年部门整体支出绩效目标的金额为334.37万元，其中，基本支出232.37万元，项目支出102万元。</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w:t>
      </w:r>
      <w:r>
        <w:rPr>
          <w:rFonts w:hint="eastAsia" w:ascii="微软雅黑" w:hAnsi="微软雅黑" w:eastAsia="微软雅黑" w:cs="宋体"/>
          <w:kern w:val="0"/>
          <w:sz w:val="24"/>
          <w:szCs w:val="24"/>
          <w:lang w:eastAsia="zh-CN"/>
        </w:rPr>
        <w:t>七</w:t>
      </w:r>
      <w:r>
        <w:rPr>
          <w:rFonts w:hint="eastAsia" w:ascii="微软雅黑" w:hAnsi="微软雅黑" w:eastAsia="微软雅黑" w:cs="宋体"/>
          <w:kern w:val="0"/>
          <w:sz w:val="24"/>
          <w:szCs w:val="24"/>
        </w:rPr>
        <w:t>、名词解释</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一）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pPr>
        <w:widowControl/>
        <w:spacing w:line="480" w:lineRule="auto"/>
        <w:jc w:val="left"/>
        <w:rPr>
          <w:rFonts w:ascii="微软雅黑" w:hAnsi="微软雅黑" w:eastAsia="微软雅黑" w:cs="宋体"/>
          <w:kern w:val="0"/>
          <w:sz w:val="24"/>
          <w:szCs w:val="24"/>
        </w:rPr>
      </w:pPr>
      <w:r>
        <w:rPr>
          <w:rFonts w:hint="eastAsia" w:ascii="微软雅黑" w:hAnsi="微软雅黑" w:eastAsia="微软雅黑" w:cs="宋体"/>
          <w:kern w:val="0"/>
          <w:sz w:val="24"/>
          <w:szCs w:val="24"/>
        </w:rPr>
        <w:t>　　（二）“三公”经费：纳入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widowControl/>
        <w:spacing w:line="480" w:lineRule="auto"/>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　</w:t>
      </w:r>
    </w:p>
    <w:p>
      <w:pPr>
        <w:widowControl/>
        <w:spacing w:line="480" w:lineRule="auto"/>
        <w:jc w:val="left"/>
        <w:rPr>
          <w:rFonts w:hint="eastAsia" w:ascii="微软雅黑" w:hAnsi="微软雅黑" w:eastAsia="微软雅黑" w:cs="宋体"/>
          <w:kern w:val="0"/>
          <w:sz w:val="24"/>
          <w:szCs w:val="24"/>
          <w:lang w:eastAsia="zh-CN"/>
        </w:rPr>
      </w:pPr>
      <w:r>
        <w:rPr>
          <w:rFonts w:hint="eastAsia" w:ascii="微软雅黑" w:hAnsi="微软雅黑" w:eastAsia="微软雅黑" w:cs="宋体"/>
          <w:kern w:val="0"/>
          <w:sz w:val="24"/>
          <w:szCs w:val="24"/>
        </w:rPr>
        <w:t>　第二部分：</w:t>
      </w:r>
      <w:r>
        <w:rPr>
          <w:rFonts w:hint="eastAsia" w:ascii="微软雅黑" w:hAnsi="微软雅黑" w:eastAsia="微软雅黑" w:cs="宋体"/>
          <w:kern w:val="0"/>
          <w:sz w:val="24"/>
          <w:szCs w:val="24"/>
          <w:lang w:eastAsia="zh-CN"/>
        </w:rPr>
        <w:t>公开表格</w:t>
      </w:r>
    </w:p>
    <w:p>
      <w:pPr>
        <w:widowControl/>
        <w:spacing w:line="480" w:lineRule="auto"/>
        <w:jc w:val="left"/>
        <w:rPr>
          <w:rFonts w:hint="eastAsia" w:ascii="微软雅黑" w:hAnsi="微软雅黑" w:eastAsia="微软雅黑" w:cs="宋体"/>
          <w:kern w:val="0"/>
          <w:sz w:val="24"/>
          <w:szCs w:val="24"/>
        </w:rPr>
      </w:pPr>
      <w:r>
        <w:rPr>
          <w:rFonts w:hint="eastAsia" w:ascii="微软雅黑" w:hAnsi="微软雅黑" w:eastAsia="微软雅黑" w:cs="宋体"/>
          <w:kern w:val="0"/>
          <w:sz w:val="24"/>
          <w:szCs w:val="24"/>
        </w:rPr>
        <w:t>　附件：</w:t>
      </w:r>
      <w:r>
        <w:rPr>
          <w:rFonts w:hint="eastAsia" w:ascii="微软雅黑" w:hAnsi="微软雅黑" w:eastAsia="微软雅黑" w:cs="宋体"/>
          <w:kern w:val="0"/>
          <w:sz w:val="24"/>
          <w:szCs w:val="24"/>
          <w:lang w:eastAsia="zh-CN"/>
        </w:rPr>
        <w:t>衡南县供销社</w:t>
      </w:r>
      <w:bookmarkStart w:id="4" w:name="_GoBack"/>
      <w:bookmarkEnd w:id="4"/>
      <w:r>
        <w:rPr>
          <w:rFonts w:hint="eastAsia" w:ascii="微软雅黑" w:hAnsi="微软雅黑" w:eastAsia="微软雅黑" w:cs="宋体"/>
          <w:kern w:val="0"/>
          <w:sz w:val="24"/>
          <w:szCs w:val="24"/>
        </w:rPr>
        <w:t>2019年预算公开表（参照市里）-（25张表）</w:t>
      </w:r>
    </w:p>
    <w:p>
      <w:pPr>
        <w:widowControl/>
        <w:spacing w:line="390" w:lineRule="atLeast"/>
        <w:jc w:val="left"/>
        <w:rPr>
          <w:rFonts w:ascii="微软雅黑" w:hAnsi="微软雅黑" w:eastAsia="微软雅黑" w:cs="宋体"/>
          <w:vanish/>
          <w:kern w:val="0"/>
          <w:szCs w:val="21"/>
        </w:rPr>
      </w:pPr>
      <w:r>
        <w:rPr>
          <w:rFonts w:hint="eastAsia" w:ascii="微软雅黑" w:hAnsi="微软雅黑" w:eastAsia="微软雅黑" w:cs="宋体"/>
          <w:vanish/>
          <w:kern w:val="0"/>
          <w:szCs w:val="21"/>
        </w:rPr>
        <w:t>分享到：</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4DD"/>
    <w:rsid w:val="00025982"/>
    <w:rsid w:val="00141BED"/>
    <w:rsid w:val="00274930"/>
    <w:rsid w:val="00277A20"/>
    <w:rsid w:val="002E71B9"/>
    <w:rsid w:val="009C27CA"/>
    <w:rsid w:val="00A24852"/>
    <w:rsid w:val="00AC5B7E"/>
    <w:rsid w:val="00C501A4"/>
    <w:rsid w:val="00CC664E"/>
    <w:rsid w:val="00E154DD"/>
    <w:rsid w:val="00F860EB"/>
    <w:rsid w:val="411D6529"/>
    <w:rsid w:val="533724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12"/>
    <w:qFormat/>
    <w:uiPriority w:val="9"/>
    <w:pPr>
      <w:widowControl/>
      <w:jc w:val="left"/>
      <w:outlineLvl w:val="2"/>
    </w:pPr>
    <w:rPr>
      <w:rFonts w:ascii="宋体" w:hAnsi="宋体" w:eastAsia="宋体" w:cs="宋体"/>
      <w:b/>
      <w:bCs/>
      <w:kern w:val="0"/>
      <w:sz w:val="27"/>
      <w:szCs w:val="27"/>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jc w:val="left"/>
    </w:pPr>
    <w:rPr>
      <w:rFonts w:ascii="微软雅黑" w:hAnsi="微软雅黑" w:eastAsia="微软雅黑" w:cs="宋体"/>
      <w:kern w:val="0"/>
      <w:szCs w:val="21"/>
    </w:rPr>
  </w:style>
  <w:style w:type="character" w:styleId="8">
    <w:name w:val="Strong"/>
    <w:basedOn w:val="7"/>
    <w:qFormat/>
    <w:uiPriority w:val="22"/>
    <w:rPr>
      <w:b/>
      <w:bCs/>
    </w:rPr>
  </w:style>
  <w:style w:type="character" w:styleId="9">
    <w:name w:val="Hyperlink"/>
    <w:basedOn w:val="7"/>
    <w:semiHidden/>
    <w:unhideWhenUsed/>
    <w:qFormat/>
    <w:uiPriority w:val="99"/>
    <w:rPr>
      <w:color w:val="383838"/>
      <w:u w:val="none"/>
    </w:rPr>
  </w:style>
  <w:style w:type="character" w:customStyle="1" w:styleId="10">
    <w:name w:val="页眉 字符"/>
    <w:basedOn w:val="7"/>
    <w:link w:val="4"/>
    <w:qFormat/>
    <w:uiPriority w:val="99"/>
    <w:rPr>
      <w:sz w:val="18"/>
      <w:szCs w:val="18"/>
    </w:rPr>
  </w:style>
  <w:style w:type="character" w:customStyle="1" w:styleId="11">
    <w:name w:val="页脚 字符"/>
    <w:basedOn w:val="7"/>
    <w:link w:val="3"/>
    <w:qFormat/>
    <w:uiPriority w:val="99"/>
    <w:rPr>
      <w:sz w:val="18"/>
      <w:szCs w:val="18"/>
    </w:rPr>
  </w:style>
  <w:style w:type="character" w:customStyle="1" w:styleId="12">
    <w:name w:val="标题 3 字符"/>
    <w:basedOn w:val="7"/>
    <w:link w:val="2"/>
    <w:qFormat/>
    <w:uiPriority w:val="9"/>
    <w:rPr>
      <w:rFonts w:ascii="宋体" w:hAnsi="宋体" w:eastAsia="宋体" w:cs="宋体"/>
      <w:b/>
      <w:bCs/>
      <w:kern w:val="0"/>
      <w:sz w:val="27"/>
      <w:szCs w:val="27"/>
    </w:rPr>
  </w:style>
  <w:style w:type="paragraph" w:customStyle="1" w:styleId="13">
    <w:name w:val="header_text_left"/>
    <w:basedOn w:val="1"/>
    <w:qFormat/>
    <w:uiPriority w:val="0"/>
    <w:pPr>
      <w:widowControl/>
      <w:jc w:val="left"/>
    </w:pPr>
    <w:rPr>
      <w:rFonts w:ascii="微软雅黑" w:hAnsi="微软雅黑" w:eastAsia="微软雅黑" w:cs="宋体"/>
      <w:kern w:val="0"/>
      <w:szCs w:val="21"/>
    </w:rPr>
  </w:style>
  <w:style w:type="paragraph" w:customStyle="1" w:styleId="14">
    <w:name w:val="header_text_right"/>
    <w:basedOn w:val="1"/>
    <w:qFormat/>
    <w:uiPriority w:val="0"/>
    <w:pPr>
      <w:widowControl/>
      <w:jc w:val="left"/>
    </w:pPr>
    <w:rPr>
      <w:rFonts w:ascii="微软雅黑" w:hAnsi="微软雅黑" w:eastAsia="微软雅黑" w:cs="宋体"/>
      <w:kern w:val="0"/>
      <w:szCs w:val="21"/>
    </w:rPr>
  </w:style>
  <w:style w:type="paragraph" w:customStyle="1" w:styleId="15">
    <w:name w:val="HTML Top of Form"/>
    <w:basedOn w:val="1"/>
    <w:next w:val="1"/>
    <w:link w:val="16"/>
    <w:semiHidden/>
    <w:unhideWhenUsed/>
    <w:uiPriority w:val="99"/>
    <w:pPr>
      <w:widowControl/>
      <w:pBdr>
        <w:bottom w:val="single" w:color="auto" w:sz="6" w:space="1"/>
      </w:pBdr>
      <w:jc w:val="center"/>
    </w:pPr>
    <w:rPr>
      <w:rFonts w:ascii="Arial" w:hAnsi="Arial" w:eastAsia="宋体" w:cs="Arial"/>
      <w:vanish/>
      <w:kern w:val="0"/>
      <w:sz w:val="16"/>
      <w:szCs w:val="16"/>
    </w:rPr>
  </w:style>
  <w:style w:type="character" w:customStyle="1" w:styleId="16">
    <w:name w:val="z-窗体顶端 字符"/>
    <w:basedOn w:val="7"/>
    <w:link w:val="15"/>
    <w:semiHidden/>
    <w:uiPriority w:val="99"/>
    <w:rPr>
      <w:rFonts w:ascii="Arial" w:hAnsi="Arial" w:eastAsia="宋体" w:cs="Arial"/>
      <w:vanish/>
      <w:kern w:val="0"/>
      <w:sz w:val="16"/>
      <w:szCs w:val="16"/>
    </w:rPr>
  </w:style>
  <w:style w:type="paragraph" w:customStyle="1" w:styleId="17">
    <w:name w:val="HTML Bottom of Form"/>
    <w:basedOn w:val="1"/>
    <w:next w:val="1"/>
    <w:link w:val="18"/>
    <w:semiHidden/>
    <w:unhideWhenUsed/>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18">
    <w:name w:val="z-窗体底端 字符"/>
    <w:basedOn w:val="7"/>
    <w:link w:val="17"/>
    <w:semiHidden/>
    <w:qFormat/>
    <w:uiPriority w:val="99"/>
    <w:rPr>
      <w:rFonts w:ascii="Arial" w:hAnsi="Arial" w:eastAsia="宋体" w:cs="Arial"/>
      <w:vanish/>
      <w:kern w:val="0"/>
      <w:sz w:val="16"/>
      <w:szCs w:val="16"/>
    </w:rPr>
  </w:style>
  <w:style w:type="character" w:customStyle="1" w:styleId="19">
    <w:name w:val="source_span"/>
    <w:basedOn w:val="7"/>
    <w:qFormat/>
    <w:uiPriority w:val="0"/>
    <w:rPr>
      <w:rFonts w:hint="eastAsia" w:ascii="微软雅黑" w:hAnsi="微软雅黑" w:eastAsia="微软雅黑"/>
      <w:sz w:val="21"/>
      <w:szCs w:val="21"/>
      <w:u w:val="none"/>
    </w:rPr>
  </w:style>
  <w:style w:type="character" w:customStyle="1" w:styleId="20">
    <w:name w:val="zh01"/>
    <w:basedOn w:val="7"/>
    <w:qFormat/>
    <w:uiPriority w:val="0"/>
    <w:rPr>
      <w:rFonts w:hint="eastAsia" w:ascii="微软雅黑" w:hAnsi="微软雅黑" w:eastAsia="微软雅黑"/>
      <w:sz w:val="21"/>
      <w:szCs w:val="21"/>
      <w:u w:val="none"/>
    </w:rPr>
  </w:style>
  <w:style w:type="character" w:customStyle="1" w:styleId="21">
    <w:name w:val="zh02"/>
    <w:basedOn w:val="7"/>
    <w:qFormat/>
    <w:uiPriority w:val="0"/>
    <w:rPr>
      <w:rFonts w:hint="eastAsia" w:ascii="微软雅黑" w:hAnsi="微软雅黑" w:eastAsia="微软雅黑"/>
      <w:sz w:val="21"/>
      <w:szCs w:val="21"/>
      <w:u w:val="none"/>
    </w:rPr>
  </w:style>
  <w:style w:type="character" w:customStyle="1" w:styleId="22">
    <w:name w:val="zh03"/>
    <w:basedOn w:val="7"/>
    <w:qFormat/>
    <w:uiPriority w:val="0"/>
    <w:rPr>
      <w:rFonts w:hint="eastAsia" w:ascii="微软雅黑" w:hAnsi="微软雅黑" w:eastAsia="微软雅黑"/>
      <w:sz w:val="21"/>
      <w:szCs w:val="21"/>
      <w:u w:val="none"/>
    </w:rPr>
  </w:style>
  <w:style w:type="paragraph" w:customStyle="1" w:styleId="23">
    <w:name w:val="filelink"/>
    <w:basedOn w:val="1"/>
    <w:qFormat/>
    <w:uiPriority w:val="0"/>
    <w:pPr>
      <w:widowControl/>
      <w:jc w:val="left"/>
    </w:pPr>
    <w:rPr>
      <w:rFonts w:ascii="微软雅黑" w:hAnsi="微软雅黑" w:eastAsia="微软雅黑" w:cs="宋体"/>
      <w:kern w:val="0"/>
      <w:szCs w:val="21"/>
    </w:rPr>
  </w:style>
  <w:style w:type="character" w:customStyle="1" w:styleId="24">
    <w:name w:val="bdselect_share_dialog_search_span1"/>
    <w:basedOn w:val="7"/>
    <w:qFormat/>
    <w:uiPriority w:val="0"/>
    <w:rPr>
      <w:rFonts w:hint="eastAsia" w:ascii="微软雅黑" w:hAnsi="微软雅黑" w:eastAsia="微软雅黑"/>
      <w:b/>
      <w:bCs/>
      <w:color w:val="626262"/>
      <w:sz w:val="18"/>
      <w:szCs w:val="18"/>
      <w:u w:val="none"/>
    </w:rPr>
  </w:style>
  <w:style w:type="paragraph" w:styleId="2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453</Words>
  <Characters>2584</Characters>
  <Lines>21</Lines>
  <Paragraphs>6</Paragraphs>
  <TotalTime>3</TotalTime>
  <ScaleCrop>false</ScaleCrop>
  <LinksUpToDate>false</LinksUpToDate>
  <CharactersWithSpaces>3031</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2021-06-05T00:40:00Z</dcterms:created>
  <dc:creator>x w</dc:creator>
  <cp:lastModifiedBy>Administrator</cp:lastModifiedBy>
  <dcterms:modified xsi:type="dcterms:W3CDTF">2021-06-24T08:46:32Z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A267C850E919475CAFDBD5E834AC5432</vt:lpwstr>
  </property>
</Properties>
</file>