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2019年度</w:t>
      </w:r>
    </w:p>
    <w:p>
      <w:pPr>
        <w:pStyle w:val="10"/>
        <w:jc w:val="center"/>
        <w:rPr>
          <w:sz w:val="84"/>
          <w:szCs w:val="84"/>
        </w:rPr>
      </w:pPr>
      <w:r>
        <w:rPr>
          <w:rFonts w:hint="eastAsia"/>
          <w:sz w:val="84"/>
          <w:szCs w:val="84"/>
        </w:rPr>
        <w:t>衡南县商务和粮食局部门决算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spacing w:line="540" w:lineRule="exact"/>
        <w:jc w:val="center"/>
        <w:rPr>
          <w:sz w:val="56"/>
          <w:szCs w:val="56"/>
        </w:rPr>
      </w:pPr>
    </w:p>
    <w:p>
      <w:pPr>
        <w:pStyle w:val="10"/>
        <w:spacing w:line="520" w:lineRule="exact"/>
        <w:jc w:val="center"/>
        <w:rPr>
          <w:sz w:val="56"/>
          <w:szCs w:val="56"/>
        </w:rPr>
      </w:pPr>
      <w:r>
        <w:rPr>
          <w:rFonts w:hint="eastAsia"/>
          <w:sz w:val="56"/>
          <w:szCs w:val="56"/>
        </w:rPr>
        <w:t>目录</w:t>
      </w:r>
    </w:p>
    <w:p>
      <w:pPr>
        <w:pStyle w:val="10"/>
        <w:spacing w:line="520" w:lineRule="exact"/>
        <w:rPr>
          <w:rFonts w:ascii="仿宋_GB2312" w:hAnsi="仿宋_GB2312" w:cs="仿宋_GB2312"/>
          <w:b/>
          <w:sz w:val="28"/>
          <w:szCs w:val="28"/>
        </w:rPr>
      </w:pPr>
      <w:r>
        <w:rPr>
          <w:rFonts w:hint="eastAsia"/>
          <w:b/>
          <w:sz w:val="28"/>
          <w:szCs w:val="28"/>
        </w:rPr>
        <w:t>第一部分衡南县商务和粮食局概况</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rPr>
        <w:t>衡南县商务和粮食局概况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部门职责</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一）贯彻执行有关国内外贸易、国际经济合作、区域经济合作和粮食宏观调控的发展战略、政策，拟订全县国内外贸易、招商引资、承接产业转移、对外援助、对外投资、对外经济合作和粮食流通业的中长期规划、政策措施和实施办法，研究提出经济全球化、区域经济合作、现代流通方式的发展趋势和流通体制改革的建议。</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二）推进流通产业结构调整，指导流通企业改革，促进商贸服务业、社区商业和粮食产业发展，研究提出促进商贸中小企业发展的政策建议，推动流通标准化和连锁经营、商业特许经营、物流配送、电子商务等现代流通方式的发展；拟订粮食流通体制改革方案并组织实施，推动国有粮食企业改革。</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三）拟订全县国内贸易发展规划，促进城乡市场发展，研究提出引导国内外资金投向市场体系建设的政策建议，规范商业投资的准入程序，研究拟订全县商品市场、商业网点、物流设施建设发展规范并组织实施；指导大宗产品批发市场规划和城市商业网点规划、商业体系建设工作，推进农村市场体系建设，组织实施农村现代流通网络工程。</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四）牵头协调整顿和规范市场经济秩序工作，拟订规范市场秩序的政策；协调全县消除地区封锁、打破行业垄断的有关工作，规范商贸企业交易行为；推动商务领域信用建设，指导商业信用销售，建立市场诚信公共服务平台；按有关规定对特殊流通行业进行监督管理；组织实施粮食流通、粮食库存监督检查制度，负责对粮食收购、储存环节的粮食质量安全和原粮卫生进行监督管理。</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五）承担组织实施重要消费品市场调控和重要生产资料流通管理的责任，负责建立健全生活必需品供应应急管理机制，监测分析市场运行、商品供求状况，调查分析商品价格信息，进行预测预警和信息引导；按分工负责重要消费品储备管理和市场调控工作；按有关规定对成品油流通进行监督管理；负责全县粮食流通宏观调控的具体工作，承担粮食监测预警或应急责任，指导协调最低收购价等政策性粮食购销和粮食产、购、销合作，保障军队粮食供应。</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（六）贯彻落实国家、省、市粮食质量标准，提出粮食收购市场准入标准建议；负责实施粮食收购行政许可的有关行政管理，指导粮食流通的科技进步、技术改造和新技术推广。</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七）承担县级储备粮（油）行政管理责任，会同有关部门研究提出县级储备粮（油）的规模、总体布局、购销计划以及提出动用储备粮（油）的建议；会同有关部门审批县级储备粮（油）轮换计划并监督实施，监督检查县级储备粮（油）的数量、质量和储存安全，制定县级储备粮（油）管理的技术规范并监督执行。</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八）贯彻执行国家进出口商品、加工贸易管理办法和进出口管理商品、技术目录；拟订促进外贸增长方式转变的政策措施；组织实施重要工业品、原材料和重要农产品进出口计划；指导、协调全县各类进出口企业的进出口业务和加工贸易业务，指导对外贸易促进活动和对外贸易促进体系建设。</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九）贯彻执行国家对外技术贸易、出口管制以及鼓励技术和成套设备进出口的贸易政策；负责协调管理内外贸易科技发展和技术进出口，协调全县高新技术产品出口、出口市场的开拓和技术出品的管理工作；依法监督管理全县技术进出口工作。</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（十）牵头拟订服务贸易发展规划并开展相关工作；会同有关部门制定促进服务出口、服务外包的规划、政策并组织实施，推动服务外包平台建设。</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十一）牵头承担全县商务领域涉及世界贸易组织事务的相关工作；负责组织协调反倾销、反补贴、保障措施及其他与进出口公平贸易相关的工作，协助开展对外贸调查和产业损害调查，指导协调产业安全应对工作；协助对经营者集中行为进行反垄断审查，指导企业在国外的反垄断应诉工作。</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十二）指导全县招商引资和承接产业转移工作，拟订并组织实施招商引资和承接产业转移政策；依法核准外商投资企业的设立及变更事项；依法核准重大外商投资项目的合同章程及法律特别规定的重大变更事项；依法监督检查外商投资企业执行有关法律法规规章、合同章程的情况并协调解决有关问题；指导投资促进及全县外商投资企业审批工作，规范招商引资活动；指导国家级、省级经济技术开发区（工业集中区）的有关工作。</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十三）负责组织参与商务部、省、市政府举办的内外贸易促销活动和招商引资、对外经济技术合作活动；负责组织、指导、协调以衡南县名义在境内外举办的各种内外贸易交易会、展览会、展销会和招商引资等商务活动。</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十四）负责全县对外经济合作工作，拟订并组织实施全县对外经济合作的政策措施和管理办法；指导对外承包工程、对外劳务合作等对外经济合作业务；负责牵头外派劳务和境外就业人员的权益保护工作；协调管理全县承担的对外援助项目等。</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（十五）贯彻执行国家对香港、澳门特别行政区和台湾地区的经贸规划、政策，指导我县对港、澳、台地区贸易和经贸合作活动，协调港、澳、台商投资管理工作。</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（十六）承担全县商务和粮食系统统计及其信息发布工作，提供信息咨询服务，指导全县流通领域信息网络和电子商务建设。</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（十七）负责对职责范围内有关行业、领域（包括商业贸易等）的安全生产工作实施监督管理。</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（十八）承办县人民政府交办的其他事项。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pacing w:line="600" w:lineRule="exact"/>
        <w:ind w:firstLine="640" w:firstLineChars="200"/>
        <w:rPr>
          <w:rFonts w:asciiTheme="minorEastAsia" w:hAnsiTheme="minorEastAsia"/>
          <w:sz w:val="32"/>
        </w:rPr>
      </w:pPr>
      <w:r>
        <w:rPr>
          <w:rFonts w:hint="eastAsia" w:asciiTheme="minorEastAsia" w:hAnsiTheme="minorEastAsia"/>
          <w:bCs/>
          <w:kern w:val="0"/>
          <w:sz w:val="32"/>
          <w:szCs w:val="32"/>
        </w:rPr>
        <w:t>（一）内设机构设置。衡南县商务和粮食局内设机构包括：</w:t>
      </w:r>
      <w:r>
        <w:rPr>
          <w:rFonts w:hint="eastAsia" w:asciiTheme="minorEastAsia" w:hAnsiTheme="minorEastAsia"/>
          <w:sz w:val="32"/>
          <w:szCs w:val="32"/>
        </w:rPr>
        <w:t>办公室、信访室、财务股、市场运行和消费促进股、市场建设和市场秩序股、电子商务股、粮食调控股、粮食行业发展股、粮食监督检查股、外经外贸管理股、投资管理股、法规和国际经贸关系股、行政审批服务股、企业管理股、人事股</w:t>
      </w:r>
      <w:r>
        <w:rPr>
          <w:rFonts w:hint="eastAsia" w:asciiTheme="minorEastAsia" w:hAnsiTheme="minorEastAsia"/>
          <w:sz w:val="32"/>
        </w:rPr>
        <w:t>。</w:t>
      </w:r>
    </w:p>
    <w:p>
      <w:pPr>
        <w:widowControl/>
        <w:spacing w:line="600" w:lineRule="exact"/>
        <w:rPr>
          <w:rFonts w:asciiTheme="minorEastAsia" w:hAnsiTheme="minorEastAsia"/>
          <w:bCs/>
          <w:kern w:val="0"/>
          <w:sz w:val="32"/>
          <w:szCs w:val="32"/>
        </w:rPr>
      </w:pP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（二）决算单位构成。衡南县商务和粮食局</w:t>
      </w:r>
      <w:r>
        <w:rPr>
          <w:rFonts w:asciiTheme="minorEastAsia" w:hAnsiTheme="minorEastAsia"/>
          <w:bCs/>
          <w:kern w:val="0"/>
          <w:sz w:val="32"/>
          <w:szCs w:val="32"/>
        </w:rPr>
        <w:t>2019</w:t>
      </w:r>
      <w:r>
        <w:rPr>
          <w:rFonts w:hint="eastAsia" w:asciiTheme="minorEastAsia" w:hAnsiTheme="minorEastAsia"/>
          <w:bCs/>
          <w:kern w:val="0"/>
          <w:sz w:val="32"/>
          <w:szCs w:val="32"/>
        </w:rPr>
        <w:t>年部门决算汇总公开单位构成包括：衡南县商务和粮食局本级及衡南县粮油服务中心。</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r>
        <w:rPr>
          <w:rFonts w:hint="eastAsia"/>
          <w:sz w:val="72"/>
          <w:szCs w:val="72"/>
        </w:rPr>
        <w:t>(部门决算公示表附后)</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2019</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 年度收、支总计1482.34万元。与2018年相比，减少206.88万元，减少12.25%，主要是因为工作经费的节约、人员的退休，减少开支。</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本年收入合计1482.34万元，其中：财政拨款收入1482.34万元，占100%；上级补助收入0万元，占0%；事业收入0万元，占0%；经营收入0万元，占0%；附属单位上缴收入0万元，占0%；其他收入0万元，占0%。</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本年支出合计1482.34万元，其中：基本支出1077.39万元，占72.68%；项目支出404.95万元，占27.32%；上缴上级支出0万元，占0%；经营支出0万元，占0%；对附属单位补助支出0万元，占0%。</w:t>
      </w:r>
    </w:p>
    <w:p>
      <w:pPr>
        <w:pStyle w:val="10"/>
        <w:rPr>
          <w:rFonts w:hAnsi="黑体"/>
          <w:b/>
          <w:sz w:val="32"/>
          <w:szCs w:val="32"/>
        </w:rPr>
      </w:pPr>
      <w:r>
        <w:rPr>
          <w:rFonts w:hint="eastAsia" w:hAnsi="黑体"/>
          <w:b/>
          <w:sz w:val="32"/>
          <w:szCs w:val="32"/>
        </w:rPr>
        <w:t>四、财政拨款收入支出决算总体情况说明</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2019年度财政拨款收、支总计1482.34万元，与2018年相比，减少206.88万元,减少12.25%，主要是因为工作经费的节约、人员的退休，减少开支。</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2019年度财政拨款支出1482.34万元，占本年支出合计的100%，与2018年相比，财政拨款支出减少206.88万元，增长（减少）12.25%，主要是因为工作经费的节约、人员的退休，减少开支。</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2019年度财政拨款支出1482.34万元，主要用于以下方面：一般公共服务（类）支出786.07万元，占53.03%；社会保障和就业支出181.7万元，占12.26%;卫生健康支出33.35万元</w:t>
      </w:r>
      <w:r>
        <w:rPr>
          <w:rFonts w:asciiTheme="minorEastAsia" w:hAnsiTheme="minorEastAsia" w:eastAsiaTheme="minorEastAsia"/>
          <w:sz w:val="32"/>
          <w:szCs w:val="32"/>
        </w:rPr>
        <w:t>,</w:t>
      </w:r>
      <w:r>
        <w:rPr>
          <w:rFonts w:hint="eastAsia" w:asciiTheme="minorEastAsia" w:hAnsiTheme="minorEastAsia" w:eastAsiaTheme="minorEastAsia"/>
          <w:sz w:val="32"/>
          <w:szCs w:val="32"/>
        </w:rPr>
        <w:t>占2.25%；资源勘探信息等支出38万元，占2.56%；住房保障支出56.87万元，占3.84%；粮油物资储备支出200.76万元，13.54%；其他支出185.59万元，占12.52%。</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2019年度财政拨款支出年初预算数为1142.85万元，支出决算数为1482.34万元，完成年初预算的129.71%，其中：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1、一般公共服务（类）商贸事务（款）行政运行（项）。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年初预算为642.53万元，支出决算为786.07万元，完成年初预算的122.34%，决算数大于年初预算数的主要原因是：</w:t>
      </w:r>
      <w:r>
        <w:rPr>
          <w:rFonts w:asciiTheme="minorEastAsia" w:hAnsiTheme="minorEastAsia" w:eastAsiaTheme="minorEastAsia"/>
          <w:sz w:val="32"/>
          <w:szCs w:val="32"/>
        </w:rPr>
        <w:t>人员经费</w:t>
      </w:r>
      <w:r>
        <w:rPr>
          <w:rFonts w:hint="eastAsia" w:asciiTheme="minorEastAsia" w:hAnsiTheme="minorEastAsia" w:eastAsiaTheme="minorEastAsia"/>
          <w:sz w:val="32"/>
          <w:szCs w:val="32"/>
        </w:rPr>
        <w:t>预算不足</w:t>
      </w:r>
      <w:r>
        <w:rPr>
          <w:rFonts w:eastAsia="仿宋_GB2312"/>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2、一般公共服务（类）商贸事务（款）其他商贸事务支出（项）。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年初预算为95万元，支出决算为95万元，完成年初预算的100%。</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3、社会保障和就业支出（类）行政事业单位离退休（款）机关事业单位基本养老保险缴费支出（项）。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年初预算为164.75万元，支出决算为102.05万元，完成年初预算的61.94%，决算数小于年初预算数的主要原因是：职业年金由财政与人社结算。</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4、社会保障和就业支出（类）抚恤（款）死亡抚恤（项）。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年初预算为0万元，支出决算为47.56万元，决算数大于年初预算数的主要原因是：年中突发事件，追加支出。</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5、社会保障和就业支出（类）抚恤（款）其他优抚支出（项）。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年初预算为12.33万元，支出决算为24.66万元，完成年初预算的200%，决算数大于年初预算数的主要原因是：粮食企业改制，人员繁多，预算不足。</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6、社会保障和就业支出（类）财政对基本养老保险基金的补助（款）财政对城乡基本养老保险基金的补助（项）。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年初预算为5.84万元，支出决算为7.42万元，完成年初预算的127.05%，决算数大于年初预算数的主要原因是：年初预算差额、自费编制没有足额列入预算。。</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7、卫生健康支出（类）行政事业单位医疗（款）行政单位医疗（项）。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年初预算为21.7万元，支出决算为26.24万元，完成年初预算的120.92%，决算数大于年初预算数的主要原因是：年初预算差额、自费编制没有足额列入预算。</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8、卫生健康支出（类）行政事业单位医疗（款）事业单位医疗（项）。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年初预算为5.89万元，支出决算为7.11万元，完成年初预算的120.92%，决算数大于年初预算数的主要原因是：年初预算差额、自费编制没有足额列入预算。</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9、住房保障支出（类）住房改革支出（款）住房公积金（项）。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年初预算为32.61万元，支出决算为56.87万元，完成年初预算的174.39%，决算数大于年初预算数的主要原因是：预算不足。</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10、粮油物资储备支出（类）粮油事务（款）行政运行（项）。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年初预算为102.2万元，支出决算为114.4万元，完成年初预算的111.93%，决算数大于年初预算数的主要原因是：工作量大，预算存在缺口。</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11、粮油物资储备支出（类）粮油事务（款）其他粮油事务支出（项）。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年初预算为60万元，支出决算为86.36万元，完成年初预算的143.93%，决算数大于年初预算数的主要原因是：工作量大，预算存在缺口。</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12、资源勘探信息等支出（类）支持中小企业发展和管理支出（款）其他支持中小企业发展和管理支出（项）。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年初预算为0万元，支出决算为38万元，决算数大于年初预算数的主要原因是：此项目未列预算。</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13、其他支出（类</w:t>
      </w:r>
      <w:r>
        <w:rPr>
          <w:rFonts w:asciiTheme="minorEastAsia" w:hAnsiTheme="minorEastAsia" w:eastAsiaTheme="minorEastAsia"/>
          <w:sz w:val="32"/>
          <w:szCs w:val="32"/>
        </w:rPr>
        <w:t>）</w:t>
      </w:r>
      <w:r>
        <w:rPr>
          <w:rFonts w:hint="eastAsia" w:asciiTheme="minorEastAsia" w:hAnsiTheme="minorEastAsia" w:eastAsiaTheme="minorEastAsia"/>
          <w:sz w:val="32"/>
          <w:szCs w:val="32"/>
        </w:rPr>
        <w:t>其他支出（款）其他支出（项）。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年初预算为0万元，支出决算为185.59万元，决算数大于年初预算数的主要原因是：单位多项工作如扶贫等未列预算。</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960" w:firstLineChars="3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1077.39万元，其中：人员经费844.99万元，占基本支出的78.43%,主要包括基本工资、津贴补贴、奖金、伙食补助费、绩效工资、机关事业单位基本养老保险缴费、职业年金缴费、职工基本医疗补助缴费、公务员医疗保障缴费、其他工资福利及对个人和家庭的补助等；公用经费232.4万元，占基本支出的21.57%，主要包括办公费、印刷费、咨询费、手续费、水电费、差旅费、维修费、会议费、公务接待费、劳务费、工会经费、公务用车运行维护费、委托业务费等。</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“三公”经费财政拨款支出预算为30万元，支出决算为40.26万元，完成预算的134.2%，其中：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因公出国（境）费支出此项目2019年无发生额。</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公务接待费支出预算为21万元，支出决算为31.88万元，完成预算的151.81%，决算数大于年初预算数的主要原因是预算不足</w:t>
      </w:r>
      <w:r>
        <w:rPr>
          <w:rFonts w:hint="eastAsia" w:eastAsia="仿宋_GB2312"/>
          <w:sz w:val="32"/>
          <w:szCs w:val="32"/>
        </w:rPr>
        <w:t>；</w:t>
      </w:r>
      <w:r>
        <w:rPr>
          <w:rFonts w:hint="eastAsia" w:asciiTheme="minorEastAsia" w:hAnsiTheme="minorEastAsia" w:eastAsiaTheme="minorEastAsia"/>
          <w:sz w:val="32"/>
          <w:szCs w:val="32"/>
        </w:rPr>
        <w:t>与上年相比增加23.59万元，增长284.56%,增长的主要原因是对2018年帐务的调整。</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公务用车购置费及运行维护费支出预算为9万元，支出决算为8.38万元，完成预算的93.11%，决算数小于年初预算数的主要原因是</w:t>
      </w:r>
      <w:r>
        <w:rPr>
          <w:rFonts w:asciiTheme="minorEastAsia" w:hAnsiTheme="minorEastAsia" w:eastAsiaTheme="minorEastAsia"/>
          <w:sz w:val="32"/>
          <w:szCs w:val="32"/>
        </w:rPr>
        <w:t>我</w:t>
      </w:r>
      <w:r>
        <w:rPr>
          <w:rFonts w:hint="eastAsia" w:asciiTheme="minorEastAsia" w:hAnsiTheme="minorEastAsia" w:eastAsiaTheme="minorEastAsia"/>
          <w:sz w:val="32"/>
          <w:szCs w:val="32"/>
        </w:rPr>
        <w:t>单位</w:t>
      </w:r>
      <w:r>
        <w:rPr>
          <w:rFonts w:asciiTheme="minorEastAsia" w:hAnsiTheme="minorEastAsia" w:eastAsiaTheme="minorEastAsia"/>
          <w:sz w:val="32"/>
          <w:szCs w:val="32"/>
        </w:rPr>
        <w:t>认真贯彻落实中央“八项规定”精神，严格厉行节约，从严</w:t>
      </w:r>
      <w:r>
        <w:rPr>
          <w:rFonts w:hint="eastAsia" w:asciiTheme="minorEastAsia" w:hAnsiTheme="minorEastAsia" w:eastAsiaTheme="minorEastAsia"/>
          <w:sz w:val="32"/>
          <w:szCs w:val="32"/>
        </w:rPr>
        <w:t>从紧</w:t>
      </w:r>
      <w:r>
        <w:rPr>
          <w:rFonts w:asciiTheme="minorEastAsia" w:hAnsiTheme="minorEastAsia" w:eastAsiaTheme="minorEastAsia"/>
          <w:sz w:val="32"/>
          <w:szCs w:val="32"/>
        </w:rPr>
        <w:t>控制“三公”经费开支</w:t>
      </w:r>
      <w:r>
        <w:rPr>
          <w:rFonts w:hint="eastAsia" w:asciiTheme="minorEastAsia" w:hAnsiTheme="minorEastAsia" w:eastAsiaTheme="minorEastAsia"/>
          <w:sz w:val="32"/>
          <w:szCs w:val="32"/>
        </w:rPr>
        <w:t>，与上年增加8.38万元，增长100%,增长的主要原因是对2018年帐务的调整。</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2019年度“三公”经费财政拨款支出决算中，公务接待费支出决算31.88万元，占79.19%,因公出国（境）费支出决算0万元，占0%,公务用车购置费及运行维护费支出决算8.38万元，占20.81%。其中：</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2、公务接待费支出决算为31.88万元，全年共接待来访团组55个、来宾550人次，主要是县粮食法人代表会议、粮食企业收储会议、社零企业统计等发生的接待支出。</w:t>
      </w:r>
    </w:p>
    <w:p>
      <w:pPr>
        <w:ind w:firstLine="800" w:firstLineChars="250"/>
        <w:rPr>
          <w:rFonts w:hint="eastAsia"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8.38万元，其中公务用车运行维护费8.38万元，主要是下乡扶贫租车、出差租车支出，截至2019年12月31日，本单位共有车辆0辆，其中：特种专业技术用车0辆。单位价值50万元以上通用设备0台（套）；单位价值100万元以上专用设备0台（套）。</w:t>
      </w:r>
    </w:p>
    <w:p>
      <w:pPr>
        <w:pStyle w:val="10"/>
        <w:rPr>
          <w:rFonts w:hAnsi="黑体"/>
          <w:b/>
          <w:sz w:val="32"/>
          <w:szCs w:val="32"/>
        </w:rPr>
      </w:pPr>
      <w:r>
        <w:rPr>
          <w:rFonts w:hint="eastAsia" w:hAnsi="黑体"/>
          <w:b/>
          <w:sz w:val="32"/>
          <w:szCs w:val="32"/>
        </w:rPr>
        <w:t>八、政府性基金预算收入支出决算情况</w:t>
      </w:r>
    </w:p>
    <w:p>
      <w:pPr>
        <w:pStyle w:val="1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本单位无政府性基金收支。</w:t>
      </w:r>
    </w:p>
    <w:p>
      <w:pPr>
        <w:pStyle w:val="10"/>
        <w:rPr>
          <w:rFonts w:hAnsi="黑体"/>
          <w:b/>
          <w:sz w:val="32"/>
          <w:szCs w:val="32"/>
        </w:rPr>
      </w:pPr>
      <w:r>
        <w:rPr>
          <w:rFonts w:hint="eastAsia" w:hAnsi="黑体"/>
          <w:b/>
          <w:sz w:val="32"/>
          <w:szCs w:val="32"/>
        </w:rPr>
        <w:t>九、关于2019年度预算绩效情况说明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见附件绩效评价报告。</w:t>
      </w:r>
    </w:p>
    <w:p>
      <w:pPr>
        <w:pStyle w:val="10"/>
        <w:rPr>
          <w:rFonts w:hAnsi="黑体"/>
          <w:b/>
          <w:sz w:val="32"/>
          <w:szCs w:val="32"/>
        </w:rPr>
      </w:pPr>
      <w:r>
        <w:rPr>
          <w:rFonts w:hint="eastAsia" w:hAnsi="黑体"/>
          <w:b/>
          <w:sz w:val="32"/>
          <w:szCs w:val="32"/>
        </w:rPr>
        <w:t>十、其他重要事项情况说明</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本部门2019 年度机关运行经费支出232.4万元，比年初预算数增加220.4万元。主要原因是</w:t>
      </w:r>
      <w:r>
        <w:rPr>
          <w:rFonts w:hint="eastAsia" w:cs="黑体" w:asciiTheme="minorEastAsia" w:hAnsiTheme="minorEastAsia"/>
          <w:color w:val="000000"/>
          <w:kern w:val="0"/>
          <w:sz w:val="32"/>
          <w:szCs w:val="32"/>
          <w:lang w:eastAsia="zh-CN"/>
        </w:rPr>
        <w:t>节约非必要财政支出</w:t>
      </w:r>
      <w:r>
        <w:rPr>
          <w:rFonts w:hint="eastAsia" w:cs="黑体" w:asciiTheme="minorEastAsia" w:hAnsiTheme="minorEastAsia"/>
          <w:color w:val="000000"/>
          <w:kern w:val="0"/>
          <w:sz w:val="32"/>
          <w:szCs w:val="32"/>
        </w:rPr>
        <w:t>。</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2019年本部门开支会议费2.2万元，用于召开</w:t>
      </w:r>
      <w:r>
        <w:rPr>
          <w:rFonts w:hint="eastAsia" w:asciiTheme="minorEastAsia" w:hAnsiTheme="minorEastAsia"/>
          <w:sz w:val="32"/>
          <w:szCs w:val="32"/>
        </w:rPr>
        <w:t>粮食法人代表会议、粮食企业收储会议、社零企业统计等</w:t>
      </w:r>
      <w:r>
        <w:rPr>
          <w:rFonts w:hint="eastAsia" w:cs="黑体" w:asciiTheme="minorEastAsia" w:hAnsiTheme="minorEastAsia"/>
          <w:color w:val="000000"/>
          <w:kern w:val="0"/>
          <w:sz w:val="32"/>
          <w:szCs w:val="32"/>
        </w:rPr>
        <w:t>会议，人数550人，内容为</w:t>
      </w:r>
      <w:r>
        <w:rPr>
          <w:rFonts w:hint="eastAsia" w:asciiTheme="minorEastAsia" w:hAnsiTheme="minorEastAsia"/>
          <w:sz w:val="32"/>
          <w:szCs w:val="32"/>
        </w:rPr>
        <w:t>粮食法人代表会议、粮食企业收储会议、社零企业统计等</w:t>
      </w:r>
      <w:r>
        <w:rPr>
          <w:rFonts w:hint="eastAsia" w:cs="黑体" w:asciiTheme="minorEastAsia" w:hAnsiTheme="minorEastAsia"/>
          <w:color w:val="000000"/>
          <w:kern w:val="0"/>
          <w:sz w:val="32"/>
          <w:szCs w:val="32"/>
        </w:rPr>
        <w:t>；举办衡南县集中开工、竣工、签约、衡南县中商会成立大型会议等活动，开支17.8万元，主要是企业集中开工、竣工、签约仪式等。</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cs="黑体" w:asciiTheme="minorEastAsia" w:hAnsiTheme="minorEastAsia"/>
          <w:i/>
          <w:color w:val="FF0000"/>
          <w:kern w:val="0"/>
          <w:sz w:val="32"/>
          <w:szCs w:val="32"/>
        </w:rPr>
      </w:pPr>
      <w:r>
        <w:rPr>
          <w:rFonts w:hint="eastAsia" w:cs="黑体" w:asciiTheme="minorEastAsia" w:hAnsiTheme="minorEastAsia"/>
          <w:color w:val="000000"/>
          <w:kern w:val="0"/>
          <w:sz w:val="32"/>
          <w:szCs w:val="32"/>
        </w:rPr>
        <w:t>本部门2019年度政府采购支出总额2.48万元，其中：政府采购货物支出2.48万元。授予中小企业合同金额2.48万元，占政府采购支出总额的100%。</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800" w:firstLineChars="25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此项目内容2019年度没有发生额。</w:t>
      </w:r>
      <w:r>
        <w:rPr>
          <w:rFonts w:hint="eastAsia" w:asciiTheme="minorEastAsia" w:hAnsiTheme="minorEastAsia"/>
          <w:sz w:val="32"/>
          <w:szCs w:val="32"/>
        </w:rPr>
        <w:t>截至2019年12月31日，本单位共有车辆0辆，其中：特种专业技术用车0辆。单位价值50万元以上通用设备0台（套）；单位价值100万元以上专用设备0台（</w:t>
      </w:r>
      <w:bookmarkStart w:id="0" w:name="_GoBack"/>
      <w:r>
        <w:rPr>
          <w:rFonts w:hint="eastAsia" w:asciiTheme="minorEastAsia" w:hAnsiTheme="minorEastAsia"/>
          <w:sz w:val="32"/>
          <w:szCs w:val="32"/>
        </w:rPr>
        <w:t>套）。</w:t>
      </w:r>
      <w:bookmarkEnd w:id="0"/>
    </w:p>
    <w:p>
      <w:pPr>
        <w:ind w:firstLine="640" w:firstLineChars="200"/>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5"/>
        <w:shd w:val="clear" w:color="auto" w:fill="FFFFFF"/>
        <w:spacing w:before="0" w:beforeAutospacing="0" w:after="0" w:afterAutospacing="0" w:line="480" w:lineRule="auto"/>
        <w:ind w:firstLine="480"/>
        <w:rPr>
          <w:color w:val="333333"/>
          <w:sz w:val="32"/>
          <w:szCs w:val="32"/>
        </w:rPr>
      </w:pPr>
      <w:r>
        <w:rPr>
          <w:rFonts w:hint="eastAsia"/>
          <w:color w:val="333333"/>
          <w:sz w:val="32"/>
          <w:szCs w:val="32"/>
        </w:rPr>
        <w:t>一、财政拨款收入：指财政部门当年拨付给单位的财政预算资金。</w:t>
      </w:r>
    </w:p>
    <w:p>
      <w:pPr>
        <w:pStyle w:val="5"/>
        <w:shd w:val="clear" w:color="auto" w:fill="FFFFFF"/>
        <w:spacing w:before="0" w:beforeAutospacing="0" w:after="0" w:afterAutospacing="0" w:line="480" w:lineRule="auto"/>
        <w:ind w:firstLine="480"/>
        <w:rPr>
          <w:color w:val="333333"/>
          <w:sz w:val="32"/>
          <w:szCs w:val="32"/>
        </w:rPr>
      </w:pPr>
      <w:r>
        <w:rPr>
          <w:rFonts w:hint="eastAsia"/>
          <w:color w:val="333333"/>
          <w:sz w:val="32"/>
          <w:szCs w:val="32"/>
        </w:rPr>
        <w:t>二、事业收入：指事业单位开展专业业务活动及辅助活动取得的收入。</w:t>
      </w:r>
    </w:p>
    <w:p>
      <w:pPr>
        <w:pStyle w:val="5"/>
        <w:shd w:val="clear" w:color="auto" w:fill="FFFFFF"/>
        <w:spacing w:before="0" w:beforeAutospacing="0" w:after="0" w:afterAutospacing="0" w:line="480" w:lineRule="auto"/>
        <w:ind w:firstLine="480"/>
        <w:rPr>
          <w:color w:val="333333"/>
          <w:sz w:val="32"/>
          <w:szCs w:val="32"/>
        </w:rPr>
      </w:pPr>
      <w:r>
        <w:rPr>
          <w:rFonts w:hint="eastAsia"/>
          <w:color w:val="333333"/>
          <w:sz w:val="32"/>
          <w:szCs w:val="32"/>
        </w:rPr>
        <w:t>三、附属单位上缴收入：指事业单位附属单位独立核算单位有关规定上缴的收入。</w:t>
      </w:r>
    </w:p>
    <w:p>
      <w:pPr>
        <w:pStyle w:val="5"/>
        <w:shd w:val="clear" w:color="auto" w:fill="FFFFFF"/>
        <w:spacing w:before="0" w:beforeAutospacing="0" w:after="0" w:afterAutospacing="0" w:line="480" w:lineRule="auto"/>
        <w:ind w:firstLine="480"/>
        <w:rPr>
          <w:color w:val="333333"/>
          <w:sz w:val="32"/>
          <w:szCs w:val="32"/>
        </w:rPr>
      </w:pPr>
      <w:r>
        <w:rPr>
          <w:rFonts w:hint="eastAsia"/>
          <w:color w:val="333333"/>
          <w:sz w:val="32"/>
          <w:szCs w:val="32"/>
        </w:rPr>
        <w:t>四、其他收入：指单位除“财政拨款收入”、“事业收入”、“附属单位上缴收入”等以外的收入。</w:t>
      </w:r>
    </w:p>
    <w:p>
      <w:pPr>
        <w:pStyle w:val="5"/>
        <w:shd w:val="clear" w:color="auto" w:fill="FFFFFF"/>
        <w:spacing w:before="0" w:beforeAutospacing="0" w:after="0" w:afterAutospacing="0" w:line="480" w:lineRule="auto"/>
        <w:ind w:firstLine="480"/>
        <w:rPr>
          <w:color w:val="333333"/>
          <w:sz w:val="32"/>
          <w:szCs w:val="32"/>
        </w:rPr>
      </w:pPr>
      <w:r>
        <w:rPr>
          <w:rFonts w:hint="eastAsia"/>
          <w:color w:val="333333"/>
          <w:sz w:val="32"/>
          <w:szCs w:val="32"/>
        </w:rPr>
        <w:t>五、年初结转和结余：指本年度或以前年度预算安排、因客观条件发生变化无法按原计划实施，需延迟到以后年度按有关规定继续使用的资金。</w:t>
      </w:r>
    </w:p>
    <w:p>
      <w:pPr>
        <w:pStyle w:val="5"/>
        <w:shd w:val="clear" w:color="auto" w:fill="FFFFFF"/>
        <w:spacing w:before="0" w:beforeAutospacing="0" w:after="0" w:afterAutospacing="0" w:line="480" w:lineRule="auto"/>
        <w:ind w:firstLine="480"/>
        <w:rPr>
          <w:color w:val="333333"/>
          <w:sz w:val="32"/>
          <w:szCs w:val="32"/>
        </w:rPr>
      </w:pPr>
      <w:r>
        <w:rPr>
          <w:rFonts w:hint="eastAsia"/>
          <w:color w:val="333333"/>
          <w:sz w:val="32"/>
          <w:szCs w:val="32"/>
        </w:rPr>
        <w:t>六、基本支出：指为保障机构正常运转、完成日常工作任务而发生的人员支出和公用支出。</w:t>
      </w:r>
    </w:p>
    <w:p>
      <w:pPr>
        <w:pStyle w:val="5"/>
        <w:shd w:val="clear" w:color="auto" w:fill="FFFFFF"/>
        <w:spacing w:before="0" w:beforeAutospacing="0" w:after="0" w:afterAutospacing="0" w:line="480" w:lineRule="auto"/>
        <w:ind w:firstLine="480"/>
        <w:rPr>
          <w:color w:val="333333"/>
          <w:sz w:val="32"/>
          <w:szCs w:val="32"/>
        </w:rPr>
      </w:pPr>
      <w:r>
        <w:rPr>
          <w:rFonts w:hint="eastAsia"/>
          <w:color w:val="333333"/>
          <w:sz w:val="32"/>
          <w:szCs w:val="32"/>
        </w:rPr>
        <w:t>七、“三公”经费：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5"/>
        <w:shd w:val="clear" w:color="auto" w:fill="FFFFFF"/>
        <w:spacing w:before="0" w:beforeAutospacing="0" w:after="0" w:afterAutospacing="0" w:line="480" w:lineRule="auto"/>
        <w:ind w:firstLine="480"/>
        <w:rPr>
          <w:color w:val="333333"/>
          <w:sz w:val="32"/>
          <w:szCs w:val="32"/>
        </w:rPr>
      </w:pPr>
      <w:r>
        <w:rPr>
          <w:rFonts w:hint="eastAsia"/>
          <w:color w:val="333333"/>
          <w:sz w:val="32"/>
          <w:szCs w:val="32"/>
        </w:rPr>
        <w:t>八、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5"/>
        <w:shd w:val="clear" w:color="auto" w:fill="FFFFFF"/>
        <w:spacing w:before="0" w:beforeAutospacing="0" w:after="0" w:afterAutospacing="0" w:line="480" w:lineRule="auto"/>
        <w:ind w:firstLine="480"/>
        <w:rPr>
          <w:color w:val="333333"/>
          <w:sz w:val="32"/>
          <w:szCs w:val="32"/>
        </w:rPr>
      </w:pPr>
      <w:r>
        <w:rPr>
          <w:rFonts w:hint="eastAsia"/>
          <w:color w:val="333333"/>
          <w:sz w:val="32"/>
          <w:szCs w:val="32"/>
        </w:rPr>
        <w:t>九、项目支出：指在基本支出之外为完成特定行政任务和事业发展目标所发生的支出</w:t>
      </w:r>
      <w:r>
        <w:rPr>
          <w:rFonts w:hint="eastAsia" w:asciiTheme="minorEastAsia" w:hAnsiTheme="minorEastAsia" w:eastAsiaTheme="minorEastAsia"/>
          <w:color w:val="333333"/>
          <w:sz w:val="32"/>
          <w:szCs w:val="32"/>
        </w:rPr>
        <w:t>。</w:t>
      </w:r>
    </w:p>
    <w:p>
      <w:pPr>
        <w:jc w:val="left"/>
        <w:rPr>
          <w:rFonts w:cs="黑体" w:asciiTheme="minorEastAsia" w:hAnsiTheme="minorEastAsia"/>
          <w:color w:val="000000"/>
          <w:kern w:val="0"/>
          <w:sz w:val="32"/>
          <w:szCs w:val="32"/>
        </w:rPr>
      </w:pPr>
    </w:p>
    <w:p>
      <w:pPr>
        <w:widowControl/>
        <w:jc w:val="left"/>
        <w:rPr>
          <w:rFonts w:asciiTheme="minorEastAsia" w:hAnsiTheme="minorEastAsia"/>
          <w:i/>
          <w:color w:val="FF0000"/>
          <w:sz w:val="32"/>
          <w:szCs w:val="32"/>
        </w:rPr>
      </w:pPr>
      <w:r>
        <w:rPr>
          <w:rFonts w:asciiTheme="minorEastAsia" w:hAnsiTheme="minorEastAsia"/>
          <w:i/>
          <w:color w:val="FF0000"/>
          <w:sz w:val="32"/>
          <w:szCs w:val="32"/>
        </w:rPr>
        <w:br w:type="page"/>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2019年度部门整体支出绩效评价报告</w:t>
      </w:r>
    </w:p>
    <w:p>
      <w:pPr>
        <w:jc w:val="center"/>
        <w:rPr>
          <w:rFonts w:ascii="黑体" w:hAnsi="Calibri" w:eastAsia="黑体" w:cs="Times New Roman"/>
          <w:sz w:val="32"/>
          <w:szCs w:val="32"/>
        </w:rPr>
      </w:pPr>
    </w:p>
    <w:p>
      <w:pPr>
        <w:widowControl/>
        <w:spacing w:after="100" w:afterAutospacing="1" w:line="420" w:lineRule="atLeast"/>
        <w:ind w:firstLine="480" w:firstLineChars="150"/>
        <w:contextualSpacing/>
        <w:jc w:val="left"/>
        <w:rPr>
          <w:rFonts w:ascii="宋体" w:hAnsi="宋体" w:eastAsia="宋体" w:cs="Times New Roman"/>
          <w:sz w:val="32"/>
          <w:szCs w:val="32"/>
        </w:rPr>
      </w:pPr>
      <w:r>
        <w:rPr>
          <w:rFonts w:hint="eastAsia" w:ascii="宋体" w:hAnsi="宋体" w:eastAsia="宋体" w:cs="Times New Roman"/>
          <w:sz w:val="32"/>
          <w:szCs w:val="32"/>
        </w:rPr>
        <w:t>为加强财政预算资金管理，进一步规范预算资金使用，提高财政资金使用效益，根据清财绩【2020】63号文件《衡南县财政局关于开展2019年度财政资金绩效自评工作的通知》要求，我局积极组织专班，对2019年度本单位整体支出进行了绩效自评，现将具体绩效评价情况报告如下：</w:t>
      </w:r>
    </w:p>
    <w:p>
      <w:pPr>
        <w:widowControl/>
        <w:spacing w:after="100" w:afterAutospacing="1" w:line="420" w:lineRule="atLeast"/>
        <w:ind w:firstLine="480" w:firstLineChars="150"/>
        <w:contextualSpacing/>
        <w:jc w:val="left"/>
        <w:rPr>
          <w:rFonts w:ascii="宋体" w:hAnsi="宋体" w:eastAsia="宋体" w:cs="宋体"/>
          <w:b/>
          <w:spacing w:val="-4"/>
          <w:sz w:val="32"/>
          <w:szCs w:val="32"/>
        </w:rPr>
      </w:pPr>
      <w:r>
        <w:rPr>
          <w:rFonts w:hint="eastAsia" w:ascii="宋体" w:hAnsi="宋体" w:eastAsia="宋体" w:cs="Times New Roman"/>
          <w:sz w:val="32"/>
          <w:szCs w:val="32"/>
        </w:rPr>
        <w:t xml:space="preserve"> 一、基本情况                 </w:t>
      </w:r>
      <w:r>
        <w:rPr>
          <w:rFonts w:hint="eastAsia" w:ascii="宋体" w:hAnsi="宋体" w:eastAsia="宋体" w:cs="宋体"/>
          <w:b/>
          <w:spacing w:val="-4"/>
          <w:sz w:val="32"/>
          <w:szCs w:val="32"/>
        </w:rPr>
        <w:t xml:space="preserve">      </w:t>
      </w:r>
    </w:p>
    <w:p>
      <w:pPr>
        <w:ind w:firstLine="640" w:firstLineChars="200"/>
        <w:rPr>
          <w:rFonts w:ascii="宋体" w:hAnsi="宋体" w:eastAsia="宋体" w:cs="Times New Roman"/>
          <w:sz w:val="32"/>
          <w:szCs w:val="32"/>
        </w:rPr>
      </w:pPr>
      <w:r>
        <w:rPr>
          <w:rFonts w:hint="eastAsia" w:ascii="宋体" w:hAnsi="宋体" w:eastAsia="宋体" w:cs="宋体"/>
          <w:bCs/>
          <w:color w:val="444444"/>
          <w:kern w:val="0"/>
          <w:sz w:val="32"/>
          <w:szCs w:val="32"/>
        </w:rPr>
        <w:t>衡南县商务和粮食局为县人民政府工作部门,</w:t>
      </w:r>
      <w:r>
        <w:rPr>
          <w:rFonts w:hint="eastAsia" w:ascii="宋体" w:hAnsi="宋体" w:eastAsia="宋体" w:cs="宋体"/>
          <w:spacing w:val="-4"/>
          <w:sz w:val="32"/>
          <w:szCs w:val="32"/>
        </w:rPr>
        <w:t>财政预算全额拨款单位，财务核算适用行政事业单位会计制度。</w:t>
      </w:r>
      <w:r>
        <w:rPr>
          <w:rFonts w:hint="eastAsia" w:ascii="宋体" w:hAnsi="宋体" w:eastAsia="宋体" w:cs="Times New Roman"/>
          <w:sz w:val="32"/>
          <w:szCs w:val="32"/>
        </w:rPr>
        <w:t>在职干部职工70人，二级机构粮油服务中心19人。</w:t>
      </w:r>
      <w:r>
        <w:rPr>
          <w:rFonts w:hint="eastAsia" w:ascii="宋体" w:hAnsi="宋体" w:eastAsia="宋体" w:cs="Arial"/>
          <w:color w:val="000000"/>
          <w:kern w:val="0"/>
          <w:sz w:val="32"/>
          <w:szCs w:val="32"/>
        </w:rPr>
        <w:t>内设机构15个</w:t>
      </w:r>
      <w:r>
        <w:rPr>
          <w:rFonts w:hint="eastAsia" w:ascii="宋体" w:hAnsi="宋体" w:eastAsia="宋体" w:cs="宋体"/>
          <w:spacing w:val="-4"/>
          <w:sz w:val="32"/>
          <w:szCs w:val="32"/>
        </w:rPr>
        <w:t>：办公室、信访室、财务股、市场运行和消费促进股、市场建设和市场秩序股、电子商务股、粮食调控股、粮食行业发展股、粮食监督检查股、外经外贸管理股、投资管理股、法规和国际经贸关系股、行政审批服务股、企业管理股、组织人事股。</w:t>
      </w:r>
    </w:p>
    <w:p>
      <w:pPr>
        <w:numPr>
          <w:ilvl w:val="0"/>
          <w:numId w:val="1"/>
        </w:numPr>
        <w:spacing w:line="600" w:lineRule="exact"/>
        <w:rPr>
          <w:rFonts w:ascii="宋体" w:hAnsi="宋体" w:eastAsia="宋体" w:cs="Times New Roman"/>
          <w:sz w:val="32"/>
          <w:szCs w:val="32"/>
        </w:rPr>
      </w:pPr>
      <w:r>
        <w:rPr>
          <w:rFonts w:hint="eastAsia" w:ascii="宋体" w:hAnsi="宋体" w:eastAsia="宋体" w:cs="Times New Roman"/>
          <w:sz w:val="32"/>
          <w:szCs w:val="32"/>
        </w:rPr>
        <w:t xml:space="preserve">部门职能职责                       </w:t>
      </w:r>
    </w:p>
    <w:p>
      <w:pPr>
        <w:spacing w:line="600" w:lineRule="exact"/>
        <w:rPr>
          <w:rFonts w:ascii="宋体" w:hAnsi="宋体" w:eastAsia="宋体" w:cs="Times New Roman"/>
          <w:sz w:val="32"/>
          <w:szCs w:val="32"/>
        </w:rPr>
      </w:pPr>
      <w:r>
        <w:rPr>
          <w:rFonts w:hint="eastAsia" w:ascii="宋体" w:hAnsi="宋体" w:eastAsia="宋体" w:cs="Times New Roman"/>
          <w:sz w:val="32"/>
          <w:szCs w:val="32"/>
        </w:rPr>
        <w:t xml:space="preserve">   （一）贯彻执行有关国内外贸易、国际经济合作、区域经济合作和粮食宏观调控的发展战略、政策，拟订全县国内外贸易、招商引资、承接产业转移、对外援助、对外投资、对外经济合作和粮食流通业的中长期规划、政策措施和实施办法，研究提出经济全球化、区域经济合作、现代流通方式的发展趋势和流通体制改革的建议。</w:t>
      </w:r>
    </w:p>
    <w:p>
      <w:pPr>
        <w:spacing w:line="600" w:lineRule="exact"/>
        <w:ind w:firstLine="480" w:firstLineChars="150"/>
        <w:rPr>
          <w:rFonts w:ascii="宋体" w:hAnsi="宋体" w:eastAsia="宋体" w:cs="Times New Roman"/>
          <w:sz w:val="32"/>
          <w:szCs w:val="32"/>
        </w:rPr>
      </w:pPr>
      <w:r>
        <w:rPr>
          <w:rFonts w:hint="eastAsia" w:ascii="宋体" w:hAnsi="宋体" w:eastAsia="宋体" w:cs="Times New Roman"/>
          <w:sz w:val="32"/>
          <w:szCs w:val="32"/>
        </w:rPr>
        <w:t>（二）推进流通产业结构调整，指导流通企业改革，促进商贸服务业、社区商业和粮食产业发展，研究提出促进商贸中小企业发展的政策建议，推动流通标准化和连锁经营、商业特许经营、物流配送、电子商务等现代流通方式的发展；拟订粮食流通体制改革方案并组织实施，推动国有粮食企业改革。</w:t>
      </w:r>
    </w:p>
    <w:p>
      <w:pPr>
        <w:spacing w:line="60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三）拟订全县国内贸易发展规划，促进城乡市场发展，研究提出引导国内外资金投向市场体系建设的政策建议，规范商业投资的准入程序，研究拟订全县商品市场、商业网点、物流设施建设发展规范并组织实施；指导大宗产品批发市场规划和城市商业网点规划、商业体系建设工作，推进农村市场体系建设，组织实施农村现代流通网络工程。</w:t>
      </w:r>
    </w:p>
    <w:p>
      <w:pPr>
        <w:spacing w:line="60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四）牵头协调整顿和规范市场经济秩序工作，拟订规范市场秩序的政策；协调全县消除地区封锁、打破行业垄断的有关工作，规范商贸企业交易行为；推动商务领域信用建设，指导商业信用销售，建立市场诚信公共服务平台；按有关规定对特殊流通行业进行监督管理；组织实施粮食流通、粮食库存监督检查制度，负责对粮食收购、储存环节的粮食质量安全和原粮卫生进行监督管理。</w:t>
      </w:r>
    </w:p>
    <w:p>
      <w:pPr>
        <w:spacing w:line="60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五）承担组织实施重要消费品市场调控和重要生产资料流通管理的责任，负责建立健全生活必需品供应应急管理机制，监测分析市场运行、商品供求状况，调查分析商品价格信息，进行预测预警和信息引导；按分工负责重要消费品储备管理和市场调控工作；按有关规定对成品油流通进行监督管理；负责全县粮食流通宏观调控的具体工作，承担粮食监测预警或应急责任，指导协调最低收购价等政策性粮食购销和粮食产、购、销合作，保障军队粮食供应。</w:t>
      </w:r>
    </w:p>
    <w:p>
      <w:pPr>
        <w:spacing w:line="60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（六）贯彻落实国家、省、市粮食质量标准，提出粮食收购市场准入标准建议；负责实施粮食收购行政许可的有关行政管理，指导粮食流通的科技进步、技术改造和新技术推广。</w:t>
      </w:r>
    </w:p>
    <w:p>
      <w:pPr>
        <w:spacing w:line="60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七）承担县级储备粮（油）行政管理责任，会同有关部门研究提出县级储备粮（油）的规模、总体布局、购销计划以及提出动用储备粮（油）的建议；会同有关部门审批县级储备粮（油）轮换计划并监督实施，监督检查县级储备粮（油）的数量、质量和储存安全，制定县级储备粮（油）管理的技术规范并监督执行。</w:t>
      </w:r>
    </w:p>
    <w:p>
      <w:pPr>
        <w:spacing w:line="60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八）贯彻执行国家进出口商品、加工贸易管理办法和进出口管理商品、技术目录；拟订促进外贸增长方式转变的政策措施；组织实施重要工业品、原材料和重要农产品进出口计划；指导、协调全县各类进出口企业的进出口业务和加工贸易业务，指导对外贸易促进活动和对外贸易促进体系建设。</w:t>
      </w:r>
    </w:p>
    <w:p>
      <w:pPr>
        <w:spacing w:line="60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九）贯彻执行国家对外技术贸易、出口管制以及鼓励技术和成套设备进出口的贸易政策；负责协调管理内外贸易科技发展和技术进出口，协调全县高新技术产品出口、出口市场的开拓和技术出品的管理工作；依法监督管理全县技术进出口工作。</w:t>
      </w:r>
    </w:p>
    <w:p>
      <w:pPr>
        <w:spacing w:line="60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（十）牵头拟订服务贸易发展规划并开展相关工作；会同有关部门制定促进服务出口、服务外包的规划、政策并组织实施，推动服务外包平台建设。</w:t>
      </w:r>
    </w:p>
    <w:p>
      <w:pPr>
        <w:spacing w:line="60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十一）牵头承担全县商务领域涉及世界贸易组织事务的相关工作；负责组织协调反倾销、反补贴、保障措施及其他与进出口公平贸易相关的工作，协助开展对外贸调查和产业损害调查，指导协调产业安全应对工作；协助对经营者集中行为进行反垄断审查，指导企业在国外的反垄断应诉工作。</w:t>
      </w:r>
    </w:p>
    <w:p>
      <w:pPr>
        <w:spacing w:line="60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十二）指导全县招商引资和承接产业转移工作，拟订并组织实施招商引资和承接产业转移政策；依法核准外商投资企业的设立及变更事项；依法核准重大外商投资项目的合同章程及法律特别规定的重大变更事项；依法监督检查外商投资企业执行有关法律法规规章、合同章程的情况并协调解决有关问题；指导投资促进及全县外商投资企业审批工作，规范招商引资活动；指导国家级、省级经济技术开发区（工业集中区）的有关工作。</w:t>
      </w:r>
    </w:p>
    <w:p>
      <w:pPr>
        <w:spacing w:line="60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十三）负责组织参与商务部、省、市政府举办的内外贸易促销活动和招商引资、对外经济技术合作活动；负责组织、指导、协调以衡南县名义在境内外举办的各种内外贸易交易会、展览会、展销会和招商引资等商务活动。</w:t>
      </w:r>
    </w:p>
    <w:p>
      <w:pPr>
        <w:spacing w:line="60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十四）负责全县对外经济合作工作，拟订并组织实施全县对外经济合作的政策措施和管理办法；指导对外承包工程、对外劳务合作等对外经济合作业务；负责牵头外派劳务和境外就业人员的权益保护工作；协调管理全县承担的对外援助项目等。</w:t>
      </w:r>
    </w:p>
    <w:p>
      <w:pPr>
        <w:spacing w:line="60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（十五）贯彻执行国家对香港、澳门特别行政区和台湾地区的经贸规划、政策，指导我县对港、澳、台地区贸易和经贸合作活动，协调港、澳、台商投资管理工作。</w:t>
      </w:r>
    </w:p>
    <w:p>
      <w:pPr>
        <w:spacing w:line="60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（十六）承担全县商务和粮食系统统计及其信息发布工作，提供信息咨询服务，指导全县流通领域信息网络和电子商务建设。</w:t>
      </w:r>
    </w:p>
    <w:p>
      <w:pPr>
        <w:spacing w:line="600" w:lineRule="exact"/>
        <w:ind w:firstLine="640" w:firstLineChars="200"/>
        <w:rPr>
          <w:rFonts w:ascii="宋体" w:hAnsi="宋体"/>
          <w:sz w:val="32"/>
          <w:szCs w:val="32"/>
        </w:rPr>
      </w:pPr>
      <w:r>
        <w:rPr>
          <w:rFonts w:hint="eastAsia" w:ascii="宋体" w:hAnsi="宋体" w:eastAsia="宋体" w:cs="Times New Roman"/>
          <w:sz w:val="32"/>
          <w:szCs w:val="32"/>
        </w:rPr>
        <w:t>（十七）负责对职责范围内有关行业、领域（包括商业贸易等）的安全生产工作实施监督管理。</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（十八）承办县人民政府交办的其他事项。</w:t>
      </w:r>
    </w:p>
    <w:p>
      <w:pPr>
        <w:spacing w:line="600" w:lineRule="exact"/>
        <w:ind w:firstLine="640" w:firstLineChars="200"/>
        <w:rPr>
          <w:rFonts w:ascii="宋体" w:hAnsi="宋体" w:eastAsia="宋体" w:cs="Times New Roman"/>
          <w:sz w:val="32"/>
          <w:szCs w:val="32"/>
        </w:rPr>
      </w:pPr>
    </w:p>
    <w:p>
      <w:pPr>
        <w:spacing w:line="560" w:lineRule="exact"/>
        <w:ind w:firstLine="645"/>
        <w:rPr>
          <w:rFonts w:ascii="宋体" w:hAnsi="宋体" w:eastAsia="宋体" w:cs="Times New Roman"/>
          <w:sz w:val="32"/>
          <w:szCs w:val="32"/>
        </w:rPr>
      </w:pPr>
      <w:r>
        <w:rPr>
          <w:rFonts w:hint="eastAsia" w:ascii="宋体" w:hAnsi="宋体" w:eastAsia="宋体" w:cs="Times New Roman"/>
          <w:sz w:val="32"/>
          <w:szCs w:val="32"/>
        </w:rPr>
        <w:t>三、部门整体支出管理及使用情况</w:t>
      </w:r>
    </w:p>
    <w:p>
      <w:pPr>
        <w:spacing w:line="560" w:lineRule="exact"/>
        <w:ind w:firstLine="645"/>
        <w:rPr>
          <w:rFonts w:ascii="宋体" w:hAnsi="宋体" w:eastAsia="宋体" w:cs="Times New Roman"/>
          <w:sz w:val="32"/>
          <w:szCs w:val="32"/>
        </w:rPr>
      </w:pPr>
      <w:r>
        <w:rPr>
          <w:rFonts w:hint="eastAsia" w:ascii="宋体" w:hAnsi="宋体" w:eastAsia="宋体" w:cs="Times New Roman"/>
          <w:sz w:val="32"/>
          <w:szCs w:val="32"/>
        </w:rPr>
        <w:t>(一)基本支出管理情况</w:t>
      </w:r>
    </w:p>
    <w:p>
      <w:pPr>
        <w:spacing w:line="560" w:lineRule="exact"/>
        <w:ind w:firstLine="645"/>
        <w:rPr>
          <w:rFonts w:ascii="宋体" w:hAnsi="宋体" w:eastAsia="宋体" w:cs="Times New Roman"/>
          <w:sz w:val="32"/>
          <w:szCs w:val="32"/>
        </w:rPr>
      </w:pPr>
      <w:r>
        <w:rPr>
          <w:rFonts w:hint="eastAsia" w:ascii="宋体" w:hAnsi="宋体" w:eastAsia="宋体" w:cs="Times New Roman"/>
          <w:sz w:val="32"/>
          <w:szCs w:val="32"/>
        </w:rPr>
        <w:t>2019年基本支出1077.39万元，主要用于人员经费和日常公用经费，其中：工资支出434.55万元，一般商品和服务支出232.4万元，对个人和家庭补助136.5万元。基本支出包括商务和粮食局基本支出876.63万元，粮油服务中心基本支出200.76万元。</w:t>
      </w:r>
    </w:p>
    <w:p>
      <w:pPr>
        <w:spacing w:line="560" w:lineRule="exact"/>
        <w:ind w:firstLine="645"/>
        <w:rPr>
          <w:rFonts w:ascii="宋体" w:hAnsi="宋体" w:eastAsia="宋体" w:cs="Times New Roman"/>
          <w:sz w:val="32"/>
          <w:szCs w:val="32"/>
        </w:rPr>
      </w:pPr>
      <w:r>
        <w:rPr>
          <w:rFonts w:hint="eastAsia" w:ascii="宋体" w:hAnsi="宋体" w:eastAsia="宋体" w:cs="Times New Roman"/>
          <w:sz w:val="32"/>
          <w:szCs w:val="32"/>
        </w:rPr>
        <w:t>(二)“三公”经费情况</w:t>
      </w:r>
    </w:p>
    <w:p>
      <w:pPr>
        <w:pStyle w:val="13"/>
        <w:spacing w:line="700" w:lineRule="exact"/>
        <w:ind w:firstLine="640" w:firstLineChars="200"/>
        <w:rPr>
          <w:rFonts w:ascii="宋体" w:hAnsi="宋体" w:eastAsia="宋体" w:cs="宋体"/>
          <w:sz w:val="32"/>
          <w:szCs w:val="32"/>
        </w:rPr>
      </w:pPr>
      <w:r>
        <w:rPr>
          <w:rFonts w:hint="eastAsia" w:ascii="宋体" w:hAnsi="宋体" w:eastAsia="宋体" w:cs="宋体"/>
          <w:sz w:val="32"/>
          <w:szCs w:val="32"/>
        </w:rPr>
        <w:t>严格执行中央“八项规定”，“三公”经费呈现逐年递减趋势，到2019年底止因公出国（境）经费为0元，公务接待费为25万元，公务用车以共车平台调车为主，无车可调时以租车为辅，全年公务用车开支12万元，三公经费较2018年弱有下降。</w:t>
      </w:r>
    </w:p>
    <w:p>
      <w:pPr>
        <w:spacing w:line="560" w:lineRule="exact"/>
        <w:ind w:firstLine="645"/>
        <w:rPr>
          <w:rFonts w:ascii="宋体" w:hAnsi="宋体" w:eastAsia="宋体" w:cs="Times New Roman"/>
          <w:sz w:val="32"/>
          <w:szCs w:val="32"/>
        </w:rPr>
      </w:pPr>
      <w:r>
        <w:rPr>
          <w:rFonts w:hint="eastAsia" w:ascii="宋体" w:hAnsi="宋体" w:eastAsia="宋体" w:cs="Times New Roman"/>
          <w:sz w:val="32"/>
          <w:szCs w:val="32"/>
        </w:rPr>
        <w:t>(三)项目支出</w:t>
      </w:r>
    </w:p>
    <w:p>
      <w:pPr>
        <w:spacing w:line="560" w:lineRule="exact"/>
        <w:ind w:firstLine="645"/>
        <w:rPr>
          <w:rFonts w:ascii="宋体" w:hAnsi="宋体" w:eastAsia="宋体" w:cs="Times New Roman"/>
          <w:sz w:val="32"/>
          <w:szCs w:val="32"/>
        </w:rPr>
      </w:pPr>
      <w:r>
        <w:rPr>
          <w:rFonts w:hint="eastAsia" w:ascii="宋体" w:hAnsi="宋体" w:eastAsia="宋体" w:cs="Times New Roman"/>
          <w:sz w:val="32"/>
          <w:szCs w:val="32"/>
        </w:rPr>
        <w:t>2019年项目总开支404.95万元，其中商品和服务支出141.36万元，对企业补助263.59万元。</w:t>
      </w:r>
    </w:p>
    <w:p>
      <w:pPr>
        <w:spacing w:line="560" w:lineRule="exact"/>
        <w:ind w:firstLine="645"/>
        <w:rPr>
          <w:rFonts w:ascii="宋体" w:hAnsi="宋体" w:eastAsia="宋体" w:cs="Times New Roman"/>
          <w:sz w:val="32"/>
          <w:szCs w:val="32"/>
        </w:rPr>
      </w:pPr>
      <w:r>
        <w:rPr>
          <w:rFonts w:hint="eastAsia" w:ascii="宋体" w:hAnsi="宋体" w:eastAsia="宋体" w:cs="Times New Roman"/>
          <w:sz w:val="32"/>
          <w:szCs w:val="32"/>
        </w:rPr>
        <w:t>四、部门整体支出绩效情况</w:t>
      </w:r>
    </w:p>
    <w:p>
      <w:pPr>
        <w:adjustRightInd w:val="0"/>
        <w:snapToGrid w:val="0"/>
        <w:spacing w:line="600" w:lineRule="exact"/>
        <w:ind w:firstLine="640" w:firstLineChars="200"/>
        <w:contextualSpacing/>
        <w:rPr>
          <w:rFonts w:ascii="宋体" w:hAnsi="宋体" w:eastAsia="宋体" w:cs="Times New Roman"/>
          <w:sz w:val="32"/>
          <w:szCs w:val="32"/>
        </w:rPr>
      </w:pPr>
      <w:r>
        <w:rPr>
          <w:rFonts w:hint="eastAsia" w:ascii="宋体" w:hAnsi="宋体" w:eastAsia="宋体" w:cs="Times New Roman"/>
          <w:sz w:val="32"/>
          <w:szCs w:val="32"/>
        </w:rPr>
        <w:t xml:space="preserve">我局严格按照国家财经法律法规和制度的要求，加强对各项资金的绩效管理。成立了内部控制领导小组，对各项资金分级分量业务进行管理，特别是对专项资金做到严格要求统一监管，专款专用。                                 </w:t>
      </w:r>
    </w:p>
    <w:p>
      <w:pPr>
        <w:spacing w:line="560" w:lineRule="exact"/>
        <w:ind w:firstLine="645"/>
        <w:rPr>
          <w:rFonts w:ascii="宋体" w:hAnsi="宋体" w:eastAsia="宋体" w:cs="Times New Roman"/>
          <w:sz w:val="32"/>
          <w:szCs w:val="32"/>
        </w:rPr>
      </w:pPr>
      <w:r>
        <w:rPr>
          <w:rFonts w:hint="eastAsia" w:ascii="宋体" w:hAnsi="宋体" w:eastAsia="宋体" w:cs="Times New Roman"/>
          <w:sz w:val="32"/>
          <w:szCs w:val="32"/>
        </w:rPr>
        <w:t>五、存在的主要问题</w:t>
      </w:r>
    </w:p>
    <w:p>
      <w:pPr>
        <w:adjustRightInd w:val="0"/>
        <w:snapToGrid w:val="0"/>
        <w:spacing w:line="600" w:lineRule="exact"/>
        <w:ind w:firstLine="640" w:firstLineChars="200"/>
        <w:contextualSpacing/>
        <w:rPr>
          <w:rFonts w:ascii="宋体" w:hAnsi="宋体" w:eastAsia="宋体" w:cs="Times New Roman"/>
          <w:sz w:val="32"/>
          <w:szCs w:val="32"/>
        </w:rPr>
      </w:pPr>
      <w:r>
        <w:rPr>
          <w:rFonts w:hint="eastAsia" w:ascii="宋体" w:hAnsi="宋体" w:eastAsia="宋体" w:cs="Times New Roman"/>
          <w:sz w:val="32"/>
          <w:szCs w:val="32"/>
        </w:rPr>
        <w:t xml:space="preserve">相关方面的财务制度还有待完善，财务制度执行力度需要加强。    </w:t>
      </w:r>
    </w:p>
    <w:p>
      <w:pPr>
        <w:adjustRightInd w:val="0"/>
        <w:snapToGrid w:val="0"/>
        <w:spacing w:line="600" w:lineRule="exact"/>
        <w:ind w:firstLine="640" w:firstLineChars="200"/>
        <w:contextualSpacing/>
        <w:rPr>
          <w:rFonts w:ascii="宋体" w:hAnsi="宋体" w:eastAsia="宋体" w:cs="Times New Roman"/>
          <w:sz w:val="32"/>
          <w:szCs w:val="32"/>
        </w:rPr>
      </w:pPr>
      <w:r>
        <w:rPr>
          <w:rFonts w:hint="eastAsia" w:ascii="宋体" w:hAnsi="宋体" w:eastAsia="宋体" w:cs="Times New Roman"/>
          <w:sz w:val="32"/>
          <w:szCs w:val="32"/>
        </w:rPr>
        <w:t>六</w:t>
      </w:r>
      <w:r>
        <w:rPr>
          <w:rFonts w:ascii="宋体" w:hAnsi="宋体" w:eastAsia="宋体" w:cs="Times New Roman"/>
          <w:sz w:val="32"/>
          <w:szCs w:val="32"/>
        </w:rPr>
        <w:t>、</w:t>
      </w:r>
      <w:r>
        <w:rPr>
          <w:rFonts w:hint="eastAsia" w:ascii="宋体" w:hAnsi="宋体" w:eastAsia="宋体" w:cs="Times New Roman"/>
          <w:sz w:val="32"/>
          <w:szCs w:val="32"/>
        </w:rPr>
        <w:t>改进措施和有关建议</w:t>
      </w:r>
    </w:p>
    <w:p>
      <w:pPr>
        <w:adjustRightInd w:val="0"/>
        <w:snapToGrid w:val="0"/>
        <w:spacing w:line="600" w:lineRule="exact"/>
        <w:ind w:firstLine="640" w:firstLineChars="200"/>
        <w:contextualSpacing/>
        <w:rPr>
          <w:rFonts w:ascii="宋体" w:hAnsi="宋体" w:eastAsia="宋体" w:cs="Times New Roman"/>
          <w:sz w:val="32"/>
          <w:szCs w:val="32"/>
        </w:rPr>
      </w:pPr>
      <w:r>
        <w:rPr>
          <w:rFonts w:hint="eastAsia" w:ascii="宋体" w:hAnsi="宋体" w:eastAsia="宋体" w:cs="Times New Roman"/>
          <w:sz w:val="32"/>
          <w:szCs w:val="32"/>
        </w:rPr>
        <w:t>1、细化预算编制工作，认真做好预算的编制。进一步加强内部机构的预算管理意识，严格按照预算编制的相关制度和要求，本着“勤俭节约、保障运转”的原则进行预算的编制。</w:t>
      </w:r>
    </w:p>
    <w:p>
      <w:pPr>
        <w:adjustRightInd w:val="0"/>
        <w:snapToGrid w:val="0"/>
        <w:spacing w:line="600" w:lineRule="exact"/>
        <w:ind w:firstLine="640" w:firstLineChars="200"/>
        <w:contextualSpacing/>
        <w:rPr>
          <w:rFonts w:ascii="宋体" w:hAnsi="宋体" w:eastAsia="宋体" w:cs="Times New Roman"/>
          <w:sz w:val="32"/>
          <w:szCs w:val="32"/>
        </w:rPr>
      </w:pPr>
      <w:r>
        <w:rPr>
          <w:rFonts w:hint="eastAsia" w:ascii="宋体" w:hAnsi="宋体" w:eastAsia="宋体" w:cs="Times New Roman"/>
          <w:sz w:val="32"/>
          <w:szCs w:val="32"/>
        </w:rPr>
        <w:t>2、在日常预算管理过程中，进一步加强预算支出的审核、跟踪及预算执行情况分析。</w:t>
      </w:r>
    </w:p>
    <w:p>
      <w:pPr>
        <w:ind w:firstLine="576" w:firstLineChars="200"/>
        <w:rPr>
          <w:rFonts w:ascii="宋体" w:hAnsi="宋体" w:eastAsia="宋体" w:cs="宋体"/>
          <w:spacing w:val="-16"/>
          <w:sz w:val="32"/>
          <w:szCs w:val="32"/>
        </w:rPr>
      </w:pPr>
      <w:r>
        <w:rPr>
          <w:rFonts w:hint="eastAsia" w:ascii="宋体" w:hAnsi="宋体" w:eastAsia="宋体" w:cs="宋体"/>
          <w:spacing w:val="-16"/>
          <w:sz w:val="32"/>
          <w:szCs w:val="32"/>
        </w:rPr>
        <w:t>3、严格执行财务支出、审批制度。抓好审核和审批两个环节，在审核审批中严把支出关。</w:t>
      </w:r>
    </w:p>
    <w:p>
      <w:pPr>
        <w:spacing w:line="560" w:lineRule="exact"/>
        <w:ind w:firstLine="645"/>
        <w:rPr>
          <w:rFonts w:ascii="宋体" w:hAnsi="宋体" w:eastAsia="宋体" w:cs="Times New Roman"/>
          <w:sz w:val="32"/>
          <w:szCs w:val="32"/>
        </w:rPr>
      </w:pPr>
    </w:p>
    <w:p>
      <w:pPr>
        <w:spacing w:line="560" w:lineRule="exact"/>
        <w:ind w:firstLine="645"/>
        <w:rPr>
          <w:rFonts w:ascii="宋体" w:hAnsi="宋体" w:eastAsia="宋体" w:cs="Times New Roman"/>
          <w:sz w:val="32"/>
          <w:szCs w:val="32"/>
        </w:rPr>
      </w:pPr>
    </w:p>
    <w:p>
      <w:pPr>
        <w:spacing w:line="560" w:lineRule="exact"/>
        <w:rPr>
          <w:rFonts w:ascii="宋体" w:hAnsi="宋体" w:eastAsia="宋体" w:cs="Times New Roman"/>
          <w:sz w:val="32"/>
          <w:szCs w:val="32"/>
        </w:rPr>
      </w:pPr>
      <w:r>
        <w:rPr>
          <w:rFonts w:hint="eastAsia" w:ascii="宋体" w:hAnsi="宋体" w:eastAsia="宋体" w:cs="Times New Roman"/>
          <w:sz w:val="32"/>
          <w:szCs w:val="32"/>
        </w:rPr>
        <w:t xml:space="preserve">                                 衡南县商务和粮食局</w:t>
      </w:r>
    </w:p>
    <w:p>
      <w:pPr>
        <w:spacing w:line="560" w:lineRule="exact"/>
        <w:ind w:firstLine="5440" w:firstLineChars="1700"/>
        <w:rPr>
          <w:rFonts w:cs="黑体" w:asciiTheme="minorEastAsia" w:hAnsiTheme="minorEastAsia"/>
          <w:color w:val="000000"/>
          <w:kern w:val="0"/>
          <w:sz w:val="32"/>
          <w:szCs w:val="32"/>
        </w:rPr>
      </w:pPr>
      <w:r>
        <w:rPr>
          <w:rFonts w:hint="eastAsia" w:ascii="宋体" w:hAnsi="宋体" w:eastAsia="宋体" w:cs="Times New Roman"/>
          <w:sz w:val="32"/>
          <w:szCs w:val="32"/>
        </w:rPr>
        <w:t>2020年</w:t>
      </w:r>
      <w:r>
        <w:rPr>
          <w:rFonts w:hint="eastAsia" w:ascii="宋体" w:hAnsi="宋体"/>
          <w:sz w:val="32"/>
          <w:szCs w:val="32"/>
        </w:rPr>
        <w:t>6</w:t>
      </w:r>
      <w:r>
        <w:rPr>
          <w:rFonts w:hint="eastAsia" w:ascii="宋体" w:hAnsi="宋体" w:eastAsia="宋体" w:cs="Times New Roman"/>
          <w:sz w:val="32"/>
          <w:szCs w:val="32"/>
        </w:rPr>
        <w:t>月</w:t>
      </w:r>
      <w:r>
        <w:rPr>
          <w:rFonts w:hint="eastAsia" w:ascii="宋体" w:hAnsi="宋体"/>
          <w:sz w:val="32"/>
          <w:szCs w:val="32"/>
        </w:rPr>
        <w:t>22</w:t>
      </w:r>
      <w:r>
        <w:rPr>
          <w:rFonts w:hint="eastAsia" w:ascii="宋体" w:hAnsi="宋体" w:eastAsia="宋体" w:cs="Times New Roman"/>
          <w:sz w:val="32"/>
          <w:szCs w:val="32"/>
        </w:rPr>
        <w:t>日</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D87E25"/>
    <w:multiLevelType w:val="multilevel"/>
    <w:tmpl w:val="73D87E25"/>
    <w:lvl w:ilvl="0" w:tentative="0">
      <w:start w:val="2"/>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6F9"/>
    <w:rsid w:val="000018F9"/>
    <w:rsid w:val="0002229B"/>
    <w:rsid w:val="000273BD"/>
    <w:rsid w:val="000415B7"/>
    <w:rsid w:val="000658A3"/>
    <w:rsid w:val="00074155"/>
    <w:rsid w:val="000A3F69"/>
    <w:rsid w:val="00123E7C"/>
    <w:rsid w:val="00146383"/>
    <w:rsid w:val="00152C6D"/>
    <w:rsid w:val="00162D39"/>
    <w:rsid w:val="001A67DB"/>
    <w:rsid w:val="001B603D"/>
    <w:rsid w:val="001C5289"/>
    <w:rsid w:val="001D51E5"/>
    <w:rsid w:val="001F0C3B"/>
    <w:rsid w:val="00214427"/>
    <w:rsid w:val="00265724"/>
    <w:rsid w:val="0027426B"/>
    <w:rsid w:val="00347126"/>
    <w:rsid w:val="003479BD"/>
    <w:rsid w:val="003768D5"/>
    <w:rsid w:val="0042011E"/>
    <w:rsid w:val="004506F9"/>
    <w:rsid w:val="004717A2"/>
    <w:rsid w:val="00491741"/>
    <w:rsid w:val="004A3E4D"/>
    <w:rsid w:val="004E2802"/>
    <w:rsid w:val="00500E5F"/>
    <w:rsid w:val="005122EF"/>
    <w:rsid w:val="00517C33"/>
    <w:rsid w:val="00523644"/>
    <w:rsid w:val="0054069E"/>
    <w:rsid w:val="00541D5F"/>
    <w:rsid w:val="005767CC"/>
    <w:rsid w:val="00587765"/>
    <w:rsid w:val="00590D9F"/>
    <w:rsid w:val="00595D26"/>
    <w:rsid w:val="005A74E6"/>
    <w:rsid w:val="005D4D55"/>
    <w:rsid w:val="005E2CFB"/>
    <w:rsid w:val="0062378F"/>
    <w:rsid w:val="00651EEC"/>
    <w:rsid w:val="006A10BD"/>
    <w:rsid w:val="006A1C24"/>
    <w:rsid w:val="006A351B"/>
    <w:rsid w:val="006B0422"/>
    <w:rsid w:val="006B3329"/>
    <w:rsid w:val="006C1B53"/>
    <w:rsid w:val="006C221E"/>
    <w:rsid w:val="006D7730"/>
    <w:rsid w:val="006E5284"/>
    <w:rsid w:val="006F1C4E"/>
    <w:rsid w:val="006F3EB5"/>
    <w:rsid w:val="00702E34"/>
    <w:rsid w:val="00704395"/>
    <w:rsid w:val="00712BC5"/>
    <w:rsid w:val="00720FF1"/>
    <w:rsid w:val="007B3D24"/>
    <w:rsid w:val="007B57B9"/>
    <w:rsid w:val="00812ED5"/>
    <w:rsid w:val="008277D9"/>
    <w:rsid w:val="00847B86"/>
    <w:rsid w:val="00847CBA"/>
    <w:rsid w:val="008A3E8D"/>
    <w:rsid w:val="009061F6"/>
    <w:rsid w:val="009237C4"/>
    <w:rsid w:val="00950252"/>
    <w:rsid w:val="00967F5D"/>
    <w:rsid w:val="009822C8"/>
    <w:rsid w:val="009A0F95"/>
    <w:rsid w:val="009B3ADF"/>
    <w:rsid w:val="009C3B52"/>
    <w:rsid w:val="00A42218"/>
    <w:rsid w:val="00A612D4"/>
    <w:rsid w:val="00A70249"/>
    <w:rsid w:val="00AA24FC"/>
    <w:rsid w:val="00AA6F9B"/>
    <w:rsid w:val="00B016D1"/>
    <w:rsid w:val="00B0216F"/>
    <w:rsid w:val="00B1515E"/>
    <w:rsid w:val="00B33BEA"/>
    <w:rsid w:val="00B40453"/>
    <w:rsid w:val="00B53DF9"/>
    <w:rsid w:val="00B57C9F"/>
    <w:rsid w:val="00B71CA7"/>
    <w:rsid w:val="00B75F76"/>
    <w:rsid w:val="00B845B3"/>
    <w:rsid w:val="00B85D8B"/>
    <w:rsid w:val="00B97A29"/>
    <w:rsid w:val="00BA3F65"/>
    <w:rsid w:val="00BE3674"/>
    <w:rsid w:val="00C01C4A"/>
    <w:rsid w:val="00C3049A"/>
    <w:rsid w:val="00C31B1E"/>
    <w:rsid w:val="00C77645"/>
    <w:rsid w:val="00CE04C3"/>
    <w:rsid w:val="00CE76A0"/>
    <w:rsid w:val="00D148C6"/>
    <w:rsid w:val="00D42D1C"/>
    <w:rsid w:val="00DB4A2F"/>
    <w:rsid w:val="00DC7EC8"/>
    <w:rsid w:val="00DD06FF"/>
    <w:rsid w:val="00DD5FE9"/>
    <w:rsid w:val="00DF64D0"/>
    <w:rsid w:val="00E00C7A"/>
    <w:rsid w:val="00E277D5"/>
    <w:rsid w:val="00E55B68"/>
    <w:rsid w:val="00E87150"/>
    <w:rsid w:val="00EF7E0C"/>
    <w:rsid w:val="00F32A90"/>
    <w:rsid w:val="00F74360"/>
    <w:rsid w:val="00FB462F"/>
    <w:rsid w:val="00FE16FA"/>
    <w:rsid w:val="00FE328A"/>
    <w:rsid w:val="0A733E75"/>
    <w:rsid w:val="21463EB7"/>
    <w:rsid w:val="27604A75"/>
    <w:rsid w:val="2A2C24F5"/>
    <w:rsid w:val="2F103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无间隔1"/>
    <w:qFormat/>
    <w:uiPriority w:val="99"/>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42F796-39D5-474D-AA91-7AC31A7B521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1524</Words>
  <Characters>8688</Characters>
  <Lines>72</Lines>
  <Paragraphs>20</Paragraphs>
  <TotalTime>3</TotalTime>
  <ScaleCrop>false</ScaleCrop>
  <LinksUpToDate>false</LinksUpToDate>
  <CharactersWithSpaces>10192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冰之剑</cp:lastModifiedBy>
  <cp:lastPrinted>2020-07-15T07:25:00Z</cp:lastPrinted>
  <dcterms:modified xsi:type="dcterms:W3CDTF">2021-06-23T11:04:33Z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E95A34CF9D7644F3A1FA11796A7FBA1E</vt:lpwstr>
  </property>
</Properties>
</file>