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衡南县审计局部门决算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40" w:lineRule="exact"/>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第一部分衡南县审计局概况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衡南县审计局概况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8、组织实施对国家财经法律、法规、规章、政策和宏观调控措施执行情况、财政预算管理或国有资产管理使用等与国家财政收支有关的特定事项进行专项审计调查。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9、负责上级审计机关授权的审计项目和专项审计调查项目以及国家重大政策措施和宏观调控部署落实情况的跟踪审计项目的组织实施。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11、指导监督内部审计和社会审计机构工作，对依法属于审计监督对象的单位的内部审计业务进行指导和监督，对依法属于审计机关审计监督对象的社会审计机构出具的审计报告进行检查。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12、组织审计我县驻外机构的财务收支，依法通过适当方式组织审计县属企业和金融机构的境外资产、负债和损益。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14、负责职责范围内对有关行业、领域的安全生产工作实施监督管理。</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15、承办县人民政府交办的其他事项。</w:t>
      </w:r>
    </w:p>
    <w:p>
      <w:pPr>
        <w:jc w:val="left"/>
        <w:rPr>
          <w:rFonts w:ascii="仿宋_GB2312" w:eastAsia="仿宋_GB2312" w:hAnsiTheme="minorEastAsia"/>
          <w:sz w:val="28"/>
          <w:szCs w:val="32"/>
        </w:rPr>
      </w:pP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56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根据上述职责，县审计局设12个内设机构：办公室、组织人事财务股、法规审理股、文明办、审计技术股、财政金融审计股、行政事业审计股、经贸审计股、农业与国土资源环保审计股、内部审计指导股、经济责任审计中心、固定资产投资审计中心</w:t>
      </w:r>
    </w:p>
    <w:p>
      <w:pPr>
        <w:widowControl/>
        <w:spacing w:line="600" w:lineRule="exact"/>
        <w:rPr>
          <w:rFonts w:asciiTheme="minorEastAsia" w:hAnsiTheme="minorEastAsia"/>
          <w:bCs/>
          <w:kern w:val="0"/>
          <w:sz w:val="32"/>
          <w:szCs w:val="32"/>
        </w:rPr>
      </w:pPr>
    </w:p>
    <w:p>
      <w:pPr>
        <w:widowControl/>
        <w:spacing w:line="600" w:lineRule="exact"/>
        <w:ind w:firstLine="320" w:firstLineChars="10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衡南县审计局2019年部门决算汇总公开单位构成包括：衡南县审计局本级（含衡南县审计服务中心）。</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asciiTheme="minorEastAsia" w:hAnsiTheme="minorEastAsia" w:eastAsiaTheme="minorEastAsia"/>
          <w:sz w:val="32"/>
          <w:szCs w:val="32"/>
        </w:rPr>
      </w:pPr>
    </w:p>
    <w:p>
      <w:pPr>
        <w:pStyle w:val="9"/>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 年度收、支总计859.19万元。与2018年相比，减少23.4万元，增长减少2.65%，主要是因为改进审计方法，提高了工作效率，节省了项目开支经费35万元。</w:t>
      </w:r>
    </w:p>
    <w:p>
      <w:pPr>
        <w:pStyle w:val="9"/>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本年收入合计859.19万元，其中：财政拨款收入859.19万元，占100%。</w:t>
      </w:r>
    </w:p>
    <w:p>
      <w:pPr>
        <w:pStyle w:val="9"/>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本年支出合计859.19万元，其中：基本支出781.19万元，占90.92%；项目支出78万元，占9.18%；上缴上级支出0万元；经营支出0万元；对附属单位补助支出0万元。</w:t>
      </w:r>
    </w:p>
    <w:p>
      <w:pPr>
        <w:pStyle w:val="9"/>
        <w:rPr>
          <w:rFonts w:hAnsi="黑体"/>
          <w:b/>
          <w:sz w:val="32"/>
          <w:szCs w:val="32"/>
        </w:rPr>
      </w:pPr>
      <w:r>
        <w:rPr>
          <w:rFonts w:hint="eastAsia" w:hAnsi="黑体"/>
          <w:b/>
          <w:sz w:val="32"/>
          <w:szCs w:val="32"/>
        </w:rPr>
        <w:t>四、财政拨款收入支出决算总体情况说明</w:t>
      </w:r>
    </w:p>
    <w:p>
      <w:pPr>
        <w:pStyle w:val="9"/>
        <w:ind w:firstLine="64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2019年度财政拨款收、支总计859.19万元。</w:t>
      </w:r>
    </w:p>
    <w:p>
      <w:pPr>
        <w:pStyle w:val="9"/>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2019年度财政拨款支出859.19万元，占本年支出合计的100%，与2018年相比，财政拨款支出减少23.4万元，减少2.65%，主要是因为改进审计方法，提高了工作效率，节省了项目开支经费35万元。</w:t>
      </w:r>
    </w:p>
    <w:p>
      <w:pPr>
        <w:pStyle w:val="9"/>
        <w:ind w:firstLine="800" w:firstLineChars="250"/>
        <w:rPr>
          <w:rFonts w:asciiTheme="minorEastAsia" w:hAnsiTheme="minorEastAsia" w:eastAsiaTheme="minorEastAsia"/>
          <w:sz w:val="32"/>
          <w:szCs w:val="32"/>
        </w:rPr>
      </w:pP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859.19万元，主要用于以下方面：一般公共服务（类）支出776.28万元，占90.35%；教育（类）支出0.5万元，占0.06%;社会保障和就业（类）支出49.91万元，占5.81%；卫生健康（类）支出16.83万元，占1.96%；住房保障（类）支出15.67万元，占1.82%。</w:t>
      </w:r>
    </w:p>
    <w:p>
      <w:pPr>
        <w:pStyle w:val="9"/>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2019年度财政拨款支出年初预算数为859.19万元，支出决算数为859.19万元，完成年初预算的100%，其中：</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年初预算为776.28万元，支出决算为776.28万元，完成年初预算的100%。2、教育支出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教育支出年初预算数0.5万元，决算数0.5万元，完成年初预算的100%。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3、社会保障和就业支出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社会保障和就业支出年初预算49.91万元，决算数49.91万元，完成年初预算的100%。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4、卫生健康支出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卫生健康支出年初预算16.83万元，决算数16.83万元，完成年初预算的100%。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住房保障支出年初预算15.67万元，决算数15.67万元，完成年初预算的100%。</w:t>
      </w:r>
    </w:p>
    <w:p>
      <w:pPr>
        <w:pStyle w:val="9"/>
        <w:ind w:firstLine="800" w:firstLineChars="250"/>
        <w:rPr>
          <w:rFonts w:asciiTheme="minorEastAsia" w:hAnsiTheme="minorEastAsia" w:eastAsiaTheme="minorEastAsia"/>
          <w:sz w:val="32"/>
          <w:szCs w:val="32"/>
        </w:rPr>
      </w:pPr>
    </w:p>
    <w:p>
      <w:pPr>
        <w:pStyle w:val="9"/>
        <w:rPr>
          <w:rFonts w:hAnsi="黑体"/>
          <w:b/>
          <w:sz w:val="32"/>
          <w:szCs w:val="32"/>
        </w:rPr>
      </w:pPr>
      <w:r>
        <w:rPr>
          <w:rFonts w:hint="eastAsia" w:hAnsi="黑体"/>
          <w:b/>
          <w:sz w:val="32"/>
          <w:szCs w:val="32"/>
        </w:rPr>
        <w:t>六、一般公共预算财政拨款基本支出决算情况说明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781.19万元，其中：人员经费619.69万元，占基本支出的79.33%,主要包括基本工资、津贴补贴、奖金、伙食补助费、绩效工资等；公用经费161.5万元，占基本支出的20.67%，主要包括办公费、印刷费、咨询费、水电费、邮电费、维修费、工会经费等。</w:t>
      </w:r>
    </w:p>
    <w:p>
      <w:pPr>
        <w:pStyle w:val="9"/>
        <w:rPr>
          <w:rFonts w:hAnsi="黑体"/>
          <w:b/>
          <w:sz w:val="32"/>
          <w:szCs w:val="32"/>
        </w:rPr>
      </w:pPr>
      <w:r>
        <w:rPr>
          <w:rFonts w:hint="eastAsia" w:hAnsi="黑体"/>
          <w:b/>
          <w:sz w:val="32"/>
          <w:szCs w:val="32"/>
        </w:rPr>
        <w:t>七、一般公共预算财政拨款三公经费支出决算情况说明</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asciiTheme="minorEastAsia" w:hAnsiTheme="minorEastAsia" w:eastAsiaTheme="minorEastAsia"/>
          <w:sz w:val="32"/>
          <w:szCs w:val="32"/>
        </w:rPr>
        <w:t>5</w:t>
      </w:r>
      <w:r>
        <w:rPr>
          <w:rFonts w:hint="eastAsia" w:asciiTheme="minorEastAsia" w:hAnsiTheme="minorEastAsia" w:eastAsiaTheme="minorEastAsia"/>
          <w:sz w:val="32"/>
          <w:szCs w:val="32"/>
        </w:rPr>
        <w:t>万元，支出决算为2.3万元，完成预算的</w:t>
      </w:r>
      <w:r>
        <w:rPr>
          <w:rFonts w:asciiTheme="minorEastAsia" w:hAnsiTheme="minorEastAsia" w:eastAsiaTheme="minorEastAsia"/>
          <w:sz w:val="32"/>
          <w:szCs w:val="32"/>
        </w:rPr>
        <w:t>46</w:t>
      </w:r>
      <w:r>
        <w:rPr>
          <w:rFonts w:hint="eastAsia" w:asciiTheme="minorEastAsia" w:hAnsiTheme="minorEastAsia" w:eastAsiaTheme="minorEastAsia"/>
          <w:sz w:val="32"/>
          <w:szCs w:val="32"/>
        </w:rPr>
        <w:t>%，其中：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asciiTheme="minorEastAsia" w:hAnsiTheme="minorEastAsia" w:eastAsiaTheme="minorEastAsia"/>
          <w:sz w:val="32"/>
          <w:szCs w:val="32"/>
        </w:rPr>
        <w:t>5</w:t>
      </w:r>
      <w:r>
        <w:rPr>
          <w:rFonts w:hint="eastAsia" w:asciiTheme="minorEastAsia" w:hAnsiTheme="minorEastAsia" w:eastAsiaTheme="minorEastAsia"/>
          <w:sz w:val="32"/>
          <w:szCs w:val="32"/>
        </w:rPr>
        <w:t>万元，支出决算</w:t>
      </w:r>
      <w:bookmarkStart w:id="0" w:name="_GoBack"/>
      <w:r>
        <w:rPr>
          <w:rFonts w:hint="eastAsia" w:asciiTheme="minorEastAsia" w:hAnsiTheme="minorEastAsia" w:eastAsiaTheme="minorEastAsia"/>
          <w:sz w:val="32"/>
          <w:szCs w:val="32"/>
        </w:rPr>
        <w:t>为2.3</w:t>
      </w:r>
      <w:bookmarkEnd w:id="0"/>
      <w:r>
        <w:rPr>
          <w:rFonts w:hint="eastAsia" w:asciiTheme="minorEastAsia" w:hAnsiTheme="minorEastAsia" w:eastAsiaTheme="minorEastAsia"/>
          <w:sz w:val="32"/>
          <w:szCs w:val="32"/>
        </w:rPr>
        <w:t>万元，完成预算的</w:t>
      </w:r>
      <w:r>
        <w:rPr>
          <w:rFonts w:asciiTheme="minorEastAsia" w:hAnsiTheme="minorEastAsia" w:eastAsiaTheme="minorEastAsia"/>
          <w:sz w:val="32"/>
          <w:szCs w:val="32"/>
        </w:rPr>
        <w:t>46</w:t>
      </w:r>
      <w:r>
        <w:rPr>
          <w:rFonts w:hint="eastAsia" w:asciiTheme="minorEastAsia" w:hAnsiTheme="minorEastAsia" w:eastAsiaTheme="minorEastAsia"/>
          <w:sz w:val="32"/>
          <w:szCs w:val="32"/>
        </w:rPr>
        <w:t>%，决算数小于年初预算数的主要原因是减少非必要接待，节省开支。</w:t>
      </w:r>
    </w:p>
    <w:p>
      <w:pPr>
        <w:pStyle w:val="9"/>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公务用车购置费及运行维护费支出预算为0万元，支出决算为0万元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本单位执行公车改革，没有公务用车辆。</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2019年度“三公”经费财政拨款支出决算中，公务接待费支出决算2.3万元，占100%,因公出国（境）费支出决算0万元，占0%,公务用车购置费及运行维护费支出决算0万元，占0%。其中：</w:t>
      </w:r>
    </w:p>
    <w:p>
      <w:pPr>
        <w:pStyle w:val="9"/>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1、因公出国（境）费支出决算为0万元，全年未安排因公出国（境）</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2、公务接待费支出决算为2.3万元，全年共接待来访团组55个、来宾436人次，主要是审计意见交换、审计整改及交叉审计发生的接待支出。</w:t>
      </w:r>
    </w:p>
    <w:p>
      <w:pPr>
        <w:ind w:firstLine="800" w:firstLineChars="250"/>
        <w:rPr>
          <w:rFonts w:hint="eastAsia" w:asciiTheme="minorEastAsia" w:hAnsiTheme="minorEastAsia"/>
          <w:sz w:val="32"/>
          <w:szCs w:val="32"/>
        </w:rPr>
      </w:pPr>
      <w:r>
        <w:rPr>
          <w:rFonts w:hint="eastAsia" w:asciiTheme="minorEastAsia" w:hAnsiTheme="minorEastAsia"/>
          <w:sz w:val="32"/>
          <w:szCs w:val="32"/>
        </w:rPr>
        <w:t>3、公务用车购置费及运行维护费支出决算为0万元。</w:t>
      </w:r>
    </w:p>
    <w:p>
      <w:pPr>
        <w:ind w:firstLine="800" w:firstLineChars="250"/>
        <w:rPr>
          <w:rFonts w:hint="eastAsia" w:asciiTheme="minorEastAsia" w:hAnsiTheme="minorEastAsia"/>
          <w:sz w:val="32"/>
          <w:szCs w:val="32"/>
        </w:rPr>
      </w:pPr>
      <w:r>
        <w:rPr>
          <w:rFonts w:hint="eastAsia" w:asciiTheme="minorEastAsia" w:hAnsiTheme="minorEastAsia"/>
          <w:sz w:val="32"/>
          <w:szCs w:val="32"/>
        </w:rPr>
        <w:t>至2019年12月31日，本单位公务用车保有量为0辆，当年新增公务用车为0辆。</w:t>
      </w:r>
    </w:p>
    <w:p>
      <w:pPr>
        <w:pStyle w:val="9"/>
        <w:rPr>
          <w:rFonts w:hAnsi="黑体"/>
          <w:b/>
          <w:sz w:val="32"/>
          <w:szCs w:val="32"/>
        </w:rPr>
      </w:pPr>
      <w:r>
        <w:rPr>
          <w:rFonts w:hint="eastAsia" w:hAnsi="黑体"/>
          <w:b/>
          <w:sz w:val="32"/>
          <w:szCs w:val="32"/>
        </w:rPr>
        <w:t>八、政府性基金预算收入支出决算情况</w:t>
      </w:r>
    </w:p>
    <w:p>
      <w:pPr>
        <w:pStyle w:val="9"/>
        <w:rPr>
          <w:rFonts w:asciiTheme="minorEastAsia" w:hAnsiTheme="minorEastAsia" w:eastAsiaTheme="minorEastAsia"/>
          <w:i/>
          <w:color w:val="FF0000"/>
          <w:sz w:val="32"/>
          <w:szCs w:val="32"/>
        </w:rPr>
      </w:pPr>
      <w:r>
        <w:rPr>
          <w:rFonts w:hint="eastAsia" w:asciiTheme="minorEastAsia" w:hAnsiTheme="minorEastAsia" w:eastAsiaTheme="minorEastAsia"/>
          <w:sz w:val="32"/>
          <w:szCs w:val="32"/>
        </w:rPr>
        <w:t xml:space="preserve">     </w:t>
      </w:r>
      <w:r>
        <w:rPr>
          <w:rFonts w:hint="eastAsia" w:asciiTheme="minorEastAsia" w:hAnsiTheme="minorEastAsia" w:eastAsiaTheme="minorEastAsia" w:cstheme="minorBidi"/>
          <w:color w:val="auto"/>
          <w:kern w:val="2"/>
          <w:sz w:val="32"/>
          <w:szCs w:val="32"/>
        </w:rPr>
        <w:t>本单位无政府性基金收支</w:t>
      </w:r>
    </w:p>
    <w:p>
      <w:pPr>
        <w:pStyle w:val="9"/>
        <w:rPr>
          <w:rFonts w:hAnsi="黑体"/>
          <w:b/>
          <w:sz w:val="32"/>
          <w:szCs w:val="32"/>
        </w:rPr>
      </w:pPr>
      <w:r>
        <w:rPr>
          <w:rFonts w:hint="eastAsia" w:hAnsi="黑体"/>
          <w:b/>
          <w:sz w:val="32"/>
          <w:szCs w:val="32"/>
        </w:rPr>
        <w:t>九、关于2019年度预算绩效情况说明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本部门预算绩效管理开展情况、绩效目标和绩效评价报告已作为附件公开</w:t>
      </w:r>
    </w:p>
    <w:p>
      <w:pPr>
        <w:pStyle w:val="9"/>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年度机关运行经费支出776.28万元。</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5.1万元，用于召开各季度被审计单位审计意见交换、审计整改情况回访及扶贫工作布置等会议，人数合计822人；开支培训费3.2万元，用于开展审计大讲堂、新政府会计制度培训、大数据分析在审计工作中的应用、经责审计方法、行政事业单位内控制度，人数合计296人；</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本部门2019年度政府采购支出总额78.6万元，其中：政府采购货物支出78.6万元、政府采购工程支出0万元、政府采购服务支出0万元。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截至2019年12月31日，本单位没有车辆，单位价值50万元以上通用设备0台（套）；单位价值100万元以上专用设备0台（套）。</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（五）其他说明</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b/>
          <w:color w:val="000000"/>
          <w:kern w:val="0"/>
          <w:sz w:val="32"/>
          <w:szCs w:val="32"/>
        </w:rPr>
        <w:t xml:space="preserve">    </w:t>
      </w:r>
      <w:r>
        <w:rPr>
          <w:rFonts w:hint="eastAsia" w:cs="黑体" w:asciiTheme="minorEastAsia" w:hAnsiTheme="minorEastAsia"/>
          <w:color w:val="000000"/>
          <w:kern w:val="0"/>
          <w:sz w:val="32"/>
          <w:szCs w:val="32"/>
        </w:rPr>
        <w:t>决算数据四舍五入取值，可能存在细微出入。</w:t>
      </w:r>
    </w:p>
    <w:p>
      <w:pPr>
        <w:ind w:firstLine="640" w:firstLineChars="200"/>
        <w:rPr>
          <w:rFonts w:cs="黑体" w:asciiTheme="minorEastAsia" w:hAnsiTheme="minorEastAsia"/>
          <w:color w:val="000000"/>
          <w:kern w:val="0"/>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ind w:firstLine="320" w:firstLineChars="100"/>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一、财政拨款收入：指财政当年拨付的资金。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二、年初结转和结余：指以前年度尚未完成、结转到本年按有关规定继续使用的资金。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三、年末结转和结余：指本年度或以前年度预算安排、因客观条件发生变化无法按计划实施，需要延迟到以后年度按有关规定继续使用的资金。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四、基本支出：指为保障机构正常运转、完成日常工作任务而发生的人员支出和公用支出。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五、项目支出：指在基本支出之外为完成特定行政任务和事业发展目标所发生的支出。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六、“三公”经费：指财政拨款安排的因公出国（境）、公务用车购置及运行费和公务接待费。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spacing w:line="560" w:lineRule="exact"/>
        <w:ind w:firstLine="880" w:firstLineChars="200"/>
        <w:jc w:val="center"/>
        <w:rPr>
          <w:rFonts w:ascii="仿宋_GB2312" w:hAnsi="仿宋_GB2312" w:eastAsia="仿宋_GB2312" w:cs="仿宋_GB2312"/>
          <w:b/>
          <w:color w:val="333333"/>
          <w:kern w:val="0"/>
          <w:sz w:val="44"/>
          <w:szCs w:val="44"/>
          <w:shd w:val="clear" w:color="auto" w:fill="FFFFFF"/>
          <w:lang w:bidi="ar"/>
        </w:rPr>
      </w:pP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一、部门基本情况</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（一）部门职能职责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8、组织实施对国家财经法律、法规、规章、政策和宏观调控措施执行情况、财政预算管理或国有资产管理使用等与国家财政收支有关的特定事项进行专项审计调查。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9、负责上级审计机关授权的审计项目和专项审计调查项目以及国家重大政策措施和宏观调控部署落实情况的跟踪审计项目的组织实施。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11、指导监督内部审计和社会审计机构工作，对依法属于审计监督对象的单位的内部审计业务进行指导和监督，对依法属于审计机关审计监督对象的社会审计机构出具的审计报告进行检查。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12、组织审计我县驻外机构的财务收支，依法通过适当方式组织审计县属企业和金融机构的境外资产、负债和损益。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14、负责职责范围内对有关行业、领域的安全生产工作实施监督管理。</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15、承办县人民政府交办的其他事项。</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（二）机构设置情况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根据上述职责，县审计局设12个内设机构：</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办公室、组织人事财务股、法规审理股、文明办、审计技术股、财政金融审计股、行政事业审计股、经贸审计股、农业与国土资源环保审计股、内部审计指导股、经济责任审计中心、固定资产投资审计中心</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（三）人员编制情况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2019年末，我局实有在职人员48人，其中：公务员及参公人员17人、事业编制31人。离退休15人。</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二、年度绩效目标</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（一）围绕促进建立公共财政制度，不断加大对重点部门、重点资金、重点领域的审计力度，不仅查资金拨付和管理情况，更关注资金的二次分配及使用效益。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强化政府投资审计。围绕扩大内需宏观政策措施执行情况，加大对重点工程项目的审计力度，认真开展全过程跟踪审计，及时组织对已完工程的竣工决算审计，突出对工程项目资金管理与结算情况的审计，牢牢抓住工程决算核减率这个核心，确保建设资金使用的真实、合法、有效。</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三）深化经济责任审计。加强对权力的监督和制约，促进领导干部认真履行职责，以推进党风廉政建设为目标，进一步开展离任审计，扩大任中审计面，健全审计评价指标体系，完善审计结果运用制度，提升经济责任审计工作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（四）突出抓好专项资金审计。牢固树立“民生审计”理念，从领导关注、群众关心的热点、难点问题入手，重点加大对民生资金，如社会保障、教育、涉农资金等方面的审计监督。</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三、整体收支及管理情况</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（一）整体收支基本情况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2019年预算总收入859.19万元，实际总支出859.19万元，其中基本支出781.19万元，占全年总支出的91%，项目支出78万元，占全年总支出的9%。</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（二）支出分类情况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2019年我局基本支出为781.19万元，其中：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1、人员经费支出619.69万元，占基本支出的79.33%</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2、日常运行公用经费支出161.5万元，占基本支出的20.67%。</w:t>
      </w:r>
    </w:p>
    <w:p>
      <w:pPr>
        <w:spacing w:line="560" w:lineRule="exact"/>
        <w:ind w:firstLine="640" w:firstLineChars="200"/>
        <w:rPr>
          <w:rFonts w:ascii="楷体" w:hAnsi="楷体" w:eastAsia="楷体" w:cs="楷体"/>
          <w:b/>
          <w:color w:val="333333"/>
          <w:kern w:val="0"/>
          <w:sz w:val="32"/>
          <w:szCs w:val="32"/>
          <w:shd w:val="clear" w:color="auto" w:fill="FFFFFF"/>
          <w:lang w:bidi="ar"/>
        </w:rPr>
      </w:pPr>
      <w:r>
        <w:rPr>
          <w:rFonts w:hint="eastAsia" w:ascii="楷体" w:hAnsi="楷体" w:eastAsia="楷体" w:cs="楷体"/>
          <w:b/>
          <w:color w:val="333333"/>
          <w:kern w:val="0"/>
          <w:sz w:val="32"/>
          <w:szCs w:val="32"/>
          <w:shd w:val="clear" w:color="auto" w:fill="FFFFFF"/>
          <w:lang w:bidi="ar"/>
        </w:rPr>
        <w:t>（三）“三公”经费支出情况</w:t>
      </w:r>
    </w:p>
    <w:p>
      <w:pPr>
        <w:spacing w:line="560" w:lineRule="exact"/>
        <w:ind w:firstLine="640" w:firstLineChars="200"/>
        <w:rPr>
          <w:rFonts w:ascii="仿宋_GB2312" w:hAnsi="仿宋_GB2312" w:eastAsia="仿宋_GB2312" w:cs="仿宋_GB2312"/>
          <w:bCs/>
          <w:kern w:val="0"/>
          <w:sz w:val="32"/>
          <w:szCs w:val="32"/>
          <w:shd w:val="clear" w:color="auto" w:fill="FFFFFF"/>
          <w:lang w:bidi="ar"/>
        </w:rPr>
      </w:pPr>
      <w:r>
        <w:rPr>
          <w:rFonts w:hint="eastAsia" w:ascii="仿宋_GB2312" w:hAnsi="仿宋_GB2312" w:eastAsia="仿宋_GB2312" w:cs="仿宋_GB2312"/>
          <w:bCs/>
          <w:kern w:val="0"/>
          <w:sz w:val="32"/>
          <w:szCs w:val="32"/>
          <w:shd w:val="clear" w:color="auto" w:fill="FFFFFF"/>
          <w:lang w:bidi="ar"/>
        </w:rPr>
        <w:t>2019年我局“三公”经费年初预算控制数5万元，其中：公务接待费5万元。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实际“三公” 经费支出</w:t>
      </w:r>
      <w:r>
        <w:rPr>
          <w:rFonts w:ascii="仿宋_GB2312" w:hAnsi="仿宋_GB2312" w:eastAsia="仿宋_GB2312" w:cs="仿宋_GB2312"/>
          <w:bCs/>
          <w:color w:val="333333"/>
          <w:kern w:val="0"/>
          <w:sz w:val="32"/>
          <w:szCs w:val="32"/>
          <w:shd w:val="clear" w:color="auto" w:fill="FFFFFF"/>
          <w:lang w:bidi="ar"/>
        </w:rPr>
        <w:t>2.3</w:t>
      </w:r>
      <w:r>
        <w:rPr>
          <w:rFonts w:hint="eastAsia" w:ascii="仿宋_GB2312" w:hAnsi="仿宋_GB2312" w:eastAsia="仿宋_GB2312" w:cs="仿宋_GB2312"/>
          <w:bCs/>
          <w:color w:val="333333"/>
          <w:kern w:val="0"/>
          <w:sz w:val="32"/>
          <w:szCs w:val="32"/>
          <w:shd w:val="clear" w:color="auto" w:fill="FFFFFF"/>
          <w:lang w:bidi="ar"/>
        </w:rPr>
        <w:t>万元，其中：公务接待费</w:t>
      </w:r>
      <w:r>
        <w:rPr>
          <w:rFonts w:ascii="仿宋_GB2312" w:hAnsi="仿宋_GB2312" w:eastAsia="仿宋_GB2312" w:cs="仿宋_GB2312"/>
          <w:bCs/>
          <w:color w:val="333333"/>
          <w:kern w:val="0"/>
          <w:sz w:val="32"/>
          <w:szCs w:val="32"/>
          <w:shd w:val="clear" w:color="auto" w:fill="FFFFFF"/>
          <w:lang w:bidi="ar"/>
        </w:rPr>
        <w:t>2.3</w:t>
      </w:r>
      <w:r>
        <w:rPr>
          <w:rFonts w:hint="eastAsia" w:ascii="仿宋_GB2312" w:hAnsi="仿宋_GB2312" w:eastAsia="仿宋_GB2312" w:cs="仿宋_GB2312"/>
          <w:bCs/>
          <w:color w:val="333333"/>
          <w:kern w:val="0"/>
          <w:sz w:val="32"/>
          <w:szCs w:val="32"/>
          <w:shd w:val="clear" w:color="auto" w:fill="FFFFFF"/>
          <w:lang w:bidi="ar"/>
        </w:rPr>
        <w:t>万元，公务用车运行维护费无支出，因公出国（境）费无支出。比年初预算节约</w:t>
      </w:r>
      <w:r>
        <w:rPr>
          <w:rFonts w:ascii="仿宋_GB2312" w:hAnsi="仿宋_GB2312" w:eastAsia="仿宋_GB2312" w:cs="仿宋_GB2312"/>
          <w:bCs/>
          <w:color w:val="333333"/>
          <w:kern w:val="0"/>
          <w:sz w:val="32"/>
          <w:szCs w:val="32"/>
          <w:shd w:val="clear" w:color="auto" w:fill="FFFFFF"/>
          <w:lang w:bidi="ar"/>
        </w:rPr>
        <w:t>2.7</w:t>
      </w:r>
      <w:r>
        <w:rPr>
          <w:rFonts w:hint="eastAsia" w:ascii="仿宋_GB2312" w:hAnsi="仿宋_GB2312" w:eastAsia="仿宋_GB2312" w:cs="仿宋_GB2312"/>
          <w:bCs/>
          <w:color w:val="333333"/>
          <w:kern w:val="0"/>
          <w:sz w:val="32"/>
          <w:szCs w:val="32"/>
          <w:shd w:val="clear" w:color="auto" w:fill="FFFFFF"/>
          <w:lang w:bidi="ar"/>
        </w:rPr>
        <w:t>万元，节约比例</w:t>
      </w:r>
      <w:r>
        <w:rPr>
          <w:rFonts w:ascii="仿宋_GB2312" w:hAnsi="仿宋_GB2312" w:eastAsia="仿宋_GB2312" w:cs="仿宋_GB2312"/>
          <w:bCs/>
          <w:color w:val="333333"/>
          <w:kern w:val="0"/>
          <w:sz w:val="32"/>
          <w:szCs w:val="32"/>
          <w:shd w:val="clear" w:color="auto" w:fill="FFFFFF"/>
          <w:lang w:bidi="ar"/>
        </w:rPr>
        <w:t>54</w:t>
      </w:r>
      <w:r>
        <w:rPr>
          <w:rFonts w:hint="eastAsia" w:ascii="仿宋_GB2312" w:hAnsi="仿宋_GB2312" w:eastAsia="仿宋_GB2312" w:cs="仿宋_GB2312"/>
          <w:bCs/>
          <w:color w:val="333333"/>
          <w:kern w:val="0"/>
          <w:sz w:val="32"/>
          <w:szCs w:val="32"/>
          <w:shd w:val="clear" w:color="auto" w:fill="FFFFFF"/>
          <w:lang w:bidi="ar"/>
        </w:rPr>
        <w:t>%。</w:t>
      </w:r>
    </w:p>
    <w:p>
      <w:pPr>
        <w:spacing w:line="560" w:lineRule="exact"/>
        <w:ind w:firstLine="640" w:firstLineChars="200"/>
        <w:rPr>
          <w:rFonts w:ascii="楷体" w:hAnsi="楷体" w:eastAsia="楷体" w:cs="楷体"/>
          <w:bCs/>
          <w:color w:val="333333"/>
          <w:kern w:val="0"/>
          <w:sz w:val="32"/>
          <w:szCs w:val="32"/>
          <w:shd w:val="clear" w:color="auto" w:fill="FFFFFF"/>
          <w:lang w:bidi="ar"/>
        </w:rPr>
      </w:pPr>
      <w:r>
        <w:rPr>
          <w:rFonts w:hint="eastAsia" w:ascii="楷体" w:hAnsi="楷体" w:eastAsia="楷体" w:cs="楷体"/>
          <w:bCs/>
          <w:color w:val="333333"/>
          <w:kern w:val="0"/>
          <w:sz w:val="32"/>
          <w:szCs w:val="32"/>
          <w:shd w:val="clear" w:color="auto" w:fill="FFFFFF"/>
          <w:lang w:bidi="ar"/>
        </w:rPr>
        <w:t>（四）专项支出情况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1、专项资金预算安排和使用情况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2019年县财政预算安排专项审计经费78万元，实际拨付资金78万元，资金到位率100%。其中：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（1）政府投资审计中心工作经费5万元，主要用于政府投资审计中心的人员差旅费和办公经费等；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（2）专项审计工作经费25万元（经济责任审计、信息化建设、同级财政审计工作经费），主要用于专项审计工作中的差旅费、租车费、办公费等相关费用；</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（3）审计外勤经费43万元，主要用于审计项目实施，审计整改回访租车、工作用餐等经费;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（4）“金审工程”经费5万元，主要用于“金审工程”运行、维护、设备更新支出、人员培训、审计大数据分析、电脑信息运行及维护等支出。</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2、专项资金管理情况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我局严格按照专项资金相关管理规定管理和使用财政专项资金，确保财政资金使用效益。做到资金拨付审批手续完整，专款专用，不存在支出依据不合规、虚列项目支出、截留、挤占、挪用和超标准支出等现象。同时，我们严格按照《会计法》及相关会计制度办理会计业务，进行会计核算，确保专项资金会计信息客观、真实。</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四、部门整体支出绩效情况</w:t>
      </w:r>
    </w:p>
    <w:p>
      <w:pPr>
        <w:spacing w:line="560" w:lineRule="exact"/>
        <w:ind w:firstLine="640" w:firstLineChars="200"/>
        <w:rPr>
          <w:rFonts w:ascii="仿宋_GB2312" w:hAnsi="仿宋_GB2312" w:eastAsia="仿宋_GB2312" w:cs="仿宋_GB2312"/>
          <w:bCs/>
          <w:kern w:val="0"/>
          <w:sz w:val="32"/>
          <w:szCs w:val="32"/>
          <w:shd w:val="clear" w:color="auto" w:fill="FFFFFF"/>
          <w:lang w:bidi="ar"/>
        </w:rPr>
      </w:pPr>
      <w:r>
        <w:rPr>
          <w:rFonts w:hint="eastAsia" w:ascii="仿宋_GB2312" w:hAnsi="仿宋_GB2312" w:eastAsia="仿宋_GB2312" w:cs="仿宋_GB2312"/>
          <w:bCs/>
          <w:kern w:val="0"/>
          <w:sz w:val="32"/>
          <w:szCs w:val="32"/>
          <w:shd w:val="clear" w:color="auto" w:fill="FFFFFF"/>
          <w:lang w:bidi="ar"/>
        </w:rPr>
        <w:t>按期审结年度计划项目38个（经责项目29个、预算执行项目6个、财政收支项目3个，不含投资审计项目），共查出违规金额29.3亿元，其中税费管理1.7亿元、资金使用管理0.7亿元、预算执行26.2亿元、“三重一大”事项369.2万元、会计核算不实3321.8万元、其他问题金额2352.5万元。全年开展投资审计项目32个，审计建设资金7.51亿元，送审工程造价6.19亿元，工程造价累计核减6037万元。在依法处理处罚的基础上，积极推进整改，全年罚没入库171万元，促进增收节支1.42亿元，责令退还违法所得490.57万元，责令归还原资金渠道2198.67万元，责令调账3370.82万元，移送案件线索9起，已问责处理8人，提出整改建议28条，被采纳23条。此外，完成县委县政府交办的项目建设指挥部专项督查、全县公用经费专项检查等工作8件，如期办结省市交办其他事项12件。</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五、存在的主要问题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（一）基本支出中预算编制的精细化、合理化有待进一步提高。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（二）资产管理方式有待进一步改进。我局在资产管理方面虽然已对历年的呆账进行了初步处理，但还有历年遗留的呆账没有处理，账龄很长，账面有记载，而实际已不存在。</w:t>
      </w:r>
    </w:p>
    <w:p>
      <w:pPr>
        <w:spacing w:line="560" w:lineRule="exact"/>
        <w:ind w:firstLine="640" w:firstLineChars="200"/>
        <w:rPr>
          <w:rFonts w:ascii="黑体" w:hAnsi="黑体" w:eastAsia="黑体" w:cs="黑体"/>
          <w:bCs/>
          <w:color w:val="333333"/>
          <w:kern w:val="0"/>
          <w:sz w:val="32"/>
          <w:szCs w:val="32"/>
          <w:shd w:val="clear" w:color="auto" w:fill="FFFFFF"/>
          <w:lang w:bidi="ar"/>
        </w:rPr>
      </w:pPr>
      <w:r>
        <w:rPr>
          <w:rFonts w:hint="eastAsia" w:ascii="黑体" w:hAnsi="黑体" w:eastAsia="黑体" w:cs="黑体"/>
          <w:bCs/>
          <w:color w:val="333333"/>
          <w:kern w:val="0"/>
          <w:sz w:val="32"/>
          <w:szCs w:val="32"/>
          <w:shd w:val="clear" w:color="auto" w:fill="FFFFFF"/>
          <w:lang w:bidi="ar"/>
        </w:rPr>
        <w:t>六、改进措施与建议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一）认真细致地开展调研并进行科学论证，确保预算编制有的放矢。按照新《预算法》及其实施条例的相关规定，加强预算编制的前瞻性，避免预算支出与实际执行出现较大偏差的情况，执行中确需调整预算的，按规定程序报经批准；落实预算执行分析，及时了解预算执行差异，合理调整、纠正预算执行偏差，切实提高部门预算收支管理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二）完善管理制度，进一步加强资产管理。严格按照《固定资产管理办法》的规定加强固定资产管理，及时登记、更新台账，加强资产卡片管理，年终前对各类实物资产进行全面盘点和积极核销，确保账账、账卡、账实相符。</w:t>
      </w:r>
    </w:p>
    <w:p>
      <w:pPr>
        <w:spacing w:line="560" w:lineRule="exact"/>
        <w:ind w:firstLine="640" w:firstLineChars="200"/>
        <w:rPr>
          <w:rFonts w:ascii="仿宋_GB2312" w:hAnsi="仿宋_GB2312" w:eastAsia="仿宋_GB2312" w:cs="仿宋_GB2312"/>
          <w:bCs/>
          <w:color w:val="333333"/>
          <w:kern w:val="0"/>
          <w:sz w:val="32"/>
          <w:szCs w:val="32"/>
          <w:shd w:val="clear" w:color="auto" w:fill="FFFFFF"/>
          <w:lang w:bidi="ar"/>
        </w:rPr>
      </w:pP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衡南县审计局</w:t>
      </w:r>
    </w:p>
    <w:p>
      <w:pPr>
        <w:spacing w:line="560" w:lineRule="exact"/>
        <w:ind w:firstLine="640" w:firstLineChars="200"/>
        <w:jc w:val="right"/>
        <w:rPr>
          <w:rFonts w:ascii="仿宋_GB2312" w:hAnsi="仿宋_GB2312" w:eastAsia="仿宋_GB2312" w:cs="仿宋_GB2312"/>
          <w:bCs/>
          <w:color w:val="333333"/>
          <w:kern w:val="0"/>
          <w:sz w:val="32"/>
          <w:szCs w:val="32"/>
          <w:shd w:val="clear" w:color="auto" w:fill="FFFFFF"/>
          <w:lang w:bidi="ar"/>
        </w:rPr>
      </w:pPr>
      <w:r>
        <w:rPr>
          <w:rFonts w:hint="eastAsia" w:ascii="仿宋_GB2312" w:hAnsi="仿宋_GB2312" w:eastAsia="仿宋_GB2312" w:cs="仿宋_GB2312"/>
          <w:bCs/>
          <w:color w:val="333333"/>
          <w:kern w:val="0"/>
          <w:sz w:val="32"/>
          <w:szCs w:val="32"/>
          <w:shd w:val="clear" w:color="auto" w:fill="FFFFFF"/>
          <w:lang w:bidi="ar"/>
        </w:rPr>
        <w:t xml:space="preserve">                                  2020年6月18日</w:t>
      </w:r>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0D6FA4"/>
    <w:rsid w:val="00152C6D"/>
    <w:rsid w:val="00162D39"/>
    <w:rsid w:val="001A67DB"/>
    <w:rsid w:val="001D51E5"/>
    <w:rsid w:val="001F0C3B"/>
    <w:rsid w:val="00214427"/>
    <w:rsid w:val="00265724"/>
    <w:rsid w:val="0027426B"/>
    <w:rsid w:val="003479BD"/>
    <w:rsid w:val="003768D5"/>
    <w:rsid w:val="003F0D92"/>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A3803"/>
    <w:rsid w:val="00CE04C3"/>
    <w:rsid w:val="00CE76A0"/>
    <w:rsid w:val="00D148C6"/>
    <w:rsid w:val="00D43B7D"/>
    <w:rsid w:val="00D941A8"/>
    <w:rsid w:val="00DD06FF"/>
    <w:rsid w:val="00DD5FE9"/>
    <w:rsid w:val="00E00C7A"/>
    <w:rsid w:val="00E55B68"/>
    <w:rsid w:val="00ED1BC9"/>
    <w:rsid w:val="00F74360"/>
    <w:rsid w:val="00FB462F"/>
    <w:rsid w:val="00FE16FA"/>
    <w:rsid w:val="00FE328A"/>
    <w:rsid w:val="01B830BA"/>
    <w:rsid w:val="0A733E75"/>
    <w:rsid w:val="253430C9"/>
    <w:rsid w:val="2A2C24F5"/>
    <w:rsid w:val="62DA38AD"/>
    <w:rsid w:val="66E257E9"/>
    <w:rsid w:val="76661F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uiPriority w:val="99"/>
    <w:rPr>
      <w:sz w:val="18"/>
      <w:szCs w:val="18"/>
    </w:rPr>
  </w:style>
  <w:style w:type="character" w:customStyle="1" w:styleId="8">
    <w:name w:val="页脚 字符"/>
    <w:basedOn w:val="6"/>
    <w:link w:val="3"/>
    <w:uiPriority w:val="99"/>
    <w:rPr>
      <w:sz w:val="18"/>
      <w:szCs w:val="18"/>
    </w:rPr>
  </w:style>
  <w:style w:type="paragraph" w:customStyle="1" w:styleId="9">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字符"/>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1272</Words>
  <Characters>7254</Characters>
  <Lines>60</Lines>
  <Paragraphs>17</Paragraphs>
  <TotalTime>191</TotalTime>
  <ScaleCrop>false</ScaleCrop>
  <LinksUpToDate>false</LinksUpToDate>
  <CharactersWithSpaces>8509</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冰之剑</cp:lastModifiedBy>
  <cp:lastPrinted>2020-09-28T03:47:00Z</cp:lastPrinted>
  <dcterms:modified xsi:type="dcterms:W3CDTF">2021-06-22T16:00:17Z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FADBA6B95A1B4687957BAFAFF4734FD6</vt:lpwstr>
  </property>
</Properties>
</file>