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2019年度</w:t>
      </w: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衡南县图书馆部门决算</w:t>
      </w: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spacing w:line="540" w:lineRule="exact"/>
        <w:jc w:val="center"/>
        <w:rPr>
          <w:sz w:val="56"/>
          <w:szCs w:val="56"/>
        </w:rPr>
      </w:pPr>
    </w:p>
    <w:p>
      <w:pPr>
        <w:pStyle w:val="10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  衡南县图书馆单位概况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一、部门职责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二、机构设置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二、收入决算表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三、支出决算表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四、财政拨款收入支出决算总表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五、一般公共预算财政拨款支出决算表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六、一般公共预算财政拨款基本支出决算表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七、一般公共预算财政拨款“三公”经费支出决算表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八、政府性基金预算财政拨款收入支出决算表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年度部门决算情况说明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一、收入支出决算总体情况说明</w:t>
      </w:r>
    </w:p>
    <w:p>
      <w:pPr>
        <w:spacing w:line="520" w:lineRule="exact"/>
        <w:ind w:firstLine="700" w:firstLineChars="25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七、一般公共预算财政拨款三公经费支出决算情况说明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政府性基金预算收入支出决算情况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九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十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、其他重要事项情况说明</w:t>
      </w:r>
    </w:p>
    <w:p>
      <w:pPr>
        <w:autoSpaceDE w:val="0"/>
        <w:autoSpaceDN w:val="0"/>
        <w:adjustRightInd w:val="0"/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第四部分名词解释</w:t>
      </w:r>
    </w:p>
    <w:p>
      <w:pPr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第五部分附件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rPr>
          <w:sz w:val="72"/>
          <w:szCs w:val="72"/>
        </w:rPr>
      </w:pPr>
    </w:p>
    <w:p>
      <w:pPr>
        <w:pStyle w:val="10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第一部分</w:t>
      </w:r>
      <w:r>
        <w:rPr>
          <w:sz w:val="84"/>
          <w:szCs w:val="84"/>
        </w:rPr>
        <w:t xml:space="preserve"> </w:t>
      </w: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衡南县图书馆概况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pStyle w:val="11"/>
        <w:ind w:left="720" w:firstLine="0" w:firstLineChars="0"/>
        <w:jc w:val="left"/>
        <w:rPr>
          <w:rFonts w:ascii="黑体" w:hAnsi="黑体" w:eastAsia="黑体"/>
          <w:sz w:val="32"/>
          <w:szCs w:val="32"/>
        </w:rPr>
      </w:pPr>
    </w:p>
    <w:p>
      <w:pPr>
        <w:pStyle w:val="11"/>
        <w:numPr>
          <w:ilvl w:val="0"/>
          <w:numId w:val="1"/>
        </w:numPr>
        <w:ind w:firstLineChars="0"/>
        <w:jc w:val="left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部门职责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坚持“为人民服务、为社会主义服务”的方向和“百花齐放、百家争鸣”的方针，运用各种文艺形式宣传党的路线、方针、政策和国家法律法规，普及科学文化知识。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大力开展公共文化服务，打造公共文化服务的政府平台，让广大百姓群众共享文化成果，提升民族素质，凝聚民族力量。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保护人类文化遗产。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开展社会教育。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传递科学情报。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开展智力资源。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宋体" w:hAnsi="宋体" w:cs="宋体"/>
          <w:color w:val="333333"/>
          <w:kern w:val="0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提供文化娱乐。</w:t>
      </w:r>
    </w:p>
    <w:p>
      <w:pPr>
        <w:numPr>
          <w:ilvl w:val="0"/>
          <w:numId w:val="2"/>
        </w:numPr>
        <w:ind w:left="567" w:leftChars="270" w:firstLine="480" w:firstLineChars="150"/>
        <w:rPr>
          <w:rFonts w:ascii="仿宋_GB2312" w:eastAsia="仿宋_GB2312" w:hAnsiTheme="minorEastAsia"/>
          <w:sz w:val="32"/>
          <w:szCs w:val="32"/>
        </w:rPr>
      </w:pPr>
      <w:r>
        <w:rPr>
          <w:rFonts w:hint="eastAsia" w:ascii="宋体" w:hAnsi="宋体" w:cs="宋体"/>
          <w:color w:val="333333"/>
          <w:kern w:val="0"/>
          <w:sz w:val="32"/>
          <w:szCs w:val="32"/>
        </w:rPr>
        <w:t>承办县委、县人民政府及县文化旅游广电体育局交办的其他事项。</w:t>
      </w:r>
    </w:p>
    <w:p>
      <w:pPr>
        <w:widowControl/>
        <w:spacing w:line="600" w:lineRule="exact"/>
        <w:rPr>
          <w:rFonts w:ascii="黑体" w:hAnsi="黑体" w:eastAsia="黑体"/>
          <w:bCs/>
          <w:kern w:val="0"/>
          <w:sz w:val="32"/>
          <w:szCs w:val="32"/>
        </w:rPr>
      </w:pPr>
      <w:r>
        <w:rPr>
          <w:rFonts w:hint="eastAsia" w:ascii="黑体" w:hAnsi="黑体" w:eastAsia="黑体"/>
          <w:bCs/>
          <w:kern w:val="0"/>
          <w:sz w:val="32"/>
          <w:szCs w:val="32"/>
        </w:rPr>
        <w:t>二、机构设置及决算单位构成</w:t>
      </w:r>
    </w:p>
    <w:p>
      <w:pPr>
        <w:widowControl/>
        <w:spacing w:line="600" w:lineRule="exact"/>
        <w:rPr>
          <w:rFonts w:asciiTheme="minorEastAsia" w:hAnsiTheme="minorEastAsia" w:cstheme="minorEastAsia"/>
          <w:bCs/>
          <w:kern w:val="0"/>
          <w:sz w:val="32"/>
          <w:szCs w:val="32"/>
        </w:rPr>
      </w:pPr>
      <w:r>
        <w:rPr>
          <w:rFonts w:hint="eastAsia" w:asciiTheme="minorEastAsia" w:hAnsiTheme="minorEastAsia"/>
          <w:bCs/>
          <w:kern w:val="0"/>
          <w:sz w:val="32"/>
          <w:szCs w:val="32"/>
        </w:rPr>
        <w:t>（</w:t>
      </w:r>
      <w:r>
        <w:rPr>
          <w:rFonts w:hint="eastAsia" w:asciiTheme="minorEastAsia" w:hAnsiTheme="minorEastAsia" w:cstheme="minorEastAsia"/>
          <w:bCs/>
          <w:kern w:val="0"/>
          <w:sz w:val="32"/>
          <w:szCs w:val="32"/>
        </w:rPr>
        <w:t>一）内设机构设置。衡南县图书馆单位内设机构包括：</w:t>
      </w:r>
    </w:p>
    <w:p>
      <w:pPr>
        <w:pStyle w:val="5"/>
        <w:shd w:val="clear" w:color="auto" w:fill="FFFFFF"/>
        <w:adjustRightInd w:val="0"/>
        <w:snapToGrid w:val="0"/>
        <w:spacing w:beforeLines="50" w:beforeAutospacing="0" w:afterLines="50" w:afterAutospacing="0" w:line="360" w:lineRule="auto"/>
        <w:ind w:right="420" w:rightChars="20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办公室、采编室、外借室、综合阅览室、少儿阅览室、古籍与地方文献室、电子阅览室、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财务室共8个股</w:t>
      </w: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室。</w:t>
      </w:r>
    </w:p>
    <w:p>
      <w:pPr>
        <w:pStyle w:val="5"/>
        <w:shd w:val="clear" w:color="auto" w:fill="FFFFFF"/>
        <w:adjustRightInd w:val="0"/>
        <w:snapToGrid w:val="0"/>
        <w:spacing w:beforeLines="50" w:beforeAutospacing="0" w:afterLines="50" w:afterAutospacing="0" w:line="360" w:lineRule="auto"/>
        <w:ind w:right="420" w:rightChars="200"/>
        <w:rPr>
          <w:rFonts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（二）决算单位构成。衡南县图书馆2019年部门决算汇总公开单位构成包括：衡南县图书馆单位本级。衡南县图书馆作为一级预算单位，无下属二级机构用其他。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第二部分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部门决算表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(部门决算公示表附后)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left"/>
        <w:rPr>
          <w:sz w:val="32"/>
          <w:szCs w:val="32"/>
        </w:rPr>
      </w:pPr>
    </w:p>
    <w:p>
      <w:pPr>
        <w:jc w:val="left"/>
        <w:rPr>
          <w:rFonts w:asciiTheme="minorEastAsia" w:hAnsiTheme="minorEastAsia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10"/>
        <w:jc w:val="both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>
      <w:pPr>
        <w:pStyle w:val="10"/>
        <w:jc w:val="center"/>
        <w:rPr>
          <w:sz w:val="70"/>
          <w:szCs w:val="70"/>
        </w:rPr>
      </w:pPr>
    </w:p>
    <w:p>
      <w:pPr>
        <w:pStyle w:val="10"/>
        <w:jc w:val="center"/>
        <w:rPr>
          <w:sz w:val="70"/>
          <w:szCs w:val="70"/>
        </w:rPr>
      </w:pPr>
      <w:r>
        <w:rPr>
          <w:sz w:val="70"/>
          <w:szCs w:val="70"/>
        </w:rPr>
        <w:t>2019</w:t>
      </w:r>
      <w:r>
        <w:rPr>
          <w:rFonts w:hint="eastAsia"/>
          <w:sz w:val="70"/>
          <w:szCs w:val="70"/>
        </w:rPr>
        <w:t>年度部门决算情况说明</w:t>
      </w:r>
    </w:p>
    <w:p>
      <w:pPr>
        <w:pStyle w:val="10"/>
        <w:rPr>
          <w:rFonts w:asciiTheme="minorEastAsia" w:hAnsiTheme="minorEastAsia" w:eastAsiaTheme="minorEastAsia"/>
          <w:sz w:val="32"/>
          <w:szCs w:val="32"/>
        </w:rPr>
      </w:pP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一、收入支出决算总体情况说明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 年度收、支总计538.46万元。与2018年相比，增加（减少）74.99万元，减少12.2%，主要是因为项目经费减少。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二、收入决算情况说明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本年收入合计269.24万元，其中：财政拨款收入269.24万元，占100%；上级补助收入0万元，占0%；事业收入0万元，占0%；经营收入0万元，占0%；附属单位上缴收入0万元，占0%；其他收入0万元，占0%。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三、支出决算情况说明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本年支出合计269.22万元，其中：基本支出172.24万元，占64%；项目支出96.98万元，占36%；上缴上级支出0万元，占0%；经营支出0万元，占0%；对附属单位补助支出0万元，占0%。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四、财政拨款收入支出决算总体情况说明</w:t>
      </w:r>
    </w:p>
    <w:p>
      <w:pPr>
        <w:pStyle w:val="10"/>
        <w:ind w:firstLine="64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2019年度财政拨款收、支总计538.46万元，与2018年相比，减少74.99万元,减少12.2%，主要是因为项目经费减少。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五、一般公共预算财政拨款支出决算情况说明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（一）财政拨款支出决算总体情况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2019年度财政拨款支出269.22万元，占本年支出合计的100%，与2018年相比，财政拨款支出减少37.49万元，减少12.2%，主要是因为项目经费减少。</w:t>
      </w:r>
    </w:p>
    <w:p>
      <w:pPr>
        <w:pStyle w:val="10"/>
        <w:ind w:firstLine="480" w:firstLineChars="15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（二）财政拨款支出决算结构情况</w:t>
      </w:r>
    </w:p>
    <w:p>
      <w:pPr>
        <w:pStyle w:val="10"/>
        <w:ind w:firstLine="640" w:firstLineChars="20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2019年度财政拨款支出269.22万元，主要用于以下方面：文化旅游体育与传媒支出233.0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万元，占86.5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 w:eastAsiaTheme="minorEastAsia"/>
          <w:sz w:val="32"/>
          <w:szCs w:val="32"/>
        </w:rPr>
        <w:t>%；社会保障和就业支出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23.16</w:t>
      </w:r>
      <w:r>
        <w:rPr>
          <w:rFonts w:hint="eastAsia" w:asciiTheme="minorEastAsia" w:hAnsiTheme="minorEastAsia" w:eastAsiaTheme="minorEastAsia"/>
          <w:sz w:val="32"/>
          <w:szCs w:val="32"/>
        </w:rPr>
        <w:t>万元，占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8.6</w:t>
      </w:r>
      <w:r>
        <w:rPr>
          <w:rFonts w:hint="eastAsia" w:asciiTheme="minorEastAsia" w:hAnsiTheme="minorEastAsia" w:eastAsiaTheme="minorEastAsia"/>
          <w:sz w:val="32"/>
          <w:szCs w:val="32"/>
        </w:rPr>
        <w:t>%，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卫生健康支出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6.2万元，</w:t>
      </w:r>
      <w:r>
        <w:rPr>
          <w:rFonts w:hint="eastAsia" w:asciiTheme="minorEastAsia" w:hAnsiTheme="minorEastAsia" w:eastAsiaTheme="minorEastAsia"/>
          <w:sz w:val="32"/>
          <w:szCs w:val="32"/>
        </w:rPr>
        <w:t>占2.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/>
          <w:sz w:val="32"/>
          <w:szCs w:val="32"/>
        </w:rPr>
        <w:t>%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；</w:t>
      </w:r>
      <w:r>
        <w:rPr>
          <w:rFonts w:hint="eastAsia" w:asciiTheme="minorEastAsia" w:hAnsiTheme="minorEastAsia" w:eastAsiaTheme="minorEastAsia"/>
          <w:sz w:val="32"/>
          <w:szCs w:val="32"/>
        </w:rPr>
        <w:t>住房保障支出6.85万元，占2.5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 w:eastAsiaTheme="minorEastAsia"/>
          <w:sz w:val="32"/>
          <w:szCs w:val="32"/>
        </w:rPr>
        <w:t>%。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（三）财政拨款支出决算具体情况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2019年度财政拨款支出年初预算数为233.05万元，支出决算数为269.24万元，完成年初预算的115.53%，其中：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1、文化旅游体育与传媒支出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年初预算为18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8.27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万元，支出决算为233.0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万元，完成年初预算的12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3.76</w:t>
      </w:r>
      <w:r>
        <w:rPr>
          <w:rFonts w:hint="eastAsia" w:asciiTheme="minorEastAsia" w:hAnsiTheme="minorEastAsia" w:eastAsiaTheme="minorEastAsia"/>
          <w:sz w:val="32"/>
          <w:szCs w:val="32"/>
        </w:rPr>
        <w:t>%，决算数大于年初预算数的主要原因是：根据工作安排，用于专用设备购置及信息网络软件购置及更新、增加综治奖及绩效考核奖金等。</w:t>
      </w:r>
    </w:p>
    <w:p>
      <w:pPr>
        <w:pStyle w:val="10"/>
        <w:ind w:firstLine="800" w:firstLineChars="25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2、社会保障和就业支出。</w:t>
      </w:r>
    </w:p>
    <w:p>
      <w:pPr>
        <w:pStyle w:val="10"/>
        <w:ind w:firstLine="800" w:firstLineChars="250"/>
        <w:rPr>
          <w:rFonts w:hint="eastAsia"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31.73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23.16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73</w:t>
      </w:r>
      <w:r>
        <w:rPr>
          <w:rFonts w:hint="eastAsia" w:asciiTheme="minorEastAsia" w:hAnsiTheme="minorEastAsia" w:eastAsiaTheme="minorEastAsia"/>
          <w:sz w:val="32"/>
          <w:szCs w:val="32"/>
        </w:rPr>
        <w:t>%，决算数小于年初预算数的主要原因是：2019年度职业年金未结算。</w:t>
      </w:r>
    </w:p>
    <w:p>
      <w:pPr>
        <w:pStyle w:val="10"/>
        <w:numPr>
          <w:ilvl w:val="0"/>
          <w:numId w:val="3"/>
        </w:numPr>
        <w:ind w:firstLine="800" w:firstLineChars="250"/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卫生健康支出</w:t>
      </w:r>
    </w:p>
    <w:p>
      <w:pPr>
        <w:pStyle w:val="10"/>
        <w:numPr>
          <w:ilvl w:val="0"/>
          <w:numId w:val="0"/>
        </w:numPr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 xml:space="preserve">     </w:t>
      </w: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6.2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6.2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 w:eastAsiaTheme="minorEastAsia"/>
          <w:sz w:val="32"/>
          <w:szCs w:val="32"/>
        </w:rPr>
        <w:t>%，</w:t>
      </w:r>
    </w:p>
    <w:p>
      <w:pPr>
        <w:pStyle w:val="10"/>
        <w:numPr>
          <w:ilvl w:val="0"/>
          <w:numId w:val="3"/>
        </w:numPr>
        <w:ind w:firstLine="800" w:firstLineChars="250"/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住房保障支出</w:t>
      </w:r>
    </w:p>
    <w:p>
      <w:pPr>
        <w:pStyle w:val="10"/>
        <w:numPr>
          <w:ilvl w:val="0"/>
          <w:numId w:val="0"/>
        </w:numP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6.85</w:t>
      </w:r>
      <w:r>
        <w:rPr>
          <w:rFonts w:hint="eastAsia" w:asciiTheme="minorEastAsia" w:hAnsiTheme="minorEastAsia" w:eastAsiaTheme="minorEastAsia"/>
          <w:sz w:val="32"/>
          <w:szCs w:val="32"/>
        </w:rPr>
        <w:t>万元，支出决算为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6.85</w:t>
      </w:r>
      <w:r>
        <w:rPr>
          <w:rFonts w:hint="eastAsia" w:asciiTheme="minorEastAsia" w:hAnsiTheme="minorEastAsia" w:eastAsiaTheme="minorEastAsia"/>
          <w:sz w:val="32"/>
          <w:szCs w:val="32"/>
        </w:rPr>
        <w:t>万元，完成年初预算的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100</w:t>
      </w:r>
      <w:r>
        <w:rPr>
          <w:rFonts w:hint="eastAsia" w:asciiTheme="minorEastAsia" w:hAnsiTheme="minorEastAsia" w:eastAsiaTheme="minorEastAsia"/>
          <w:sz w:val="32"/>
          <w:szCs w:val="32"/>
        </w:rPr>
        <w:t>%，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六、一般公共预算财政拨款基本支出决算情况说明</w:t>
      </w:r>
    </w:p>
    <w:p>
      <w:pPr>
        <w:widowControl/>
        <w:shd w:val="clear" w:color="auto" w:fill="FFFFFF"/>
        <w:jc w:val="left"/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</w:rPr>
        <w:t>2019年度财政拨款基本支出172.24万元，其中：人员经费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168.64</w:t>
      </w:r>
      <w:r>
        <w:rPr>
          <w:rFonts w:hint="eastAsia" w:asciiTheme="minorEastAsia" w:hAnsiTheme="minorEastAsia"/>
          <w:sz w:val="32"/>
          <w:szCs w:val="32"/>
        </w:rPr>
        <w:t>万元，占基本支出的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97.91</w:t>
      </w:r>
      <w:r>
        <w:rPr>
          <w:rFonts w:hint="eastAsia" w:asciiTheme="minorEastAsia" w:hAnsiTheme="minorEastAsia"/>
          <w:sz w:val="32"/>
          <w:szCs w:val="32"/>
        </w:rPr>
        <w:t>%,主要包括</w:t>
      </w:r>
      <w:r>
        <w:rPr>
          <w:rFonts w:hint="eastAsia" w:ascii="宋体" w:hAnsi="宋体" w:cs="宋体"/>
          <w:color w:val="333333"/>
          <w:kern w:val="0"/>
          <w:sz w:val="32"/>
          <w:szCs w:val="32"/>
        </w:rPr>
        <w:t>基本工资、津贴补贴、奖金、其他社会保障缴费、伙食补助费、绩效工资、机关事业单位基本养老保险缴费、职业年金缴费、其他工资福利支出、离休费、退休费、抚恤金、生活补助、医疗费、奖励金、住房公积金、其他对个人和家庭的补助支出；</w:t>
      </w:r>
      <w:r>
        <w:rPr>
          <w:rFonts w:hint="eastAsia" w:asciiTheme="minorEastAsia" w:hAnsiTheme="minorEastAsia"/>
          <w:sz w:val="32"/>
          <w:szCs w:val="32"/>
        </w:rPr>
        <w:t>公用经费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3.6</w:t>
      </w:r>
      <w:r>
        <w:rPr>
          <w:rFonts w:hint="eastAsia" w:asciiTheme="minorEastAsia" w:hAnsiTheme="minorEastAsia"/>
          <w:sz w:val="32"/>
          <w:szCs w:val="32"/>
        </w:rPr>
        <w:t>万元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,</w:t>
      </w:r>
      <w:r>
        <w:rPr>
          <w:rFonts w:hint="eastAsia" w:asciiTheme="minorEastAsia" w:hAnsiTheme="minorEastAsia"/>
          <w:sz w:val="32"/>
          <w:szCs w:val="32"/>
        </w:rPr>
        <w:t>占基本支出的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2.09</w:t>
      </w:r>
      <w:r>
        <w:rPr>
          <w:rFonts w:hint="eastAsia" w:asciiTheme="minorEastAsia" w:hAnsiTheme="minorEastAsia"/>
          <w:sz w:val="32"/>
          <w:szCs w:val="32"/>
        </w:rPr>
        <w:t>%</w:t>
      </w:r>
      <w:r>
        <w:rPr>
          <w:rFonts w:hint="eastAsia" w:asciiTheme="minorEastAsia" w:hAnsiTheme="minorEastAsia"/>
          <w:sz w:val="32"/>
          <w:szCs w:val="32"/>
          <w:lang w:eastAsia="zh-CN"/>
        </w:rPr>
        <w:t>。主要是用于其他交通</w:t>
      </w:r>
      <w:r>
        <w:rPr>
          <w:rFonts w:hint="eastAsia" w:ascii="宋体" w:hAnsi="宋体" w:cs="宋体"/>
          <w:color w:val="333333"/>
          <w:kern w:val="0"/>
          <w:sz w:val="32"/>
          <w:szCs w:val="32"/>
        </w:rPr>
        <w:t>费</w:t>
      </w:r>
      <w:r>
        <w:rPr>
          <w:rFonts w:hint="eastAsia" w:asciiTheme="minorEastAsia" w:hAnsiTheme="minorEastAsia"/>
          <w:sz w:val="32"/>
          <w:szCs w:val="32"/>
          <w:lang w:eastAsia="zh-CN"/>
        </w:rPr>
        <w:t>用。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七、一般公共预算财政拨款三公经费支出决算情况说明</w:t>
      </w:r>
    </w:p>
    <w:p>
      <w:pPr>
        <w:pStyle w:val="10"/>
        <w:rPr>
          <w:rFonts w:hint="eastAsia"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（一）“三公”经费财政拨款支出决算总体情况说明</w:t>
      </w:r>
    </w:p>
    <w:p>
      <w:pPr>
        <w:pStyle w:val="10"/>
        <w:ind w:left="320" w:hanging="320" w:hangingChars="100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b/>
          <w:sz w:val="32"/>
          <w:szCs w:val="32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/>
          <w:sz w:val="32"/>
          <w:szCs w:val="32"/>
          <w:lang w:val="en-US" w:eastAsia="zh-CN"/>
        </w:rPr>
        <w:t>“三公经费”</w:t>
      </w:r>
      <w:r>
        <w:rPr>
          <w:rFonts w:hint="eastAsia" w:asciiTheme="minorEastAsia" w:hAnsiTheme="minorEastAsia" w:eastAsia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 w:eastAsia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/>
          <w:sz w:val="32"/>
          <w:szCs w:val="32"/>
        </w:rPr>
        <w:t>支出决算为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3.6</w:t>
      </w:r>
      <w:r>
        <w:rPr>
          <w:rFonts w:hint="eastAsia" w:asciiTheme="minorEastAsia" w:hAnsiTheme="minorEastAsia" w:eastAsia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eastAsia="zh-CN"/>
        </w:rPr>
        <w:t>主要是用于</w:t>
      </w:r>
      <w:r>
        <w:rPr>
          <w:rFonts w:hint="eastAsia" w:asciiTheme="minorEastAsia" w:hAnsiTheme="minorEastAsia" w:eastAsiaTheme="minorEastAsia"/>
          <w:sz w:val="32"/>
          <w:szCs w:val="32"/>
        </w:rPr>
        <w:t>送书下乡及督查工作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/>
          <w:sz w:val="32"/>
          <w:szCs w:val="32"/>
        </w:rPr>
        <w:t>预算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数小于决</w:t>
      </w:r>
      <w:r>
        <w:rPr>
          <w:rFonts w:hint="eastAsia" w:asciiTheme="minorEastAsia" w:hAnsiTheme="minorEastAsia" w:eastAsiaTheme="minorEastAsia"/>
          <w:sz w:val="32"/>
          <w:szCs w:val="32"/>
        </w:rPr>
        <w:t>算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数的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主要原因是坚持厉行节约，进一步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从严控制经费开支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  <w:lang w:eastAsia="zh-CN"/>
        </w:rPr>
        <w:t>。</w:t>
      </w:r>
    </w:p>
    <w:p>
      <w:pPr>
        <w:pStyle w:val="10"/>
        <w:rPr>
          <w:rFonts w:asciiTheme="minorEastAsia" w:hAnsiTheme="minorEastAsia" w:eastAsia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/>
          <w:b/>
          <w:sz w:val="32"/>
          <w:szCs w:val="32"/>
        </w:rPr>
        <w:t>（二）“三公”经费财政拨款支出决算具体情况说明</w:t>
      </w:r>
    </w:p>
    <w:p>
      <w:pPr>
        <w:pStyle w:val="10"/>
        <w:ind w:left="320" w:hanging="320" w:hangingChars="100"/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  <w:lang w:val="en-US" w:eastAsia="zh-CN"/>
        </w:rPr>
        <w:t xml:space="preserve">     三公经费”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年初预算为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支出决算为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。发生其它交通费用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3.6万元，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主要是用于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送书下乡及督查工作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/>
          <w:sz w:val="32"/>
          <w:szCs w:val="32"/>
        </w:rPr>
        <w:t>预算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数小于决</w:t>
      </w:r>
      <w:r>
        <w:rPr>
          <w:rFonts w:hint="eastAsia" w:asciiTheme="minorEastAsia" w:hAnsiTheme="minorEastAsia" w:eastAsiaTheme="minorEastAsia"/>
          <w:sz w:val="32"/>
          <w:szCs w:val="32"/>
        </w:rPr>
        <w:t>算</w:t>
      </w:r>
      <w:r>
        <w:rPr>
          <w:rFonts w:hint="eastAsia" w:asciiTheme="minorEastAsia" w:hAnsiTheme="minorEastAsia" w:eastAsiaTheme="minorEastAsia"/>
          <w:sz w:val="32"/>
          <w:szCs w:val="32"/>
          <w:lang w:eastAsia="zh-CN"/>
        </w:rPr>
        <w:t>数的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主要原因是坚持厉行节约，进一步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</w:rPr>
        <w:t>从严控制经费开支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32"/>
          <w:szCs w:val="32"/>
          <w:lang w:eastAsia="zh-CN"/>
        </w:rPr>
        <w:t>。</w:t>
      </w:r>
    </w:p>
    <w:p>
      <w:pPr>
        <w:pStyle w:val="10"/>
        <w:ind w:left="319" w:leftChars="152" w:firstLine="960" w:firstLineChars="300"/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无因公出国（境）费支出，无公务接待费支出。</w:t>
      </w:r>
    </w:p>
    <w:p>
      <w:pPr>
        <w:pStyle w:val="10"/>
        <w:ind w:left="319" w:leftChars="152" w:firstLine="960" w:firstLineChars="3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国内公务接待批次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（个） 统计数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批，国内公务接待人次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（人） 统计数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人。</w:t>
      </w:r>
    </w:p>
    <w:p>
      <w:pPr>
        <w:pStyle w:val="10"/>
        <w:ind w:left="319" w:leftChars="152" w:firstLine="960" w:firstLineChars="300"/>
        <w:rPr>
          <w:rFonts w:hint="eastAsia" w:ascii="仿宋" w:hAnsi="仿宋" w:cs="仿宋" w:eastAsiaTheme="minorEastAsia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auto"/>
          <w:sz w:val="32"/>
          <w:szCs w:val="32"/>
          <w:lang w:eastAsia="zh-CN"/>
        </w:rPr>
        <w:t>公务用车运行费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万元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，截至2019年12月31日，本单位共有车辆0辆，，当年新增公务用车为0辆。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八、政府性基金预算收入支出决算情况</w:t>
      </w:r>
    </w:p>
    <w:p>
      <w:pPr>
        <w:pStyle w:val="10"/>
        <w:rPr>
          <w:rFonts w:asciiTheme="minorEastAsia" w:hAnsiTheme="minorEastAsia" w:eastAsiaTheme="minorEastAsia"/>
          <w:sz w:val="32"/>
          <w:szCs w:val="32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 xml:space="preserve">     </w:t>
      </w: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此项目内容2019年度没有发生额。</w:t>
      </w:r>
      <w:bookmarkStart w:id="0" w:name="_GoBack"/>
      <w:bookmarkEnd w:id="0"/>
    </w:p>
    <w:p>
      <w:pPr>
        <w:pStyle w:val="10"/>
        <w:numPr>
          <w:ilvl w:val="0"/>
          <w:numId w:val="4"/>
        </w:numPr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关于2019年度预算绩效情况说明</w:t>
      </w:r>
    </w:p>
    <w:p>
      <w:pPr>
        <w:pStyle w:val="10"/>
        <w:numPr>
          <w:ilvl w:val="0"/>
          <w:numId w:val="5"/>
        </w:numPr>
        <w:ind w:firstLine="640" w:firstLineChars="20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预算绩效管理工作开展情况</w:t>
      </w:r>
    </w:p>
    <w:p>
      <w:pPr>
        <w:pStyle w:val="10"/>
        <w:ind w:firstLine="64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根据预算绩效管理的要求，我馆组织对2019年度一般公共预算部门整体支出使用情况开展了绩效自评，共涉及资金269.24万元。从评价情况来看，各项资金符合相关管理规定，程序规范有序，绩效目标设置合理，通过项目实施，较好的完成了年初设定的各项工作目标。</w:t>
      </w:r>
    </w:p>
    <w:p>
      <w:pPr>
        <w:pStyle w:val="10"/>
        <w:numPr>
          <w:ilvl w:val="0"/>
          <w:numId w:val="6"/>
        </w:numPr>
        <w:ind w:firstLine="64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绩效自评结果</w:t>
      </w:r>
    </w:p>
    <w:p>
      <w:pPr>
        <w:pStyle w:val="10"/>
        <w:ind w:firstLine="640" w:firstLineChars="20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部门整体绩效自评综述：根据年初设定的绩效目标，部门整体绩效自评得分为97.2分，全年预算数233.05万元，实际执行数269.24万元，预算执行率115.53%。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2019年，我馆严格贯彻落实省委、省政府关于厉行节约的有关要求，牢固树立“过紧日子”思想，坚持精打细算、勤俭节约，优化支出结构，大力压减一般性支出，保障重点支出，严格审核把关，加强“三公”经费管理，优化资产配置，完善内控制度，切实严肃财经纪律，圆满完成了全年各项工作任务。</w:t>
      </w:r>
    </w:p>
    <w:p>
      <w:pPr>
        <w:pStyle w:val="10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十、其他重要事项情况说明</w:t>
      </w:r>
    </w:p>
    <w:p>
      <w:pPr>
        <w:ind w:firstLine="480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（一）机关运行经费支出情况</w:t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本部门2019 年度机关运行经费支出9.45万元，比年初预算数减少2.55万元，降低21.25%。主要原因是：认真贯彻落实中央“八项规定</w:t>
      </w:r>
      <w:r>
        <w:rPr>
          <w:rFonts w:cs="黑体" w:asciiTheme="minorEastAsia" w:hAnsiTheme="minorEastAsia"/>
          <w:color w:val="000000"/>
          <w:kern w:val="0"/>
          <w:sz w:val="32"/>
          <w:szCs w:val="32"/>
        </w:rPr>
        <w:t>”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精神和厉行节约要求，进一步从严控制经费开支。</w:t>
      </w:r>
    </w:p>
    <w:p>
      <w:pPr>
        <w:ind w:firstLine="640" w:firstLineChars="20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（二）一般性支出情况</w:t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图书馆一般性支出主要用于免费服务市民及学生。</w:t>
      </w:r>
    </w:p>
    <w:p>
      <w:pPr>
        <w:ind w:firstLine="640" w:firstLineChars="20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（三）政府采购支出情况</w:t>
      </w:r>
    </w:p>
    <w:p>
      <w:pPr>
        <w:ind w:firstLine="640" w:firstLineChars="200"/>
        <w:rPr>
          <w:rFonts w:cs="黑体" w:asciiTheme="minorEastAsia" w:hAnsiTheme="minorEastAsia"/>
          <w:i/>
          <w:color w:val="FF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本部门2019年度无政府采购。</w:t>
      </w:r>
    </w:p>
    <w:p>
      <w:pPr>
        <w:ind w:firstLine="480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（四）国有资产占用情况</w:t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截至2019年12月31日，本单位共有车辆0辆，其中，领导干部用车0辆、机要通信用车0辆、应急保障用车0辆、执法执勤用车0辆、特种专业技术用车0辆、其他用车0辆，其他用车主要是……；单位价值50万元以上通用设备0台（套）；单位价值100万元以上专用设备0台（套）。</w:t>
      </w:r>
    </w:p>
    <w:p>
      <w:pPr>
        <w:rPr>
          <w:rFonts w:cs="黑体" w:asciiTheme="minorEastAsia" w:hAnsiTheme="minorEastAsia"/>
          <w:color w:val="000000"/>
          <w:kern w:val="0"/>
          <w:sz w:val="32"/>
          <w:szCs w:val="32"/>
        </w:rPr>
      </w:pPr>
    </w:p>
    <w:p>
      <w:pPr>
        <w:numPr>
          <w:ilvl w:val="0"/>
          <w:numId w:val="7"/>
        </w:num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其他说明</w:t>
      </w:r>
    </w:p>
    <w:p>
      <w:pPr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 xml:space="preserve">      决算数据四舍五入取值，小数点后两位可能存在细微出入。</w:t>
      </w:r>
    </w:p>
    <w:p>
      <w:pPr>
        <w:widowControl/>
        <w:jc w:val="left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cs="黑体" w:asciiTheme="minorEastAsia" w:hAnsiTheme="minorEastAsia"/>
          <w:color w:val="000000"/>
          <w:kern w:val="0"/>
          <w:sz w:val="32"/>
          <w:szCs w:val="32"/>
        </w:rPr>
        <w:br w:type="page"/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第四部分</w:t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 w:ascii="黑体" w:eastAsia="黑体" w:cs="黑体"/>
          <w:color w:val="000000"/>
          <w:kern w:val="0"/>
          <w:sz w:val="70"/>
          <w:szCs w:val="70"/>
        </w:rPr>
        <w:t>名词解释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黑体" w:eastAsia="黑体" w:cs="黑体"/>
          <w:color w:val="000000"/>
          <w:kern w:val="0"/>
          <w:sz w:val="70"/>
          <w:szCs w:val="70"/>
        </w:rPr>
        <w:br w:type="page"/>
      </w:r>
    </w:p>
    <w:p>
      <w:pPr>
        <w:ind w:firstLine="640" w:firstLineChars="200"/>
        <w:jc w:val="left"/>
        <w:rPr>
          <w:rFonts w:cs="黑体" w:asciiTheme="minorEastAsia" w:hAnsiTheme="minorEastAsia"/>
          <w:color w:val="000000"/>
          <w:kern w:val="0"/>
          <w:sz w:val="32"/>
          <w:szCs w:val="32"/>
        </w:rPr>
      </w:pPr>
    </w:p>
    <w:p>
      <w:pPr>
        <w:pStyle w:val="5"/>
        <w:shd w:val="clear" w:color="auto" w:fill="FFFFFF"/>
        <w:spacing w:before="0" w:beforeAutospacing="0" w:after="0" w:afterAutospacing="0"/>
        <w:ind w:firstLine="640" w:firstLineChars="20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一、财政拨款收入：指财政部门核拨给单位的财政预算资金。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二、事业收入：指事业单位开展专业业务活动及辅助活动所取得的收入。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三、附属单位上缴收入：指事业单位附属独立核算单位按有关规定上缴的收入。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四、其他收入：指单位取得的除上述“财政拨款收入”、“事业收入”、“附属单位上缴收入”等以外的收入。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五、年初结转和结余：指以前年度尚未完成、结转到本年仍按有关规定继续使用的资金。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七、结余分配：指事业单位按规定提取的职工福利基金、事业基金和缴纳的所得税，以及建设单位按规定应交回的基本建设竣工项目结余资金。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八、年末结转和结余：指本年度或以前年度预算安排、因客观条件发生变化无法按原计划实施，需延迟到以后年度按有关规定继续使用的资金。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九、基本支出：指为保障机构正常运转、完成日常工作任务而发生的人员支出和公用支出。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十、项目支出：指在基本支出之外，为完成特定行政任务和事业发展目标所发生的支出。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十一、“三公”经费：指省财政拨款安排的因公出国（境）费、公务用车购置及运行费和公务接待费。其中，因公出国（境）费反映单位公务出国（境）的国际旅费、国外城市间交通费、住宿费、伙食费、培训费、公杂费等支出；公务用车购置及运行费反映单位公务用车车辆购置支出（含车辆购置税）及租用费、燃料费、维修费、过路过桥费、保险费、安全奖励费用等支出；公务接待费反映单位按规定开支的各类公务接待（含外宾接待）支出。  </w:t>
      </w:r>
    </w:p>
    <w:p>
      <w:pPr>
        <w:pStyle w:val="5"/>
        <w:shd w:val="clear" w:color="auto" w:fill="FFFFFF"/>
        <w:spacing w:before="0" w:beforeAutospacing="0" w:after="0" w:afterAutospacing="0"/>
        <w:rPr>
          <w:rFonts w:asciiTheme="minorEastAsia" w:hAnsiTheme="minorEastAsia" w:eastAsiaTheme="minorEastAsia" w:cstheme="minorEastAsia"/>
          <w:color w:val="333333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color w:val="333333"/>
          <w:sz w:val="32"/>
          <w:szCs w:val="32"/>
        </w:rPr>
        <w:t>　　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  </w:t>
      </w:r>
    </w:p>
    <w:p>
      <w:pPr>
        <w:widowControl/>
        <w:jc w:val="left"/>
        <w:rPr>
          <w:rFonts w:asciiTheme="minorEastAsia" w:hAnsiTheme="minorEastAsia" w:cstheme="minorEastAsia"/>
          <w:i/>
          <w:color w:val="FF0000"/>
          <w:sz w:val="32"/>
          <w:szCs w:val="32"/>
        </w:rPr>
      </w:pPr>
      <w:r>
        <w:rPr>
          <w:rFonts w:hint="eastAsia" w:asciiTheme="minorEastAsia" w:hAnsiTheme="minorEastAsia" w:cstheme="minorEastAsia"/>
          <w:i/>
          <w:color w:val="FF0000"/>
          <w:sz w:val="32"/>
          <w:szCs w:val="32"/>
        </w:rPr>
        <w:br w:type="page"/>
      </w: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</w:p>
    <w:p>
      <w:pPr>
        <w:pStyle w:val="10"/>
        <w:jc w:val="center"/>
        <w:rPr>
          <w:sz w:val="72"/>
          <w:szCs w:val="72"/>
        </w:rPr>
      </w:pPr>
      <w:r>
        <w:rPr>
          <w:rFonts w:hint="eastAsia"/>
          <w:sz w:val="72"/>
          <w:szCs w:val="72"/>
        </w:rPr>
        <w:t>第五部分</w:t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 w:ascii="黑体" w:eastAsia="黑体" w:cs="黑体"/>
          <w:color w:val="000000"/>
          <w:kern w:val="0"/>
          <w:sz w:val="70"/>
          <w:szCs w:val="70"/>
        </w:rPr>
        <w:t>附件</w:t>
      </w:r>
    </w:p>
    <w:p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黑体" w:eastAsia="黑体" w:cs="黑体"/>
          <w:color w:val="000000"/>
          <w:kern w:val="0"/>
          <w:sz w:val="70"/>
          <w:szCs w:val="70"/>
        </w:rPr>
        <w:br w:type="page"/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ind w:firstLine="640" w:firstLineChars="200"/>
        <w:jc w:val="center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2019年度部门整体支出绩效评价报告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为了认真贯彻落实《中共湖南省委湖南省人民政府关于开展政府绩效评估工作的通知》、《湖南省人民政府关于全面推进预算绩效管理的意见》，根据</w:t>
      </w:r>
      <w:r>
        <w:rPr>
          <w:rFonts w:hint="eastAsia" w:asciiTheme="minorEastAsia" w:hAnsiTheme="minorEastAsia" w:cstheme="minorEastAsia"/>
          <w:kern w:val="0"/>
          <w:sz w:val="28"/>
          <w:szCs w:val="28"/>
        </w:rPr>
        <w:t>《预算法》有关“各级政府、各部门、各单位应当对预算支出情况开展绩效评价”的规定和</w:t>
      </w:r>
      <w:r>
        <w:rPr>
          <w:rFonts w:hint="eastAsia" w:asciiTheme="minorEastAsia" w:hAnsiTheme="minorEastAsia" w:cstheme="minorEastAsia"/>
          <w:sz w:val="28"/>
          <w:szCs w:val="28"/>
        </w:rPr>
        <w:t>文件精神，我馆对2019年度部门整体支出绩效进行了全面综合评价，现将情况报告如下：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一、基本情况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我馆现有干部职工17人，其中：在职全额编制17人，退休人员9人。另有临时工1人（卫生工1人）。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（一）机构设置情况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内设机构8个：</w:t>
      </w:r>
    </w:p>
    <w:p>
      <w:pPr>
        <w:pStyle w:val="5"/>
        <w:shd w:val="clear" w:color="auto" w:fill="FFFFFF"/>
        <w:adjustRightInd w:val="0"/>
        <w:snapToGrid w:val="0"/>
        <w:spacing w:beforeLines="50" w:beforeAutospacing="0" w:afterLines="50" w:afterAutospacing="0" w:line="360" w:lineRule="auto"/>
        <w:ind w:left="420" w:leftChars="200" w:right="420" w:rightChars="200" w:firstLine="560" w:firstLineChars="200"/>
        <w:rPr>
          <w:rFonts w:asciiTheme="minorEastAsia" w:hAnsi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 xml:space="preserve"> </w:t>
      </w:r>
      <w:r>
        <w:rPr>
          <w:rFonts w:hint="eastAsia"/>
          <w:color w:val="333333"/>
          <w:sz w:val="28"/>
          <w:szCs w:val="28"/>
        </w:rPr>
        <w:t>办公室、采编室、外借室、综合阅览室、少儿阅览室、古籍与地方文献室、电子阅览室、</w:t>
      </w:r>
      <w:r>
        <w:rPr>
          <w:rFonts w:hint="eastAsia"/>
          <w:color w:val="000000"/>
          <w:sz w:val="28"/>
          <w:szCs w:val="28"/>
        </w:rPr>
        <w:t>财务室共8个股</w:t>
      </w:r>
      <w:r>
        <w:rPr>
          <w:rFonts w:hint="eastAsia"/>
          <w:color w:val="333333"/>
          <w:sz w:val="28"/>
          <w:szCs w:val="28"/>
        </w:rPr>
        <w:t>室。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（二）主要职能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1.坚持“为人民服务、为社会主义服务”的方向和“百花齐放、百家争鸣”的方针，运用各种文艺形式宣传党的路线、方针、政策和国家法律法规，普及科学文化知识。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2.大力开展公共文化服务，打造公共文化服务的政府平台，让广大百姓群众共享文化成果，提升民族素质，凝聚民族力量。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3.保存人类文化遗产。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4.开展社会教育。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5.传递科学情报。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6.开展智力资源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7.提供文化娱乐。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二、部门整体支出管理及使用情况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（一）基本支出管理情况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我馆2019年基本支出共计233.05万元，其中：工资福利支出168.54万元，日常公用经费支出12万元，对个人和家庭补助支出0.51万，是保障单位机构正常运转，完成日常工作任务而发生的各项支出。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（二）“三公经费”的支出使用和管理情况  </w:t>
      </w:r>
    </w:p>
    <w:p>
      <w:pPr>
        <w:pStyle w:val="10"/>
        <w:ind w:left="320" w:hanging="280" w:hangingChars="100"/>
        <w:rPr>
          <w:rFonts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 xml:space="preserve">   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eastAsia="zh-CN"/>
        </w:rPr>
        <w:t>“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三公经费”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年初预算为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支出决算为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3.6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。主要是用于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送书下乡及督查工作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。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决</w:t>
      </w:r>
      <w:r>
        <w:rPr>
          <w:rFonts w:hint="eastAsia" w:asciiTheme="minorEastAsia" w:hAnsiTheme="minorEastAsia" w:eastAsiaTheme="minorEastAsia"/>
          <w:sz w:val="28"/>
          <w:szCs w:val="28"/>
        </w:rPr>
        <w:t>算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数小于</w:t>
      </w:r>
      <w:r>
        <w:rPr>
          <w:rFonts w:hint="eastAsia" w:asciiTheme="minorEastAsia" w:hAnsiTheme="minorEastAsia" w:eastAsiaTheme="minorEastAsia"/>
          <w:sz w:val="28"/>
          <w:szCs w:val="28"/>
        </w:rPr>
        <w:t>预算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数的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  <w:t>主要原因是坚持厉行节约，进一步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从严控制经费开支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eastAsia="zh-CN"/>
        </w:rPr>
        <w:t>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（三）项目支出管理情况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2019年我馆项目支出共计52万元，其中:图书购置经费30万元；免费开放经费县级12万元；文化信息资源共享经费3万元。公共电子阅览室2万元，图书馆总分馆建设5万元，为我馆开展公共文化服务活动，实行免费开放和文化信息资源共享工程提供了有力的保障。推动总分馆建设、数字图书馆建设稳步前进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三、部门整体支出绩效情况</w:t>
      </w:r>
    </w:p>
    <w:p>
      <w:pPr>
        <w:spacing w:line="580" w:lineRule="exact"/>
        <w:ind w:firstLine="280" w:firstLineChars="1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2019年，我馆根据年初工作规划，围绕县委、县政府中心工作，配合上级工作任务，积极较好的完成了年度工作目标。通过加强预算收支的管理，不断建立健全内部管理制度，理顺内部管理流程，部门整体支出管理情况得到了提升。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color w:val="000000"/>
          <w:sz w:val="28"/>
          <w:szCs w:val="28"/>
          <w:shd w:val="clear" w:color="auto" w:fill="FFFFFF"/>
        </w:rPr>
        <w:t>2019年，图书馆上下团结一心，艰苦创业，不断创新，在免费开放、4.23读书节、文化信息资源共享、古籍的收藏与保护、品牌项目“清泉讲坛”等方面取得卓越成绩。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内部管理上全馆干部职工积极履职，强化管理，较好的完成了年度工作目标。通过加强预算收支的管理，不断建立健全内部管理制度，理顺内部管理流程，部门整体支出管理情况得到了提升，部门整体支出绩效情况如下：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1、在职人员控制率：100%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2、“三公经费”控制率：100%。严格控制“三公经费”支出，开源节流。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3、预算完成率：100%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4、政府采购执行率100%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5、在资金管理上，我馆进一步完善了内部财务管理制度，并得到严格执行。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四、存在的主要问题</w:t>
      </w:r>
    </w:p>
    <w:p>
      <w:pPr>
        <w:spacing w:line="580" w:lineRule="exact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年初预算的编制较为精细，按照费用支出的使用范围和内容，进行了基本支出、项目支出明细项目严格细分，但对于追加项目支出，没有进行预算分解，编制明细预算。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五、改进措施和有关建议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1、抓好财务预算管理，严格执行财务管理制度，充分发挥内控机构监督作用。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2、严格财务支出审批，在审核审批中严把支出关，进一步完善规范财务报帐手续，切实维护财务纪律的严肃性。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 xml:space="preserve">     3、强化经费管理，重点加强招待费和办公经费的管理，严格控制支出，降低经费支出。</w:t>
      </w:r>
    </w:p>
    <w:p>
      <w:pPr>
        <w:spacing w:line="580" w:lineRule="exact"/>
        <w:rPr>
          <w:rFonts w:asciiTheme="minorEastAsia" w:hAnsiTheme="minorEastAsia" w:cstheme="minorEastAsia"/>
          <w:sz w:val="28"/>
          <w:szCs w:val="28"/>
        </w:rPr>
      </w:pPr>
    </w:p>
    <w:p>
      <w:pPr>
        <w:pStyle w:val="1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                            </w:t>
      </w:r>
    </w:p>
    <w:p>
      <w:pPr>
        <w:ind w:firstLine="640" w:firstLineChars="200"/>
        <w:jc w:val="center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6124E2A"/>
    <w:multiLevelType w:val="singleLevel"/>
    <w:tmpl w:val="96124E2A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B1B1CFF6"/>
    <w:multiLevelType w:val="singleLevel"/>
    <w:tmpl w:val="B1B1CFF6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EC60A6D"/>
    <w:multiLevelType w:val="singleLevel"/>
    <w:tmpl w:val="FEC60A6D"/>
    <w:lvl w:ilvl="0" w:tentative="0">
      <w:start w:val="1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1329710B"/>
    <w:multiLevelType w:val="singleLevel"/>
    <w:tmpl w:val="1329710B"/>
    <w:lvl w:ilvl="0" w:tentative="0">
      <w:start w:val="2"/>
      <w:numFmt w:val="chineseCounting"/>
      <w:suff w:val="nothing"/>
      <w:lvlText w:val="(%1）"/>
      <w:lvlJc w:val="left"/>
      <w:rPr>
        <w:rFonts w:hint="eastAsia"/>
      </w:rPr>
    </w:lvl>
  </w:abstractNum>
  <w:abstractNum w:abstractNumId="4">
    <w:nsid w:val="373518C1"/>
    <w:multiLevelType w:val="multilevel"/>
    <w:tmpl w:val="373518C1"/>
    <w:lvl w:ilvl="0" w:tentative="0">
      <w:start w:val="1"/>
      <w:numFmt w:val="none"/>
      <w:lvlText w:val="一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DEE2B6C"/>
    <w:multiLevelType w:val="singleLevel"/>
    <w:tmpl w:val="3DEE2B6C"/>
    <w:lvl w:ilvl="0" w:tentative="0">
      <w:start w:val="3"/>
      <w:numFmt w:val="decimal"/>
      <w:suff w:val="nothing"/>
      <w:lvlText w:val="%1、"/>
      <w:lvlJc w:val="left"/>
    </w:lvl>
  </w:abstractNum>
  <w:abstractNum w:abstractNumId="6">
    <w:nsid w:val="51319B5C"/>
    <w:multiLevelType w:val="singleLevel"/>
    <w:tmpl w:val="51319B5C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506F9"/>
    <w:rsid w:val="0002229B"/>
    <w:rsid w:val="000273BD"/>
    <w:rsid w:val="000415B7"/>
    <w:rsid w:val="000658A3"/>
    <w:rsid w:val="00074155"/>
    <w:rsid w:val="000A3F69"/>
    <w:rsid w:val="00152C6D"/>
    <w:rsid w:val="00162D39"/>
    <w:rsid w:val="001A67DB"/>
    <w:rsid w:val="001D51E5"/>
    <w:rsid w:val="001F0C3B"/>
    <w:rsid w:val="00214427"/>
    <w:rsid w:val="00265724"/>
    <w:rsid w:val="0027426B"/>
    <w:rsid w:val="003479BD"/>
    <w:rsid w:val="003768D5"/>
    <w:rsid w:val="004506F9"/>
    <w:rsid w:val="004717A2"/>
    <w:rsid w:val="00491741"/>
    <w:rsid w:val="00500E5F"/>
    <w:rsid w:val="005122EF"/>
    <w:rsid w:val="00517C33"/>
    <w:rsid w:val="00523644"/>
    <w:rsid w:val="0054069E"/>
    <w:rsid w:val="005767CC"/>
    <w:rsid w:val="00590D9F"/>
    <w:rsid w:val="00595D26"/>
    <w:rsid w:val="005A74E6"/>
    <w:rsid w:val="005D4D55"/>
    <w:rsid w:val="005E2CFB"/>
    <w:rsid w:val="0062378F"/>
    <w:rsid w:val="00651EEC"/>
    <w:rsid w:val="006A351B"/>
    <w:rsid w:val="006B0422"/>
    <w:rsid w:val="006C1B53"/>
    <w:rsid w:val="006D7730"/>
    <w:rsid w:val="006E5284"/>
    <w:rsid w:val="006F3EB5"/>
    <w:rsid w:val="006F4444"/>
    <w:rsid w:val="00702E34"/>
    <w:rsid w:val="00704395"/>
    <w:rsid w:val="00720FF1"/>
    <w:rsid w:val="00812ED5"/>
    <w:rsid w:val="008277D9"/>
    <w:rsid w:val="008A3E8D"/>
    <w:rsid w:val="009237C4"/>
    <w:rsid w:val="00950252"/>
    <w:rsid w:val="00967F5D"/>
    <w:rsid w:val="009A0F95"/>
    <w:rsid w:val="009B3ADF"/>
    <w:rsid w:val="009C3B52"/>
    <w:rsid w:val="00A42218"/>
    <w:rsid w:val="00A70249"/>
    <w:rsid w:val="00B33BEA"/>
    <w:rsid w:val="00B57C9F"/>
    <w:rsid w:val="00B845B3"/>
    <w:rsid w:val="00B85D8B"/>
    <w:rsid w:val="00BE3674"/>
    <w:rsid w:val="00C3049A"/>
    <w:rsid w:val="00C31B1E"/>
    <w:rsid w:val="00C77645"/>
    <w:rsid w:val="00CE04C3"/>
    <w:rsid w:val="00CE76A0"/>
    <w:rsid w:val="00D148C6"/>
    <w:rsid w:val="00DD06FF"/>
    <w:rsid w:val="00DD5FE9"/>
    <w:rsid w:val="00E00C7A"/>
    <w:rsid w:val="00E55B68"/>
    <w:rsid w:val="00ED4A0D"/>
    <w:rsid w:val="00F74360"/>
    <w:rsid w:val="00FB462F"/>
    <w:rsid w:val="00FE16FA"/>
    <w:rsid w:val="00FE328A"/>
    <w:rsid w:val="047676C0"/>
    <w:rsid w:val="0A733E75"/>
    <w:rsid w:val="1A404015"/>
    <w:rsid w:val="24E26100"/>
    <w:rsid w:val="2A2C24F5"/>
    <w:rsid w:val="2E252339"/>
    <w:rsid w:val="2EFC4E5D"/>
    <w:rsid w:val="41A83967"/>
    <w:rsid w:val="47CA5D19"/>
    <w:rsid w:val="4B285136"/>
    <w:rsid w:val="4B584AED"/>
    <w:rsid w:val="5D8C60F9"/>
    <w:rsid w:val="61CD64E3"/>
    <w:rsid w:val="6DA046A8"/>
    <w:rsid w:val="6F857E99"/>
    <w:rsid w:val="6FDD4D75"/>
    <w:rsid w:val="7A4F651D"/>
    <w:rsid w:val="7ABE4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sz w:val="24"/>
      <w:szCs w:val="24"/>
      <w:lang w:val="en-US" w:eastAsia="zh-CN"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E77F2D4-0D33-4C69-A711-B45042FA166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16</Pages>
  <Words>820</Words>
  <Characters>4677</Characters>
  <Lines>38</Lines>
  <Paragraphs>10</Paragraphs>
  <TotalTime>3</TotalTime>
  <ScaleCrop>false</ScaleCrop>
  <LinksUpToDate>false</LinksUpToDate>
  <CharactersWithSpaces>5487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2020-07-02T02:32:00Z</dcterms:created>
  <dc:creator>李航 null</dc:creator>
  <cp:lastModifiedBy>冰之剑</cp:lastModifiedBy>
  <cp:lastPrinted>2020-07-15T07:25:00Z</cp:lastPrinted>
  <dcterms:modified xsi:type="dcterms:W3CDTF">2021-06-23T13:28:56Z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6DEC7B3824E34E6EB8D521CAFD634B16</vt:lpwstr>
  </property>
</Properties>
</file>