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ind w:firstLine="2520" w:firstLineChars="300"/>
        <w:rPr>
          <w:sz w:val="84"/>
          <w:szCs w:val="84"/>
        </w:rPr>
      </w:pPr>
      <w:r>
        <w:rPr>
          <w:rFonts w:hint="eastAsia"/>
          <w:sz w:val="84"/>
          <w:szCs w:val="84"/>
        </w:rPr>
        <w:t>2019年度</w:t>
      </w:r>
    </w:p>
    <w:p>
      <w:pPr>
        <w:pStyle w:val="18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衡南县农民素质教育管理办公室部门决算</w:t>
      </w:r>
    </w:p>
    <w:p>
      <w:pPr>
        <w:pStyle w:val="18"/>
        <w:spacing w:line="520" w:lineRule="exact"/>
        <w:jc w:val="center"/>
        <w:rPr>
          <w:sz w:val="56"/>
          <w:szCs w:val="56"/>
        </w:rPr>
      </w:pPr>
    </w:p>
    <w:p>
      <w:pPr>
        <w:pStyle w:val="18"/>
        <w:spacing w:line="520" w:lineRule="exact"/>
        <w:ind w:firstLine="3080" w:firstLineChars="550"/>
        <w:rPr>
          <w:sz w:val="56"/>
          <w:szCs w:val="56"/>
        </w:rPr>
      </w:pPr>
      <w:r>
        <w:rPr>
          <w:rFonts w:hint="eastAsia"/>
          <w:sz w:val="56"/>
          <w:szCs w:val="56"/>
        </w:rPr>
        <w:t>目录</w:t>
      </w:r>
    </w:p>
    <w:p>
      <w:pPr>
        <w:pStyle w:val="18"/>
        <w:spacing w:line="520" w:lineRule="exact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第一部分衡南县农民素质教育管理办公室单位概况</w:t>
      </w:r>
    </w:p>
    <w:p>
      <w:pPr>
        <w:pStyle w:val="18"/>
        <w:spacing w:line="52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一、部门职责</w:t>
      </w:r>
    </w:p>
    <w:p>
      <w:pPr>
        <w:pStyle w:val="18"/>
        <w:spacing w:line="52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二、机构设置</w:t>
      </w:r>
    </w:p>
    <w:p>
      <w:pPr>
        <w:pStyle w:val="18"/>
        <w:spacing w:line="520" w:lineRule="exact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 w:hAnsi="仿宋_GB2312"/>
          <w:b/>
          <w:sz w:val="28"/>
          <w:szCs w:val="28"/>
        </w:rPr>
        <w:t>第二部分</w:t>
      </w:r>
      <w:r>
        <w:rPr>
          <w:rFonts w:hAnsi="仿宋_GB2312"/>
          <w:b/>
          <w:sz w:val="28"/>
          <w:szCs w:val="28"/>
        </w:rPr>
        <w:t>2019</w:t>
      </w:r>
      <w:r>
        <w:rPr>
          <w:rFonts w:hint="eastAsia" w:hAnsi="仿宋_GB2312"/>
          <w:b/>
          <w:sz w:val="28"/>
          <w:szCs w:val="28"/>
        </w:rPr>
        <w:t>年度部门决算表</w:t>
      </w:r>
    </w:p>
    <w:p>
      <w:pPr>
        <w:pStyle w:val="18"/>
        <w:spacing w:line="52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一、收入支出决算总表</w:t>
      </w:r>
    </w:p>
    <w:p>
      <w:pPr>
        <w:pStyle w:val="18"/>
        <w:spacing w:line="52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二、收入决算表</w:t>
      </w:r>
    </w:p>
    <w:p>
      <w:pPr>
        <w:pStyle w:val="18"/>
        <w:spacing w:line="52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三、支出决算表</w:t>
      </w:r>
    </w:p>
    <w:p>
      <w:pPr>
        <w:pStyle w:val="18"/>
        <w:spacing w:line="52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四、财政拨款收入支出决算总表</w:t>
      </w:r>
    </w:p>
    <w:p>
      <w:pPr>
        <w:pStyle w:val="18"/>
        <w:spacing w:line="52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五、一般公共预算财政拨款支出决算表</w:t>
      </w:r>
    </w:p>
    <w:p>
      <w:pPr>
        <w:pStyle w:val="18"/>
        <w:spacing w:line="52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六、一般公共预算财政拨款基本支出决算表</w:t>
      </w:r>
    </w:p>
    <w:p>
      <w:pPr>
        <w:pStyle w:val="18"/>
        <w:spacing w:line="52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七、一般公共预算财政拨款“三公”经费支出决算表</w:t>
      </w:r>
    </w:p>
    <w:p>
      <w:pPr>
        <w:pStyle w:val="18"/>
        <w:spacing w:line="52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八、政府性基金预算财政拨款收入支出决算表</w:t>
      </w:r>
    </w:p>
    <w:p>
      <w:pPr>
        <w:pStyle w:val="18"/>
        <w:spacing w:line="520" w:lineRule="exact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 w:hAnsi="仿宋_GB2312"/>
          <w:b/>
          <w:sz w:val="28"/>
          <w:szCs w:val="28"/>
        </w:rPr>
        <w:t>第三部分</w:t>
      </w:r>
      <w:r>
        <w:rPr>
          <w:rFonts w:hAnsi="仿宋_GB2312"/>
          <w:b/>
          <w:sz w:val="28"/>
          <w:szCs w:val="28"/>
        </w:rPr>
        <w:t>2019</w:t>
      </w:r>
      <w:r>
        <w:rPr>
          <w:rFonts w:hint="eastAsia" w:hAnsi="仿宋_GB2312"/>
          <w:b/>
          <w:sz w:val="28"/>
          <w:szCs w:val="28"/>
        </w:rPr>
        <w:t>年度部门决算情况说明</w:t>
      </w:r>
    </w:p>
    <w:p>
      <w:pPr>
        <w:pStyle w:val="18"/>
        <w:spacing w:line="52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一、收入支出决算总体情况说明</w:t>
      </w:r>
    </w:p>
    <w:p>
      <w:pPr>
        <w:spacing w:line="520" w:lineRule="exact"/>
        <w:ind w:firstLine="700" w:firstLineChars="250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>二、收入决算情况说明</w:t>
      </w:r>
    </w:p>
    <w:p>
      <w:pPr>
        <w:autoSpaceDE w:val="0"/>
        <w:autoSpaceDN w:val="0"/>
        <w:adjustRightInd w:val="0"/>
        <w:spacing w:line="52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三、支出决算情况说明</w:t>
      </w:r>
    </w:p>
    <w:p>
      <w:pPr>
        <w:autoSpaceDE w:val="0"/>
        <w:autoSpaceDN w:val="0"/>
        <w:adjustRightInd w:val="0"/>
        <w:spacing w:line="52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四、财政拨款收入支出决算总体情况说明</w:t>
      </w:r>
    </w:p>
    <w:p>
      <w:pPr>
        <w:autoSpaceDE w:val="0"/>
        <w:autoSpaceDN w:val="0"/>
        <w:adjustRightInd w:val="0"/>
        <w:spacing w:line="52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五、一般公共预算财政拨款支出决算情况说明</w:t>
      </w:r>
    </w:p>
    <w:p>
      <w:pPr>
        <w:autoSpaceDE w:val="0"/>
        <w:autoSpaceDN w:val="0"/>
        <w:adjustRightInd w:val="0"/>
        <w:spacing w:line="52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六、一般公共预算财政拨款基本支出决算情况说明</w:t>
      </w:r>
    </w:p>
    <w:p>
      <w:pPr>
        <w:autoSpaceDE w:val="0"/>
        <w:autoSpaceDN w:val="0"/>
        <w:adjustRightInd w:val="0"/>
        <w:spacing w:line="52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七、一般公共预算财政拨款三公经费支出决算情况说明</w:t>
      </w:r>
    </w:p>
    <w:p>
      <w:pPr>
        <w:autoSpaceDE w:val="0"/>
        <w:autoSpaceDN w:val="0"/>
        <w:adjustRightInd w:val="0"/>
        <w:spacing w:line="52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八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、</w:t>
      </w: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政府性基金预算收入支出决算情况</w:t>
      </w:r>
    </w:p>
    <w:p>
      <w:pPr>
        <w:autoSpaceDE w:val="0"/>
        <w:autoSpaceDN w:val="0"/>
        <w:adjustRightInd w:val="0"/>
        <w:spacing w:line="52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九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、预算绩效情况说明</w:t>
      </w:r>
    </w:p>
    <w:p>
      <w:pPr>
        <w:autoSpaceDE w:val="0"/>
        <w:autoSpaceDN w:val="0"/>
        <w:adjustRightInd w:val="0"/>
        <w:spacing w:line="52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十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、其他重要事项情况说明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黑体" w:hAnsi="黑体" w:eastAsia="黑体" w:cs="仿宋_GB2312"/>
          <w:b/>
          <w:color w:val="000000"/>
          <w:kern w:val="0"/>
          <w:sz w:val="28"/>
          <w:szCs w:val="28"/>
        </w:rPr>
      </w:pPr>
      <w:r>
        <w:rPr>
          <w:rFonts w:ascii="黑体" w:hAnsi="黑体" w:eastAsia="黑体" w:cs="黑体"/>
          <w:b/>
          <w:color w:val="000000"/>
          <w:kern w:val="0"/>
          <w:sz w:val="28"/>
          <w:szCs w:val="28"/>
        </w:rPr>
        <w:t>第四部分名词解释</w:t>
      </w:r>
    </w:p>
    <w:p>
      <w:pPr>
        <w:spacing w:line="520" w:lineRule="exact"/>
        <w:jc w:val="left"/>
        <w:rPr>
          <w:rFonts w:ascii="黑体" w:hAnsi="黑体" w:eastAsia="黑体" w:cs="仿宋_GB2312"/>
          <w:b/>
          <w:color w:val="000000"/>
          <w:kern w:val="0"/>
          <w:sz w:val="28"/>
          <w:szCs w:val="28"/>
        </w:rPr>
      </w:pPr>
      <w:r>
        <w:rPr>
          <w:rFonts w:ascii="黑体" w:hAnsi="黑体" w:eastAsia="黑体" w:cs="黑体"/>
          <w:b/>
          <w:color w:val="000000"/>
          <w:kern w:val="0"/>
          <w:sz w:val="28"/>
          <w:szCs w:val="28"/>
        </w:rPr>
        <w:t>第五部分附件</w:t>
      </w:r>
    </w:p>
    <w:p>
      <w:pPr>
        <w:jc w:val="center"/>
        <w:rPr>
          <w:sz w:val="72"/>
          <w:szCs w:val="72"/>
        </w:rPr>
      </w:pPr>
    </w:p>
    <w:p>
      <w:pPr>
        <w:rPr>
          <w:sz w:val="72"/>
          <w:szCs w:val="72"/>
        </w:rPr>
      </w:pPr>
    </w:p>
    <w:p>
      <w:pPr>
        <w:rPr>
          <w:b/>
          <w:bCs/>
          <w:sz w:val="72"/>
          <w:szCs w:val="72"/>
        </w:rPr>
      </w:pPr>
    </w:p>
    <w:p>
      <w:pPr>
        <w:rPr>
          <w:b/>
          <w:bCs/>
          <w:sz w:val="72"/>
          <w:szCs w:val="72"/>
        </w:rPr>
      </w:pPr>
    </w:p>
    <w:p>
      <w:pPr>
        <w:rPr>
          <w:b/>
          <w:bCs/>
          <w:sz w:val="72"/>
          <w:szCs w:val="72"/>
        </w:rPr>
      </w:pPr>
    </w:p>
    <w:p>
      <w:pPr>
        <w:rPr>
          <w:b/>
          <w:bCs/>
          <w:sz w:val="72"/>
          <w:szCs w:val="72"/>
        </w:rPr>
      </w:pPr>
    </w:p>
    <w:p>
      <w:pPr>
        <w:rPr>
          <w:b/>
          <w:bCs/>
          <w:sz w:val="72"/>
          <w:szCs w:val="72"/>
        </w:rPr>
      </w:pPr>
    </w:p>
    <w:p>
      <w:pPr>
        <w:rPr>
          <w:b/>
          <w:bCs/>
          <w:sz w:val="72"/>
          <w:szCs w:val="72"/>
        </w:rPr>
      </w:pPr>
    </w:p>
    <w:p>
      <w:pPr>
        <w:rPr>
          <w:b/>
          <w:bCs/>
          <w:sz w:val="72"/>
          <w:szCs w:val="72"/>
        </w:rPr>
      </w:pPr>
    </w:p>
    <w:p>
      <w:pPr>
        <w:rPr>
          <w:b/>
          <w:bCs/>
          <w:sz w:val="72"/>
          <w:szCs w:val="72"/>
        </w:rPr>
      </w:pPr>
    </w:p>
    <w:p>
      <w:pPr>
        <w:ind w:firstLine="2530" w:firstLineChars="350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 xml:space="preserve">第一部分 </w:t>
      </w:r>
    </w:p>
    <w:p>
      <w:pPr>
        <w:jc w:val="center"/>
        <w:rPr>
          <w:b/>
          <w:bCs/>
          <w:sz w:val="72"/>
          <w:szCs w:val="72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衡南农民素质教育管理办公室单位概况</w:t>
      </w:r>
    </w:p>
    <w:p>
      <w:pPr>
        <w:pStyle w:val="19"/>
        <w:widowControl/>
        <w:numPr>
          <w:ilvl w:val="0"/>
          <w:numId w:val="1"/>
        </w:numPr>
        <w:snapToGrid w:val="0"/>
        <w:spacing w:line="600" w:lineRule="exact"/>
        <w:ind w:firstLineChars="0"/>
        <w:rPr>
          <w:rFonts w:ascii="方正黑体_GBK" w:hAnsi="方正黑体_GBK" w:eastAsia="方正黑体_GBK" w:cs="方正黑体_GBK"/>
          <w:kern w:val="0"/>
          <w:sz w:val="34"/>
          <w:szCs w:val="34"/>
        </w:rPr>
      </w:pPr>
      <w:r>
        <w:rPr>
          <w:rFonts w:hint="eastAsia" w:ascii="方正黑体_GBK" w:hAnsi="方正黑体_GBK" w:eastAsia="方正黑体_GBK" w:cs="方正黑体_GBK"/>
          <w:kern w:val="0"/>
          <w:sz w:val="34"/>
          <w:szCs w:val="34"/>
        </w:rPr>
        <w:t>部门职责</w:t>
      </w:r>
    </w:p>
    <w:p>
      <w:pPr>
        <w:ind w:firstLine="560" w:firstLineChars="200"/>
        <w:jc w:val="left"/>
        <w:rPr>
          <w:rFonts w:ascii="方正仿宋_GBK" w:hAnsi="方正仿宋_GBK" w:eastAsia="方正仿宋_GBK" w:cs="方正仿宋_GBK"/>
          <w:kern w:val="0"/>
          <w:sz w:val="34"/>
          <w:szCs w:val="34"/>
        </w:rPr>
      </w:pPr>
      <w:r>
        <w:rPr>
          <w:rFonts w:hint="eastAsia" w:ascii="宋体" w:hAnsi="宋体" w:cs="宋体"/>
          <w:kern w:val="0"/>
          <w:sz w:val="28"/>
          <w:szCs w:val="28"/>
        </w:rPr>
        <w:t>１</w:t>
      </w:r>
      <w:r>
        <w:rPr>
          <w:rFonts w:ascii="宋体" w:hAnsi="宋体" w:cs="宋体"/>
          <w:kern w:val="0"/>
          <w:sz w:val="28"/>
          <w:szCs w:val="28"/>
        </w:rPr>
        <w:t>、贯彻执行党和国家及省委、省政府有关科教兴农工作的方针政策，拟定全县农民科技教育规划并组织实施。</w:t>
      </w:r>
    </w:p>
    <w:p>
      <w:pPr>
        <w:widowControl/>
        <w:spacing w:line="360" w:lineRule="auto"/>
        <w:ind w:left="420" w:leftChars="200" w:firstLine="5" w:firstLineChars="2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2、研究全县农民科技教育工作中的重大问题并及时总结经验，为县委、县政府有关科技决策提供依据。</w:t>
      </w:r>
    </w:p>
    <w:p>
      <w:pPr>
        <w:widowControl/>
        <w:spacing w:line="360" w:lineRule="auto"/>
        <w:ind w:left="315" w:leftChars="150" w:firstLine="140" w:firstLineChars="5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3、负责全县农业广播电视教育和农村远程成人职业教育工作。</w:t>
      </w:r>
    </w:p>
    <w:p>
      <w:pPr>
        <w:widowControl/>
        <w:spacing w:line="360" w:lineRule="auto"/>
        <w:ind w:left="315" w:leftChars="150" w:firstLine="140" w:firstLineChars="5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4、负责农民工培训、组织管理和农业技能监定工作。</w:t>
      </w:r>
    </w:p>
    <w:p>
      <w:pPr>
        <w:widowControl/>
        <w:spacing w:line="360" w:lineRule="auto"/>
        <w:ind w:left="315" w:leftChars="150" w:firstLine="140" w:firstLineChars="5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5、负责农村基层干部学历教育及中、短期培训工作。</w:t>
      </w:r>
    </w:p>
    <w:p>
      <w:pPr>
        <w:widowControl/>
        <w:spacing w:line="360" w:lineRule="auto"/>
        <w:ind w:left="315" w:leftChars="150" w:firstLine="140" w:firstLineChars="5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6、承担县农民教育工作领导小组办公室日常工作和</w:t>
      </w:r>
      <w:r>
        <w:rPr>
          <w:rFonts w:hint="eastAsia" w:ascii="宋体" w:hAnsi="宋体" w:cs="宋体"/>
          <w:kern w:val="0"/>
          <w:sz w:val="28"/>
          <w:szCs w:val="28"/>
        </w:rPr>
        <w:t>上级</w:t>
      </w:r>
      <w:r>
        <w:rPr>
          <w:rFonts w:ascii="宋体" w:hAnsi="宋体" w:cs="宋体"/>
          <w:kern w:val="0"/>
          <w:sz w:val="28"/>
          <w:szCs w:val="28"/>
        </w:rPr>
        <w:t>交办的其他事项。</w:t>
      </w:r>
    </w:p>
    <w:p>
      <w:pPr>
        <w:widowControl/>
        <w:snapToGrid w:val="0"/>
        <w:spacing w:line="600" w:lineRule="exact"/>
        <w:ind w:firstLine="680" w:firstLineChars="200"/>
        <w:rPr>
          <w:rFonts w:ascii="方正黑体_GBK" w:hAnsi="方正黑体_GBK" w:eastAsia="方正黑体_GBK" w:cs="方正黑体_GBK"/>
          <w:kern w:val="0"/>
          <w:sz w:val="34"/>
          <w:szCs w:val="34"/>
        </w:rPr>
      </w:pPr>
      <w:r>
        <w:rPr>
          <w:rFonts w:hint="eastAsia" w:ascii="方正黑体_GBK" w:hAnsi="方正黑体_GBK" w:eastAsia="方正黑体_GBK" w:cs="方正黑体_GBK"/>
          <w:kern w:val="0"/>
          <w:sz w:val="34"/>
          <w:szCs w:val="34"/>
        </w:rPr>
        <w:t>二、机构设置及决算单位构成</w:t>
      </w:r>
    </w:p>
    <w:p>
      <w:pPr>
        <w:widowControl/>
        <w:snapToGrid w:val="0"/>
        <w:spacing w:line="600" w:lineRule="exact"/>
        <w:ind w:firstLine="680" w:firstLineChars="200"/>
        <w:rPr>
          <w:rFonts w:ascii="方正楷体_GBK" w:hAnsi="方正楷体_GBK" w:eastAsia="方正楷体_GBK" w:cs="方正楷体_GBK"/>
          <w:kern w:val="0"/>
          <w:sz w:val="34"/>
          <w:szCs w:val="34"/>
        </w:rPr>
      </w:pPr>
      <w:r>
        <w:rPr>
          <w:rFonts w:hint="eastAsia" w:ascii="方正楷体_GBK" w:hAnsi="方正楷体_GBK" w:eastAsia="方正楷体_GBK" w:cs="方正楷体_GBK"/>
          <w:kern w:val="0"/>
          <w:sz w:val="34"/>
          <w:szCs w:val="34"/>
        </w:rPr>
        <w:t>（一）内设机构设置</w:t>
      </w:r>
    </w:p>
    <w:p>
      <w:pPr>
        <w:ind w:firstLine="700" w:firstLineChars="250"/>
        <w:rPr>
          <w:rFonts w:ascii="宋体" w:hAnsi="宋体" w:cs="黑体"/>
          <w:b/>
          <w:bCs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衡南县农民素质教育管理办公室</w:t>
      </w:r>
      <w:r>
        <w:rPr>
          <w:rFonts w:hint="eastAsia" w:ascii="宋体" w:hAnsi="宋体" w:cs="宋体"/>
          <w:sz w:val="28"/>
          <w:szCs w:val="28"/>
        </w:rPr>
        <w:t>为全额财政拨款单位，隶属衡南县农业农村局管理的二级机构，其财务独立核算。</w:t>
      </w:r>
      <w:r>
        <w:rPr>
          <w:rFonts w:hint="eastAsia" w:cs="方正仿宋_GBK" w:asciiTheme="minorEastAsia" w:hAnsiTheme="minorEastAsia"/>
          <w:kern w:val="0"/>
          <w:sz w:val="28"/>
          <w:szCs w:val="28"/>
        </w:rPr>
        <w:t>根据编委核定，本单位</w:t>
      </w:r>
      <w:r>
        <w:rPr>
          <w:rFonts w:hint="eastAsia" w:cs="仿宋_GB2312" w:asciiTheme="minorEastAsia" w:hAnsiTheme="minorEastAsia"/>
          <w:sz w:val="28"/>
          <w:szCs w:val="28"/>
        </w:rPr>
        <w:t>内设股室3个：综合计划股、远程教育股、科技培训股</w:t>
      </w:r>
      <w:r>
        <w:rPr>
          <w:rFonts w:hint="eastAsia" w:ascii="宋体" w:hAnsi="宋体" w:cs="仿宋_GB2312"/>
          <w:sz w:val="28"/>
          <w:szCs w:val="28"/>
        </w:rPr>
        <w:t>。</w:t>
      </w:r>
    </w:p>
    <w:p>
      <w:pPr>
        <w:autoSpaceDE w:val="0"/>
        <w:snapToGrid w:val="0"/>
        <w:spacing w:line="600" w:lineRule="exact"/>
        <w:ind w:firstLine="340" w:firstLineChars="100"/>
        <w:rPr>
          <w:rFonts w:ascii="方正楷体_GBK" w:hAnsi="方正楷体_GBK" w:eastAsia="方正楷体_GBK" w:cs="方正楷体_GBK"/>
          <w:kern w:val="0"/>
          <w:sz w:val="34"/>
          <w:szCs w:val="34"/>
        </w:rPr>
      </w:pPr>
      <w:r>
        <w:rPr>
          <w:rFonts w:hint="eastAsia" w:ascii="方正楷体_GBK" w:hAnsi="方正楷体_GBK" w:eastAsia="方正楷体_GBK" w:cs="方正楷体_GBK"/>
          <w:kern w:val="0"/>
          <w:sz w:val="34"/>
          <w:szCs w:val="34"/>
        </w:rPr>
        <w:t>（二）决算单位构成</w:t>
      </w:r>
    </w:p>
    <w:p>
      <w:pPr>
        <w:autoSpaceDE w:val="0"/>
        <w:snapToGrid w:val="0"/>
        <w:spacing w:line="600" w:lineRule="exact"/>
        <w:ind w:firstLine="560" w:firstLineChars="200"/>
        <w:rPr>
          <w:rFonts w:cs="方正仿宋_GBK" w:asciiTheme="minorEastAsia" w:hAnsiTheme="minorEastAsia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衡南县农民素质教育管理办公室</w:t>
      </w:r>
      <w:r>
        <w:rPr>
          <w:rFonts w:hint="eastAsia" w:cs="方正仿宋_GBK" w:asciiTheme="minorEastAsia" w:hAnsiTheme="minorEastAsia"/>
          <w:kern w:val="0"/>
          <w:sz w:val="28"/>
          <w:szCs w:val="28"/>
        </w:rPr>
        <w:t>2019年部门决算公开单位</w:t>
      </w:r>
      <w:r>
        <w:rPr>
          <w:rFonts w:hint="eastAsia" w:cs="宋体" w:asciiTheme="minorEastAsia" w:hAnsiTheme="minorEastAsia"/>
          <w:sz w:val="28"/>
          <w:szCs w:val="28"/>
        </w:rPr>
        <w:t>隶属衡南县农业农村局管理的二级机构，其财务独立核算。</w:t>
      </w:r>
    </w:p>
    <w:p>
      <w:pPr>
        <w:jc w:val="left"/>
        <w:rPr>
          <w:rFonts w:ascii="仿宋_GB2312" w:eastAsia="仿宋_GB2312" w:hAnsiTheme="minorEastAsia"/>
          <w:sz w:val="28"/>
          <w:szCs w:val="32"/>
        </w:rPr>
      </w:pPr>
    </w:p>
    <w:p>
      <w:pPr>
        <w:jc w:val="left"/>
        <w:rPr>
          <w:rFonts w:ascii="仿宋_GB2312" w:eastAsia="仿宋_GB2312" w:hAnsiTheme="minorEastAsia"/>
          <w:sz w:val="28"/>
          <w:szCs w:val="32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rPr>
          <w:sz w:val="72"/>
          <w:szCs w:val="72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第二部分</w:t>
      </w:r>
    </w:p>
    <w:p>
      <w:pPr>
        <w:jc w:val="center"/>
        <w:rPr>
          <w:b/>
          <w:bCs/>
          <w:sz w:val="72"/>
          <w:szCs w:val="72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部门决算表</w:t>
      </w:r>
    </w:p>
    <w:p>
      <w:pPr>
        <w:jc w:val="center"/>
        <w:rPr>
          <w:b/>
          <w:bCs/>
          <w:sz w:val="72"/>
          <w:szCs w:val="72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(部门决算公示表附后)</w:t>
      </w: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left"/>
        <w:rPr>
          <w:rFonts w:asciiTheme="minorEastAsia" w:hAnsiTheme="minorEastAsia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18"/>
        <w:ind w:firstLine="3600" w:firstLineChars="500"/>
        <w:rPr>
          <w:sz w:val="72"/>
          <w:szCs w:val="72"/>
        </w:rPr>
      </w:pPr>
      <w:r>
        <w:rPr>
          <w:rFonts w:hint="eastAsia"/>
          <w:sz w:val="72"/>
          <w:szCs w:val="72"/>
        </w:rPr>
        <w:t>第三部分</w:t>
      </w:r>
    </w:p>
    <w:p>
      <w:pPr>
        <w:pStyle w:val="18"/>
        <w:jc w:val="center"/>
        <w:rPr>
          <w:sz w:val="70"/>
          <w:szCs w:val="70"/>
        </w:rPr>
      </w:pPr>
    </w:p>
    <w:p>
      <w:pPr>
        <w:pStyle w:val="18"/>
        <w:jc w:val="center"/>
        <w:rPr>
          <w:sz w:val="70"/>
          <w:szCs w:val="70"/>
        </w:rPr>
      </w:pPr>
      <w:r>
        <w:rPr>
          <w:sz w:val="70"/>
          <w:szCs w:val="70"/>
        </w:rPr>
        <w:t>2019</w:t>
      </w:r>
      <w:r>
        <w:rPr>
          <w:rFonts w:hint="eastAsia"/>
          <w:sz w:val="70"/>
          <w:szCs w:val="70"/>
        </w:rPr>
        <w:t>年度部门决算情况说明</w:t>
      </w:r>
    </w:p>
    <w:p>
      <w:pPr>
        <w:pStyle w:val="18"/>
        <w:jc w:val="center"/>
        <w:rPr>
          <w:sz w:val="70"/>
          <w:szCs w:val="70"/>
        </w:rPr>
      </w:pPr>
      <w:r>
        <w:rPr>
          <w:rFonts w:hint="eastAsia" w:hAnsi="黑体"/>
          <w:b/>
          <w:sz w:val="32"/>
          <w:szCs w:val="32"/>
        </w:rPr>
        <w:t>一、收入支出决算总体情况说明</w:t>
      </w:r>
    </w:p>
    <w:p>
      <w:pPr>
        <w:pStyle w:val="18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2019年度收入总计146.61万元。与2018年相比，减少10.65万元，减少6.8%。支出总计146.61万元，收入支出略有减少是因为人员异动调出，相应工资及社保费减少。</w:t>
      </w:r>
    </w:p>
    <w:p>
      <w:pPr>
        <w:pStyle w:val="18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二、收入决算情况说明</w:t>
      </w:r>
    </w:p>
    <w:p>
      <w:pPr>
        <w:pStyle w:val="18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本年收入合计146.61万元，其中：财政拨款收入146.61万元，占100%。</w:t>
      </w:r>
    </w:p>
    <w:p>
      <w:pPr>
        <w:pStyle w:val="18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三、支出决算情况说明</w:t>
      </w:r>
    </w:p>
    <w:p>
      <w:pPr>
        <w:pStyle w:val="18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本年支出合计146.61万元，其中：基本支出146.61万元，占100%。</w:t>
      </w:r>
    </w:p>
    <w:p>
      <w:pPr>
        <w:pStyle w:val="18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四、财政拨款收入支出决算总体情况说明</w:t>
      </w:r>
    </w:p>
    <w:p>
      <w:pPr>
        <w:pStyle w:val="18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2019年度财政拨款收入146.61万元。与2018年相比，减少10.65万元，减少6.8%。支出总计146.61万元，收入支出略有减少是因为人员异动调出，相应工资及社保费减少。</w:t>
      </w:r>
    </w:p>
    <w:p>
      <w:pPr>
        <w:pStyle w:val="18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五、一般公共预算财政拨款支出决算情况说明</w:t>
      </w:r>
    </w:p>
    <w:p>
      <w:pPr>
        <w:pStyle w:val="18"/>
        <w:ind w:firstLine="640" w:firstLineChars="20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（一）财政拨款支出决算总体情况</w:t>
      </w:r>
    </w:p>
    <w:p>
      <w:pPr>
        <w:pStyle w:val="18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2019年度财政拨款支出146.61万元，占本年支出合计的100%，与2018年相比，财政拨款支出减少10.65万元，减少6.8%，主要是因为人员异动调出，相应工资及社保费减少。</w:t>
      </w:r>
    </w:p>
    <w:p>
      <w:pPr>
        <w:pStyle w:val="18"/>
        <w:ind w:firstLine="480" w:firstLineChars="15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（二）财政拨款支出决算结构情况</w:t>
      </w:r>
    </w:p>
    <w:p>
      <w:pPr>
        <w:pStyle w:val="18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2019年度财政拨款支出146.61万元，主要用于以下方面：教育支出116.92万元，占79.75%；社会保障和就业支出18.39万元，占15.54%；卫生健康支出5.98万元，占4.08%，住房保障支出5.31万元，占0.63%。</w:t>
      </w:r>
    </w:p>
    <w:p>
      <w:pPr>
        <w:pStyle w:val="18"/>
        <w:ind w:firstLine="800" w:firstLineChars="25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（三）财政拨款支出决算具体情况</w:t>
      </w:r>
    </w:p>
    <w:p>
      <w:pPr>
        <w:pStyle w:val="18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2019年度财政拨款支出年初预算数为144.76万元，支出决算数为146.61万元，完成年初预算的101.28%，与年初预算安排的差额主要是年终预算追加人员工资普调的支出。其中：</w:t>
      </w:r>
    </w:p>
    <w:p>
      <w:pPr>
        <w:pStyle w:val="18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1、教育支出（类）成人教育（款）成人高等教育支出（项）。</w:t>
      </w:r>
    </w:p>
    <w:p>
      <w:pPr>
        <w:pStyle w:val="18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年初预算为114.16万元，支出决算为116.92万元，完成年初预算的102.42%。增加部分为每年的人员普调工资。</w:t>
      </w:r>
    </w:p>
    <w:p>
      <w:pPr>
        <w:pStyle w:val="18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2、社会保障和就业支出（类）行政事业单位离退休（款）机关事业单位基本养老保险缴费支出（项）。</w:t>
      </w:r>
    </w:p>
    <w:p>
      <w:pPr>
        <w:pStyle w:val="18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年初预算为19.17万元，支出决算为16.61万元，完成年初预算的86.65%，本年度8-12月养老保险于2020年元月上交。</w:t>
      </w:r>
    </w:p>
    <w:p>
      <w:pPr>
        <w:pStyle w:val="18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3、社会保障和就业支出（类）行政事业单位离退休（款）机关事业单位职业年金缴费支出（项）。</w:t>
      </w:r>
    </w:p>
    <w:p>
      <w:pPr>
        <w:pStyle w:val="18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支出决算为1.78万元，为个人部分交的职业年金，单位预算部分财政未拨付。</w:t>
      </w:r>
    </w:p>
    <w:p>
      <w:pPr>
        <w:pStyle w:val="18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4、卫生健康支出（类）行政事业单位医疗（款）事业单位医疗（项）。</w:t>
      </w:r>
    </w:p>
    <w:p>
      <w:pPr>
        <w:pStyle w:val="18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年初预算为4.34万元，支出决算为5.98万元，完成年初预算的137.79%，增加部分为个人部分医疗缴费。</w:t>
      </w:r>
    </w:p>
    <w:p>
      <w:pPr>
        <w:pStyle w:val="18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5、住房保障支出（类）住房改革支出（款）住房公积金（项）。</w:t>
      </w:r>
    </w:p>
    <w:p>
      <w:pPr>
        <w:pStyle w:val="18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年初预算为5.31万元，支出决算为5.31万元，完成年初预算的100%。</w:t>
      </w:r>
    </w:p>
    <w:p>
      <w:pPr>
        <w:pStyle w:val="18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六、一般公共预算财政拨款基本支出决算情况说明</w:t>
      </w:r>
    </w:p>
    <w:p>
      <w:pPr>
        <w:pStyle w:val="18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2019年度财政拨款基本支出146.61万元，其中：人员经费132.77万元，占基本支出的90.56%,主要包括基本工资、津贴补贴、奖金、伙食补助费、绩效工资、机关事业单位基本养老保险缴费、职工基本医疗保险缴费、其他社会保障缴费、住房公积金、其他工资福利支出、对其他个人和家庭的补助、抚恤金、生活补助、医疗补助；公用经费13.83万元，占基本支出的9.44%，主要包括办公费、印刷费、水费、电费、差旅费、维修费、会议费、培训费、公务接待费、工会经费。</w:t>
      </w:r>
    </w:p>
    <w:p>
      <w:pPr>
        <w:pStyle w:val="18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七、一般公共预算财政拨款三公经费支出决算情况说明</w:t>
      </w:r>
    </w:p>
    <w:p>
      <w:pPr>
        <w:pStyle w:val="18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（一）“三公”经费财政拨款支出决算总体情况说明</w:t>
      </w:r>
    </w:p>
    <w:p>
      <w:pPr>
        <w:pStyle w:val="18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“三公”经费财政拨款支出预算为2万元，支出决算为1.8万元，完成预算90%，其中：公务接待费支出预算为2万元，支出决算为1.8万元，完成预算的90%，与上年相比减少0.765万元，减少4%,减少的主要原因是缩减了公务接待开支。</w:t>
      </w:r>
    </w:p>
    <w:p>
      <w:pPr>
        <w:pStyle w:val="18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本单位无公务用车购置费及运行维护费支出。</w:t>
      </w:r>
    </w:p>
    <w:p>
      <w:pPr>
        <w:pStyle w:val="18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本单位无因公出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国（境）费用</w:t>
      </w:r>
      <w:r>
        <w:rPr>
          <w:rFonts w:hint="eastAsia" w:asciiTheme="minorEastAsia" w:hAnsiTheme="minorEastAsia" w:eastAsiaTheme="minorEastAsia"/>
          <w:sz w:val="32"/>
          <w:szCs w:val="32"/>
        </w:rPr>
        <w:t>。</w:t>
      </w:r>
    </w:p>
    <w:p>
      <w:pPr>
        <w:pStyle w:val="18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（二）“三公”经费财政拨款支出决算具体情况说明</w:t>
      </w:r>
    </w:p>
    <w:p>
      <w:pPr>
        <w:pStyle w:val="18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2019年度“三公”经费财政拨款支出决算中，公务接待费支出决算1.8万元。</w:t>
      </w:r>
    </w:p>
    <w:p>
      <w:pPr>
        <w:pStyle w:val="18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1、公务接待费支出决算为1.8万元，全年共接待上级机关检查组32个、来宾189人次，主要是接待上级机关来检查工作发生的接待支出。</w:t>
      </w:r>
    </w:p>
    <w:p>
      <w:pPr>
        <w:pStyle w:val="18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2、本单位无公务用车购置费及运行维护费支出。至2019年12月31日，本单位公务用车保有量为0辆，当年新增公务用车为0辆。</w:t>
      </w:r>
    </w:p>
    <w:p>
      <w:pPr>
        <w:pStyle w:val="18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3、本单位无出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</w:rPr>
        <w:t>国（境）费用</w:t>
      </w:r>
      <w:r>
        <w:rPr>
          <w:rFonts w:hint="eastAsia" w:asciiTheme="minorEastAsia" w:hAnsiTheme="minorEastAsia" w:eastAsiaTheme="minorEastAsia"/>
          <w:sz w:val="32"/>
          <w:szCs w:val="32"/>
        </w:rPr>
        <w:t>。</w:t>
      </w:r>
    </w:p>
    <w:p>
      <w:pPr>
        <w:ind w:firstLine="800" w:firstLineChars="250"/>
        <w:rPr>
          <w:rFonts w:cs="黑体" w:asciiTheme="minorEastAsia" w:hAnsiTheme="minorEastAsia"/>
          <w:color w:val="000000"/>
          <w:kern w:val="0"/>
          <w:sz w:val="32"/>
          <w:szCs w:val="32"/>
        </w:rPr>
      </w:pPr>
    </w:p>
    <w:p>
      <w:pPr>
        <w:pStyle w:val="18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八、政府性基金预算收入支出决算情况</w:t>
      </w:r>
    </w:p>
    <w:p>
      <w:pPr>
        <w:pStyle w:val="18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     2019年度无政府性基金预算收入支出</w:t>
      </w:r>
    </w:p>
    <w:p>
      <w:pPr>
        <w:pStyle w:val="18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九、关于2019年度预算绩效情况说明</w:t>
      </w:r>
    </w:p>
    <w:p>
      <w:pPr>
        <w:pStyle w:val="5"/>
        <w:widowControl/>
        <w:spacing w:line="27" w:lineRule="atLeast"/>
        <w:ind w:firstLine="960" w:firstLineChars="300"/>
        <w:jc w:val="both"/>
        <w:rPr>
          <w:rFonts w:cs="黑体" w:asciiTheme="minorEastAsia" w:hAnsiTheme="minorEastAsia"/>
          <w:color w:val="000000"/>
          <w:sz w:val="32"/>
          <w:szCs w:val="32"/>
        </w:rPr>
      </w:pPr>
      <w:r>
        <w:rPr>
          <w:rFonts w:hint="eastAsia" w:cs="黑体" w:asciiTheme="minorEastAsia" w:hAnsiTheme="minorEastAsia"/>
          <w:color w:val="000000"/>
          <w:sz w:val="32"/>
          <w:szCs w:val="32"/>
        </w:rPr>
        <w:t>根据《湖南省财政厅关于开展2019年度部门整体支出绩效自评工作的通知》（湘财绩〔2020〕4号）精神，我单位对部门整体支出绩效开展了自评，绩效评价结果显示，我单位2019年度绩效目标完成较好，在预算配置、预算执行、预算管理等方面较好的支持了财政工作发展。财政管理水平进一步提升，收支结构进一步优化，运行管理进一步加强，管理基础进一步夯实。</w:t>
      </w:r>
    </w:p>
    <w:p>
      <w:pPr>
        <w:pStyle w:val="18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十、其他重要事项情况说明</w:t>
      </w:r>
    </w:p>
    <w:p>
      <w:pPr>
        <w:ind w:firstLine="480" w:firstLineChars="150"/>
        <w:rPr>
          <w:rFonts w:cs="黑体" w:asciiTheme="minorEastAsia" w:hAnsiTheme="minorEastAsia"/>
          <w:b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</w:rPr>
        <w:t>（一）机关运行经费支出情况</w:t>
      </w:r>
    </w:p>
    <w:p>
      <w:pPr>
        <w:ind w:firstLine="640" w:firstLineChars="200"/>
        <w:rPr>
          <w:rFonts w:cs="黑体"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本单位2019 年度机关运行经费支出13.83万元，比年初预算数增加9.63万。主要原因是年初预算公用经费少只有4.2万元。</w:t>
      </w:r>
    </w:p>
    <w:p>
      <w:pPr>
        <w:ind w:firstLine="640" w:firstLineChars="200"/>
        <w:rPr>
          <w:rFonts w:cs="黑体" w:asciiTheme="minorEastAsia" w:hAnsiTheme="minorEastAsia"/>
          <w:b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</w:rPr>
        <w:t>（二）一般性支出情况</w:t>
      </w:r>
    </w:p>
    <w:p>
      <w:pPr>
        <w:ind w:firstLine="640" w:firstLineChars="200"/>
        <w:rPr>
          <w:rFonts w:cs="黑体"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2019年本部门开支会议费0.15万元，用于召开新型职业农民培训会议，人数30人，内容为商量培训人员事项；举办工会活动，开支4.85万元，主要是在职员工七节一生活动，春节慰问退休人员。</w:t>
      </w:r>
    </w:p>
    <w:p>
      <w:pPr>
        <w:ind w:firstLine="480" w:firstLineChars="150"/>
        <w:rPr>
          <w:rFonts w:cs="黑体" w:asciiTheme="minorEastAsia" w:hAnsiTheme="minorEastAsia"/>
          <w:b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</w:rPr>
        <w:t>（三）政府采购支出情况</w:t>
      </w:r>
    </w:p>
    <w:p>
      <w:pPr>
        <w:ind w:firstLine="640" w:firstLineChars="200"/>
        <w:rPr>
          <w:rFonts w:cs="黑体" w:asciiTheme="minorEastAsia" w:hAnsiTheme="minorEastAsia"/>
          <w:i/>
          <w:color w:val="FF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政府采购支出的主要内容是业务活动中，必要的商品及服务采购支出。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本单位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2019年度无政府采购支出。</w:t>
      </w:r>
    </w:p>
    <w:p>
      <w:pPr>
        <w:ind w:firstLine="480" w:firstLineChars="150"/>
        <w:rPr>
          <w:rFonts w:cs="黑体" w:asciiTheme="minorEastAsia" w:hAnsiTheme="minorEastAsia"/>
          <w:b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</w:rPr>
        <w:t>（四）国有资产占用情况</w:t>
      </w:r>
    </w:p>
    <w:p>
      <w:pPr>
        <w:widowControl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截至2019年12月31日，本单位共有车辆0辆，其中：特种专业技术用车0辆。单位价值50万元以上通用设备0台（套）；单位价值100万元以上专用设备0台（套）。</w:t>
      </w:r>
      <w:bookmarkStart w:id="0" w:name="_GoBack"/>
      <w:bookmarkEnd w:id="0"/>
      <w:r>
        <w:rPr>
          <w:rFonts w:cs="黑体" w:asciiTheme="minorEastAsia" w:hAnsiTheme="minorEastAsia"/>
          <w:color w:val="000000"/>
          <w:kern w:val="0"/>
          <w:sz w:val="32"/>
          <w:szCs w:val="32"/>
        </w:rPr>
        <w:br w:type="page"/>
      </w:r>
    </w:p>
    <w:p>
      <w:pPr>
        <w:pStyle w:val="18"/>
        <w:ind w:firstLine="3240" w:firstLineChars="450"/>
        <w:rPr>
          <w:sz w:val="72"/>
          <w:szCs w:val="72"/>
        </w:rPr>
      </w:pPr>
      <w:r>
        <w:rPr>
          <w:rFonts w:hint="eastAsia"/>
          <w:sz w:val="72"/>
          <w:szCs w:val="72"/>
        </w:rPr>
        <w:t xml:space="preserve">第四部分 </w:t>
      </w:r>
    </w:p>
    <w:p>
      <w:pPr>
        <w:pStyle w:val="18"/>
        <w:ind w:firstLine="3150" w:firstLineChars="450"/>
        <w:rPr>
          <w:sz w:val="72"/>
          <w:szCs w:val="72"/>
        </w:rPr>
      </w:pPr>
      <w:r>
        <w:rPr>
          <w:rFonts w:hint="eastAsia"/>
          <w:sz w:val="70"/>
          <w:szCs w:val="70"/>
        </w:rPr>
        <w:t>名词解释</w:t>
      </w:r>
    </w:p>
    <w:p>
      <w:pPr>
        <w:widowControl/>
        <w:jc w:val="left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hint="eastAsia"/>
          <w:color w:val="333333"/>
          <w:sz w:val="28"/>
          <w:szCs w:val="28"/>
        </w:rPr>
        <w:t>一、财政拨款收入：指财政部门核拨给单位的财政预算资金。</w:t>
      </w:r>
    </w:p>
    <w:p>
      <w:pPr>
        <w:widowControl/>
        <w:jc w:val="left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hint="eastAsia"/>
          <w:color w:val="333333"/>
          <w:sz w:val="28"/>
          <w:szCs w:val="28"/>
        </w:rPr>
        <w:t xml:space="preserve">    二、  事业收入：指事业单位开展专业业务活动及辅助活动所取得的收入。 </w:t>
      </w:r>
    </w:p>
    <w:p>
      <w:pPr>
        <w:pStyle w:val="5"/>
        <w:shd w:val="clear" w:color="auto" w:fill="FFFFFF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  三、附属单位上缴收入：指事业单位附属独立核算单位按有关规定上缴的收入。 </w:t>
      </w:r>
    </w:p>
    <w:p>
      <w:pPr>
        <w:pStyle w:val="5"/>
        <w:shd w:val="clear" w:color="auto" w:fill="FFFFFF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  四、其他收入：指单位取得的除上述“财政拨款收入”、“事业收入”、“附属单位上缴收入”等以外的收入。 </w:t>
      </w:r>
    </w:p>
    <w:p>
      <w:pPr>
        <w:pStyle w:val="5"/>
        <w:shd w:val="clear" w:color="auto" w:fill="FFFFFF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  五、年初结转和结余：指以前年度尚未完成、结转到本年仍按有关规定继续使用的资金。 </w:t>
      </w:r>
    </w:p>
    <w:p>
      <w:pPr>
        <w:pStyle w:val="5"/>
        <w:shd w:val="clear" w:color="auto" w:fill="FFFFFF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  六、用事业基金弥补收支差额：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本年收支缺口的资金。 </w:t>
      </w:r>
    </w:p>
    <w:p>
      <w:pPr>
        <w:pStyle w:val="5"/>
        <w:shd w:val="clear" w:color="auto" w:fill="FFFFFF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  七、结余分配：指事业单位按规定提取的职工福利基金、事业基金和缴纳的所得税，以及建设单位按规定应交回的基本建设竣工项目结余资金。 </w:t>
      </w:r>
    </w:p>
    <w:p>
      <w:pPr>
        <w:pStyle w:val="5"/>
        <w:shd w:val="clear" w:color="auto" w:fill="FFFFFF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  八、年末结转和结余：指本年度或以前年度预算安排、因客观条件发生变化无法按原计划实施，需延迟到以后年度按有关规定继续使用的资金。 </w:t>
      </w:r>
    </w:p>
    <w:p>
      <w:pPr>
        <w:pStyle w:val="5"/>
        <w:shd w:val="clear" w:color="auto" w:fill="FFFFFF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  九、基本支出：指为保障机构正常运转、完成日常工作任务而发生的人员支出和公用支出。 </w:t>
      </w:r>
    </w:p>
    <w:p>
      <w:pPr>
        <w:pStyle w:val="5"/>
        <w:shd w:val="clear" w:color="auto" w:fill="FFFFFF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  十、项目支出：指在基本支出之外，为完成特定行政任务和事业发展目标所发生的支出。 </w:t>
      </w:r>
    </w:p>
    <w:p>
      <w:pPr>
        <w:pStyle w:val="5"/>
        <w:shd w:val="clear" w:color="auto" w:fill="FFFFFF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   十一、　“三公”经费：指省财政拨款安排的因公出国（境）费、公务用车购置及运行费和公务接待费。其中，因公出国（境）费反映单位公务出国（境）的国际旅费、国外城市间交通费、住宿费、伙食费、培训费、公杂费等支出；公务用车购置及运行费反映单位公务用车车辆购置支出（含车辆购置税）及租用费、燃料费、维修费、过路过桥费、保险费、安全奖励费用等支出；公务接待费反映单位按规定开支的各类公务接待（含外宾接待）支出。  </w:t>
      </w:r>
    </w:p>
    <w:p>
      <w:pPr>
        <w:widowControl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/>
          <w:color w:val="333333"/>
          <w:sz w:val="28"/>
          <w:szCs w:val="28"/>
        </w:rPr>
        <w:t xml:space="preserve">    十二、机关运行经费：指为保障行政单位（含参照公务员法管理的事业单位）运行用于购买货物和服务的各项资金，包括办公及印刷费、邮电费、差旅费、会议费、福利费、日常维修费、专用材料及一般设备购置费、办公用房水电费、办公用房取暖费、办公用房物业管理费、公务用车运行维护费以及其他费用。 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br w:type="page"/>
      </w:r>
    </w:p>
    <w:p>
      <w:pPr>
        <w:pStyle w:val="18"/>
        <w:ind w:firstLine="3600" w:firstLineChars="500"/>
        <w:rPr>
          <w:sz w:val="72"/>
          <w:szCs w:val="72"/>
        </w:rPr>
      </w:pPr>
      <w:r>
        <w:rPr>
          <w:rFonts w:hint="eastAsia"/>
          <w:sz w:val="72"/>
          <w:szCs w:val="72"/>
        </w:rPr>
        <w:t>第五部分</w:t>
      </w: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hint="eastAsia" w:ascii="黑体" w:eastAsia="黑体" w:cs="黑体"/>
          <w:color w:val="000000"/>
          <w:kern w:val="0"/>
          <w:sz w:val="70"/>
          <w:szCs w:val="70"/>
        </w:rPr>
        <w:t>附件</w:t>
      </w:r>
    </w:p>
    <w:p>
      <w:pPr>
        <w:widowControl/>
        <w:jc w:val="left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ascii="黑体" w:eastAsia="黑体" w:cs="黑体"/>
          <w:color w:val="000000"/>
          <w:kern w:val="0"/>
          <w:sz w:val="70"/>
          <w:szCs w:val="70"/>
        </w:rPr>
        <w:br w:type="page"/>
      </w: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>
      <w:pPr>
        <w:ind w:firstLine="640" w:firstLineChars="200"/>
        <w:jc w:val="center"/>
        <w:rPr>
          <w:rFonts w:ascii="仿宋" w:hAnsi="仿宋" w:eastAsia="仿宋" w:cs="Times New Roman"/>
          <w:bCs/>
          <w:color w:val="383838"/>
          <w:sz w:val="32"/>
          <w:shd w:val="clear" w:color="auto" w:fill="FFFFFF"/>
        </w:rPr>
      </w:pPr>
      <w:r>
        <w:rPr>
          <w:rFonts w:ascii="仿宋" w:hAnsi="仿宋" w:eastAsia="仿宋" w:cs="Times New Roman"/>
          <w:bCs/>
          <w:color w:val="383838"/>
          <w:sz w:val="32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宋体" w:hAnsi="宋体"/>
          <w:b/>
          <w:bCs/>
          <w:sz w:val="36"/>
          <w:szCs w:val="32"/>
        </w:rPr>
        <w:t>衡南县农民素质教育管理办公室</w:t>
      </w:r>
    </w:p>
    <w:p>
      <w:pPr>
        <w:spacing w:line="560" w:lineRule="exact"/>
        <w:jc w:val="center"/>
        <w:rPr>
          <w:rFonts w:ascii="宋体" w:hAnsi="宋体"/>
          <w:b/>
          <w:bCs/>
          <w:sz w:val="36"/>
          <w:szCs w:val="32"/>
        </w:rPr>
      </w:pPr>
      <w:r>
        <w:rPr>
          <w:rFonts w:hint="eastAsia" w:ascii="宋体" w:hAnsi="宋体"/>
          <w:b/>
          <w:bCs/>
          <w:sz w:val="36"/>
          <w:szCs w:val="32"/>
        </w:rPr>
        <w:t>2019年度整体支出绩效评价报告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为加强财政预算资金管理，进一步规范预算资金使用，提高财政资金使用效益，根据衡南县《关于填报2020年预算绩效目标的通知》要求，我单位积极组织，对2019年度本单位整体支出进行了绩效自评，现将具体绩效评价情况报告如下：</w:t>
      </w:r>
    </w:p>
    <w:p>
      <w:pPr>
        <w:spacing w:line="520" w:lineRule="exact"/>
        <w:ind w:firstLine="560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一、部门基本情况</w:t>
      </w:r>
    </w:p>
    <w:p>
      <w:pPr>
        <w:ind w:firstLine="840" w:firstLineChars="300"/>
        <w:rPr>
          <w:rFonts w:ascii="宋体" w:hAnsi="宋体" w:cs="黑体"/>
          <w:b/>
          <w:bCs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衡南县农民素质教育管理办公室</w:t>
      </w:r>
      <w:r>
        <w:rPr>
          <w:rFonts w:hint="eastAsia" w:ascii="宋体" w:hAnsi="宋体" w:cs="宋体"/>
          <w:sz w:val="28"/>
          <w:szCs w:val="28"/>
        </w:rPr>
        <w:t>为全额财政拨款单位，隶属衡南县农业农村局管理的二级机构，其财务独立核算，纳入财政集中核算和国库集中支付体系，</w:t>
      </w:r>
      <w:r>
        <w:rPr>
          <w:rFonts w:hint="eastAsia" w:ascii="宋体" w:hAnsi="宋体"/>
          <w:sz w:val="28"/>
          <w:szCs w:val="28"/>
        </w:rPr>
        <w:t>财务制度执行《事业单位会计制度》</w:t>
      </w:r>
    </w:p>
    <w:p>
      <w:pPr>
        <w:spacing w:line="520" w:lineRule="exact"/>
        <w:ind w:firstLine="280" w:firstLineChars="1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（一）机构设置情况</w:t>
      </w:r>
    </w:p>
    <w:p>
      <w:pPr>
        <w:snapToGrid w:val="0"/>
        <w:spacing w:line="480" w:lineRule="auto"/>
        <w:ind w:firstLine="840" w:firstLineChars="3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衡南县农民素质教育管理办公室</w:t>
      </w:r>
      <w:r>
        <w:rPr>
          <w:rFonts w:hint="eastAsia" w:ascii="宋体" w:hAnsi="宋体" w:cs="仿宋_GB2312"/>
          <w:sz w:val="28"/>
          <w:szCs w:val="28"/>
        </w:rPr>
        <w:t>内设股室3个：综合计划股、远程教育股、科技培训股。</w:t>
      </w:r>
    </w:p>
    <w:p>
      <w:pPr>
        <w:snapToGrid w:val="0"/>
        <w:spacing w:line="480" w:lineRule="auto"/>
        <w:ind w:firstLine="280" w:firstLineChars="1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（二）部门职责情况</w:t>
      </w:r>
    </w:p>
    <w:p>
      <w:pPr>
        <w:spacing w:line="520" w:lineRule="exact"/>
        <w:ind w:firstLine="42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１</w:t>
      </w:r>
      <w:r>
        <w:rPr>
          <w:rFonts w:ascii="宋体" w:hAnsi="宋体" w:cs="宋体"/>
          <w:kern w:val="0"/>
          <w:sz w:val="28"/>
          <w:szCs w:val="28"/>
        </w:rPr>
        <w:t>、贯彻执行党和国家及省委、省政府有关科教兴农工作的方针政策，拟定全县农民科技教育规划并组织实施。</w:t>
      </w:r>
    </w:p>
    <w:p>
      <w:pPr>
        <w:widowControl/>
        <w:spacing w:line="360" w:lineRule="auto"/>
        <w:ind w:left="420" w:leftChars="200" w:firstLine="5" w:firstLineChars="2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2、研究全县农民科技教育工作中的重大问题并及时总结经验，为县委、县政府有关科技决策提供依据。</w:t>
      </w:r>
    </w:p>
    <w:p>
      <w:pPr>
        <w:widowControl/>
        <w:spacing w:line="360" w:lineRule="auto"/>
        <w:ind w:left="315" w:leftChars="150" w:firstLine="140" w:firstLineChars="5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3、负责全县农业广播电视教育和农村远程成人职业教育工作。</w:t>
      </w:r>
    </w:p>
    <w:p>
      <w:pPr>
        <w:widowControl/>
        <w:spacing w:line="360" w:lineRule="auto"/>
        <w:ind w:left="315" w:leftChars="150" w:firstLine="140" w:firstLineChars="5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4、负责农民工培训、组织管理和农业技能监定工作。</w:t>
      </w:r>
    </w:p>
    <w:p>
      <w:pPr>
        <w:widowControl/>
        <w:spacing w:line="360" w:lineRule="auto"/>
        <w:ind w:left="315" w:leftChars="150" w:firstLine="140" w:firstLineChars="5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5、负责农村基层干部学历教育及中、短期培训工作。</w:t>
      </w:r>
    </w:p>
    <w:p>
      <w:pPr>
        <w:widowControl/>
        <w:spacing w:line="360" w:lineRule="auto"/>
        <w:ind w:left="315" w:leftChars="150" w:firstLine="140" w:firstLineChars="5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6、承担县农民教育工作领导小组办公室日常工作和</w:t>
      </w:r>
      <w:r>
        <w:rPr>
          <w:rFonts w:hint="eastAsia" w:ascii="宋体" w:hAnsi="宋体" w:cs="宋体"/>
          <w:kern w:val="0"/>
          <w:sz w:val="28"/>
          <w:szCs w:val="28"/>
        </w:rPr>
        <w:t>上级</w:t>
      </w:r>
      <w:r>
        <w:rPr>
          <w:rFonts w:ascii="宋体" w:hAnsi="宋体" w:cs="宋体"/>
          <w:kern w:val="0"/>
          <w:sz w:val="28"/>
          <w:szCs w:val="28"/>
        </w:rPr>
        <w:t>交办的其他事项。</w:t>
      </w:r>
    </w:p>
    <w:p>
      <w:pPr>
        <w:spacing w:line="520" w:lineRule="exact"/>
        <w:ind w:firstLine="420" w:firstLineChars="15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（三）人员编制情况</w:t>
      </w:r>
    </w:p>
    <w:p>
      <w:pPr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2019年我办共有干部职工21人，其中：在职15人，退休6人。在职人员编制情况：全额事业15人。</w:t>
      </w:r>
    </w:p>
    <w:p>
      <w:pPr>
        <w:spacing w:line="520" w:lineRule="exact"/>
        <w:ind w:firstLine="560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二、部门整体支出管理及使用情况</w:t>
      </w:r>
    </w:p>
    <w:p>
      <w:pPr>
        <w:spacing w:line="52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（一）部门预算收支情况</w:t>
      </w:r>
    </w:p>
    <w:p>
      <w:pPr>
        <w:spacing w:line="52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我单位2019年各项支出预算经费包干数为144.76万元，其中工资福利支出120.25万元，一般商品服务支出4.2万元，对个人和家庭补助5.31万元，专项经费15万元。经财政调整预算，2019年部门收入决算数为146.61万元。</w:t>
      </w:r>
    </w:p>
    <w:p>
      <w:pPr>
        <w:spacing w:line="52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（二）支出分类情况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２01９年财政拨款支出为146.61万元。主要为基本支出，系保障我单位机构正常运转、完成日常工作任务而发生的各项支出,包括用于在职人员基本工资、津贴补贴等人员经费以及办公费、印刷费、水电费、办公设备购置等日常公用经费。</w:t>
      </w:r>
    </w:p>
    <w:p>
      <w:pPr>
        <w:spacing w:line="52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（三）“三公”经费情况</w:t>
      </w:r>
    </w:p>
    <w:p>
      <w:pPr>
        <w:spacing w:line="520" w:lineRule="exact"/>
        <w:ind w:firstLine="700" w:firstLineChars="25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2019年我单位“三公”经费总计数为1.8万元，其中因公出国（境）费为0元，公务用车购置及运行维护费为0万元，公务接待费为1.8万元。</w:t>
      </w:r>
      <w:r>
        <w:rPr>
          <w:rFonts w:hint="eastAsia" w:ascii="宋体" w:hAnsi="宋体"/>
          <w:sz w:val="28"/>
          <w:szCs w:val="28"/>
        </w:rPr>
        <w:t>我办“三公”经费严格落实中央“三公经费只减不增”的要求，坚持厉行节约，反对铺张浪费，努力降低运行成本。</w:t>
      </w:r>
    </w:p>
    <w:p>
      <w:pPr>
        <w:spacing w:line="520" w:lineRule="exact"/>
        <w:ind w:firstLine="560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三、部门整体支出绩效评价情况</w:t>
      </w:r>
    </w:p>
    <w:p>
      <w:pPr>
        <w:spacing w:line="520" w:lineRule="exact"/>
        <w:ind w:firstLine="700" w:firstLineChars="25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2019年我办围绕县委、县政府中心工作，积极履职，强化管理，较好的完成了年度工作目标。通过加强预算收支的管理，不断建立健全内部管理制度，理顺内部管理流程，部门整体支出管理情况得到了提升。</w:t>
      </w:r>
    </w:p>
    <w:p>
      <w:pPr>
        <w:spacing w:line="520" w:lineRule="exact"/>
        <w:ind w:firstLine="560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四、存在的问题</w:t>
      </w:r>
    </w:p>
    <w:p>
      <w:pPr>
        <w:spacing w:line="520" w:lineRule="exact"/>
        <w:ind w:firstLine="700" w:firstLineChars="25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我办人员经费和日常公用经费大幅增加，财政预算不足，更不能全额保障，主要体现为：绩效奖金、住房公积金、办公费等财政预算严重不足。</w:t>
      </w:r>
    </w:p>
    <w:p>
      <w:pPr>
        <w:spacing w:line="520" w:lineRule="exact"/>
        <w:ind w:firstLine="560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五、改进措施和建议</w:t>
      </w:r>
    </w:p>
    <w:p>
      <w:pPr>
        <w:spacing w:line="52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（一）细化预算编制工作，认真做好预算的编制。本着“勤俭节约、保障运转”的原则进行预算的编制。</w:t>
      </w:r>
    </w:p>
    <w:p>
      <w:pPr>
        <w:spacing w:line="52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（二）加强财务管理，严格财务审核，提高财务的精细化管理。</w:t>
      </w:r>
    </w:p>
    <w:p>
      <w:pPr>
        <w:spacing w:line="52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</w:p>
    <w:p>
      <w:pPr>
        <w:spacing w:line="520" w:lineRule="exact"/>
        <w:ind w:right="480" w:firstLine="560" w:firstLineChars="200"/>
        <w:rPr>
          <w:rFonts w:ascii="宋体" w:hAnsi="宋体"/>
          <w:sz w:val="28"/>
          <w:szCs w:val="28"/>
        </w:rPr>
      </w:pPr>
    </w:p>
    <w:p>
      <w:pPr>
        <w:wordWrap w:val="0"/>
        <w:spacing w:line="520" w:lineRule="exact"/>
        <w:ind w:right="89" w:firstLine="560" w:firstLineChars="200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衡南县农民素质教育管理办公室</w:t>
      </w:r>
    </w:p>
    <w:p>
      <w:pPr>
        <w:spacing w:line="520" w:lineRule="exact"/>
        <w:ind w:right="1069" w:firstLine="560" w:firstLineChars="200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2020年</w:t>
      </w:r>
      <w:r>
        <w:rPr>
          <w:rFonts w:ascii="宋体" w:hAnsi="宋体"/>
          <w:sz w:val="28"/>
          <w:szCs w:val="28"/>
        </w:rPr>
        <w:t>6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21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ind w:firstLine="640" w:firstLineChars="200"/>
        <w:jc w:val="center"/>
        <w:rPr>
          <w:rFonts w:cs="黑体" w:asciiTheme="minorEastAsia" w:hAnsiTheme="minorEastAsia"/>
          <w:b/>
          <w:color w:val="000000"/>
          <w:kern w:val="0"/>
          <w:sz w:val="32"/>
          <w:szCs w:val="32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55261"/>
    <w:multiLevelType w:val="multilevel"/>
    <w:tmpl w:val="73A55261"/>
    <w:lvl w:ilvl="0" w:tentative="0">
      <w:start w:val="1"/>
      <w:numFmt w:val="japaneseCounting"/>
      <w:lvlText w:val="%1、"/>
      <w:lvlJc w:val="left"/>
      <w:pPr>
        <w:ind w:left="14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20" w:hanging="420"/>
      </w:pPr>
    </w:lvl>
    <w:lvl w:ilvl="2" w:tentative="0">
      <w:start w:val="1"/>
      <w:numFmt w:val="lowerRoman"/>
      <w:lvlText w:val="%3."/>
      <w:lvlJc w:val="right"/>
      <w:pPr>
        <w:ind w:left="1940" w:hanging="420"/>
      </w:pPr>
    </w:lvl>
    <w:lvl w:ilvl="3" w:tentative="0">
      <w:start w:val="1"/>
      <w:numFmt w:val="decimal"/>
      <w:lvlText w:val="%4."/>
      <w:lvlJc w:val="left"/>
      <w:pPr>
        <w:ind w:left="2360" w:hanging="420"/>
      </w:pPr>
    </w:lvl>
    <w:lvl w:ilvl="4" w:tentative="0">
      <w:start w:val="1"/>
      <w:numFmt w:val="lowerLetter"/>
      <w:lvlText w:val="%5)"/>
      <w:lvlJc w:val="left"/>
      <w:pPr>
        <w:ind w:left="2780" w:hanging="420"/>
      </w:pPr>
    </w:lvl>
    <w:lvl w:ilvl="5" w:tentative="0">
      <w:start w:val="1"/>
      <w:numFmt w:val="lowerRoman"/>
      <w:lvlText w:val="%6."/>
      <w:lvlJc w:val="right"/>
      <w:pPr>
        <w:ind w:left="3200" w:hanging="420"/>
      </w:pPr>
    </w:lvl>
    <w:lvl w:ilvl="6" w:tentative="0">
      <w:start w:val="1"/>
      <w:numFmt w:val="decimal"/>
      <w:lvlText w:val="%7."/>
      <w:lvlJc w:val="left"/>
      <w:pPr>
        <w:ind w:left="3620" w:hanging="420"/>
      </w:pPr>
    </w:lvl>
    <w:lvl w:ilvl="7" w:tentative="0">
      <w:start w:val="1"/>
      <w:numFmt w:val="lowerLetter"/>
      <w:lvlText w:val="%8)"/>
      <w:lvlJc w:val="left"/>
      <w:pPr>
        <w:ind w:left="4040" w:hanging="420"/>
      </w:pPr>
    </w:lvl>
    <w:lvl w:ilvl="8" w:tentative="0">
      <w:start w:val="1"/>
      <w:numFmt w:val="lowerRoman"/>
      <w:lvlText w:val="%9."/>
      <w:lvlJc w:val="right"/>
      <w:pPr>
        <w:ind w:left="4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506F9"/>
    <w:rsid w:val="0002229B"/>
    <w:rsid w:val="000273BD"/>
    <w:rsid w:val="000415B7"/>
    <w:rsid w:val="000658A3"/>
    <w:rsid w:val="00074155"/>
    <w:rsid w:val="000A3F69"/>
    <w:rsid w:val="00152C6D"/>
    <w:rsid w:val="00162D39"/>
    <w:rsid w:val="001A67DB"/>
    <w:rsid w:val="001B4A4F"/>
    <w:rsid w:val="001D2E63"/>
    <w:rsid w:val="001D51E5"/>
    <w:rsid w:val="001F0C3B"/>
    <w:rsid w:val="0020019A"/>
    <w:rsid w:val="00214427"/>
    <w:rsid w:val="00217126"/>
    <w:rsid w:val="00265724"/>
    <w:rsid w:val="002712B1"/>
    <w:rsid w:val="0027426B"/>
    <w:rsid w:val="00291D86"/>
    <w:rsid w:val="003479BD"/>
    <w:rsid w:val="003768D5"/>
    <w:rsid w:val="0038335E"/>
    <w:rsid w:val="00444699"/>
    <w:rsid w:val="00447B28"/>
    <w:rsid w:val="004506F9"/>
    <w:rsid w:val="004717A2"/>
    <w:rsid w:val="00491741"/>
    <w:rsid w:val="00500E5F"/>
    <w:rsid w:val="005122EF"/>
    <w:rsid w:val="00517C33"/>
    <w:rsid w:val="00523644"/>
    <w:rsid w:val="0054069E"/>
    <w:rsid w:val="005767CC"/>
    <w:rsid w:val="005859B7"/>
    <w:rsid w:val="00590D9F"/>
    <w:rsid w:val="00595D26"/>
    <w:rsid w:val="005A0C66"/>
    <w:rsid w:val="005A74E6"/>
    <w:rsid w:val="005B25A7"/>
    <w:rsid w:val="005D4D55"/>
    <w:rsid w:val="005E2147"/>
    <w:rsid w:val="005E2CFB"/>
    <w:rsid w:val="0062378F"/>
    <w:rsid w:val="00651EEC"/>
    <w:rsid w:val="00657DF9"/>
    <w:rsid w:val="00695169"/>
    <w:rsid w:val="006A351B"/>
    <w:rsid w:val="006B0422"/>
    <w:rsid w:val="006C1B53"/>
    <w:rsid w:val="006D7730"/>
    <w:rsid w:val="006E5284"/>
    <w:rsid w:val="006F3EB5"/>
    <w:rsid w:val="00702E34"/>
    <w:rsid w:val="00704395"/>
    <w:rsid w:val="00720FF1"/>
    <w:rsid w:val="00812ED5"/>
    <w:rsid w:val="008277D9"/>
    <w:rsid w:val="0089341F"/>
    <w:rsid w:val="008A3E8D"/>
    <w:rsid w:val="008B2D7D"/>
    <w:rsid w:val="009237C4"/>
    <w:rsid w:val="00950252"/>
    <w:rsid w:val="00967F5D"/>
    <w:rsid w:val="009754B3"/>
    <w:rsid w:val="009959C9"/>
    <w:rsid w:val="009A0F95"/>
    <w:rsid w:val="009A5C4E"/>
    <w:rsid w:val="009B3ADF"/>
    <w:rsid w:val="009C0D08"/>
    <w:rsid w:val="009C3B52"/>
    <w:rsid w:val="009E335B"/>
    <w:rsid w:val="00A14379"/>
    <w:rsid w:val="00A42218"/>
    <w:rsid w:val="00A505CC"/>
    <w:rsid w:val="00A556F6"/>
    <w:rsid w:val="00A70249"/>
    <w:rsid w:val="00AE6E94"/>
    <w:rsid w:val="00B03A12"/>
    <w:rsid w:val="00B33BEA"/>
    <w:rsid w:val="00B57C9F"/>
    <w:rsid w:val="00B845B3"/>
    <w:rsid w:val="00B85D8B"/>
    <w:rsid w:val="00BA7D85"/>
    <w:rsid w:val="00BE3674"/>
    <w:rsid w:val="00C006BA"/>
    <w:rsid w:val="00C10626"/>
    <w:rsid w:val="00C3049A"/>
    <w:rsid w:val="00C31B1E"/>
    <w:rsid w:val="00C7235F"/>
    <w:rsid w:val="00C77645"/>
    <w:rsid w:val="00CE04C3"/>
    <w:rsid w:val="00CE76A0"/>
    <w:rsid w:val="00D148C6"/>
    <w:rsid w:val="00D5342D"/>
    <w:rsid w:val="00D6722D"/>
    <w:rsid w:val="00DB30A9"/>
    <w:rsid w:val="00DD06FF"/>
    <w:rsid w:val="00DD5FE9"/>
    <w:rsid w:val="00E00C7A"/>
    <w:rsid w:val="00E55B68"/>
    <w:rsid w:val="00E7574D"/>
    <w:rsid w:val="00E82DB2"/>
    <w:rsid w:val="00EB1E08"/>
    <w:rsid w:val="00F53ADF"/>
    <w:rsid w:val="00F74360"/>
    <w:rsid w:val="00F9152D"/>
    <w:rsid w:val="00FB462F"/>
    <w:rsid w:val="00FE16FA"/>
    <w:rsid w:val="00FE23A3"/>
    <w:rsid w:val="00FE328A"/>
    <w:rsid w:val="0A733E75"/>
    <w:rsid w:val="0C354529"/>
    <w:rsid w:val="0E5A7FAA"/>
    <w:rsid w:val="10815D80"/>
    <w:rsid w:val="123E443D"/>
    <w:rsid w:val="13B456AF"/>
    <w:rsid w:val="18B157AB"/>
    <w:rsid w:val="19D86CC3"/>
    <w:rsid w:val="1A7E033A"/>
    <w:rsid w:val="1C611502"/>
    <w:rsid w:val="20757D20"/>
    <w:rsid w:val="275B052A"/>
    <w:rsid w:val="2A2C24F5"/>
    <w:rsid w:val="31044EBB"/>
    <w:rsid w:val="32EA3499"/>
    <w:rsid w:val="34710DF0"/>
    <w:rsid w:val="39BC4DA7"/>
    <w:rsid w:val="3CB4474E"/>
    <w:rsid w:val="3F7600FB"/>
    <w:rsid w:val="3FC2530F"/>
    <w:rsid w:val="4B8B38D3"/>
    <w:rsid w:val="4DC254AC"/>
    <w:rsid w:val="4DC735FA"/>
    <w:rsid w:val="51BF628C"/>
    <w:rsid w:val="57254895"/>
    <w:rsid w:val="58D043B6"/>
    <w:rsid w:val="5CE94BC6"/>
    <w:rsid w:val="6D8C1A5F"/>
    <w:rsid w:val="6FD368A6"/>
    <w:rsid w:val="73095836"/>
    <w:rsid w:val="7F4B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semiHidden/>
    <w:unhideWhenUsed/>
    <w:uiPriority w:val="99"/>
    <w:rPr>
      <w:color w:val="4A4A4A"/>
      <w:u w:val="none"/>
    </w:rPr>
  </w:style>
  <w:style w:type="character" w:styleId="8">
    <w:name w:val="Emphasis"/>
    <w:basedOn w:val="6"/>
    <w:qFormat/>
    <w:uiPriority w:val="20"/>
  </w:style>
  <w:style w:type="character" w:styleId="9">
    <w:name w:val="HTML Definition"/>
    <w:basedOn w:val="6"/>
    <w:semiHidden/>
    <w:unhideWhenUsed/>
    <w:uiPriority w:val="99"/>
  </w:style>
  <w:style w:type="character" w:styleId="10">
    <w:name w:val="HTML Acronym"/>
    <w:basedOn w:val="6"/>
    <w:semiHidden/>
    <w:unhideWhenUsed/>
    <w:uiPriority w:val="99"/>
  </w:style>
  <w:style w:type="character" w:styleId="11">
    <w:name w:val="HTML Variable"/>
    <w:basedOn w:val="6"/>
    <w:semiHidden/>
    <w:unhideWhenUsed/>
    <w:qFormat/>
    <w:uiPriority w:val="99"/>
  </w:style>
  <w:style w:type="character" w:styleId="12">
    <w:name w:val="Hyperlink"/>
    <w:basedOn w:val="6"/>
    <w:semiHidden/>
    <w:unhideWhenUsed/>
    <w:uiPriority w:val="99"/>
    <w:rPr>
      <w:color w:val="4A4A4A"/>
      <w:u w:val="none"/>
    </w:rPr>
  </w:style>
  <w:style w:type="character" w:styleId="13">
    <w:name w:val="HTML Code"/>
    <w:basedOn w:val="6"/>
    <w:semiHidden/>
    <w:unhideWhenUsed/>
    <w:qFormat/>
    <w:uiPriority w:val="99"/>
    <w:rPr>
      <w:rFonts w:ascii="Courier New" w:hAnsi="Courier New"/>
      <w:sz w:val="20"/>
    </w:rPr>
  </w:style>
  <w:style w:type="character" w:styleId="14">
    <w:name w:val="HTML Cite"/>
    <w:basedOn w:val="6"/>
    <w:semiHidden/>
    <w:unhideWhenUsed/>
    <w:qFormat/>
    <w:uiPriority w:val="99"/>
  </w:style>
  <w:style w:type="character" w:customStyle="1" w:styleId="16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7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21">
    <w:name w:val="hover23"/>
    <w:basedOn w:val="6"/>
    <w:qFormat/>
    <w:uiPriority w:val="0"/>
    <w:rPr>
      <w:color w:val="1258AD"/>
      <w:u w:val="none"/>
      <w:bdr w:val="single" w:color="1258AD" w:sz="6" w:space="0"/>
    </w:rPr>
  </w:style>
  <w:style w:type="character" w:customStyle="1" w:styleId="22">
    <w:name w:val="layui-this"/>
    <w:basedOn w:val="6"/>
    <w:qFormat/>
    <w:uiPriority w:val="0"/>
    <w:rPr>
      <w:bdr w:val="single" w:color="EEEEEE" w:sz="6" w:space="0"/>
      <w:shd w:val="clear" w:color="auto" w:fill="FFFFFF"/>
    </w:rPr>
  </w:style>
  <w:style w:type="character" w:customStyle="1" w:styleId="23">
    <w:name w:val="first-child"/>
    <w:basedOn w:val="6"/>
    <w:qFormat/>
    <w:uiPriority w:val="0"/>
  </w:style>
  <w:style w:type="character" w:customStyle="1" w:styleId="24">
    <w:name w:val="hover20"/>
    <w:basedOn w:val="6"/>
    <w:qFormat/>
    <w:uiPriority w:val="0"/>
    <w:rPr>
      <w:color w:val="1258AD"/>
      <w:u w:val="none"/>
      <w:bdr w:val="single" w:color="1258AD" w:sz="6" w:space="0"/>
    </w:rPr>
  </w:style>
  <w:style w:type="character" w:customStyle="1" w:styleId="25">
    <w:name w:val="hover"/>
    <w:basedOn w:val="6"/>
    <w:qFormat/>
    <w:uiPriority w:val="0"/>
    <w:rPr>
      <w:color w:val="1258AD"/>
      <w:u w:val="none"/>
      <w:bdr w:val="single" w:color="1258AD" w:sz="6" w:space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A520F9-59FF-42FC-882A-613C684C34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865</Words>
  <Characters>4936</Characters>
  <Lines>41</Lines>
  <Paragraphs>11</Paragraphs>
  <TotalTime>428</TotalTime>
  <ScaleCrop>false</ScaleCrop>
  <LinksUpToDate>false</LinksUpToDate>
  <CharactersWithSpaces>5790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2020-07-02T02:32:00Z</dcterms:created>
  <dc:creator>李航 null</dc:creator>
  <cp:lastModifiedBy>xiemi</cp:lastModifiedBy>
  <cp:lastPrinted>2020-09-27T09:57:00Z</cp:lastPrinted>
  <dcterms:modified xsi:type="dcterms:W3CDTF">2021-06-23T14:04:30Z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