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jc w:val="center"/>
        <w:rPr>
          <w:sz w:val="56"/>
          <w:szCs w:val="56"/>
        </w:rPr>
      </w:pPr>
    </w:p>
    <w:p>
      <w:pPr>
        <w:pStyle w:val="5"/>
        <w:jc w:val="center"/>
        <w:rPr>
          <w:sz w:val="56"/>
          <w:szCs w:val="56"/>
        </w:rPr>
      </w:pPr>
    </w:p>
    <w:p>
      <w:pPr>
        <w:pStyle w:val="5"/>
        <w:jc w:val="center"/>
        <w:rPr>
          <w:sz w:val="84"/>
          <w:szCs w:val="84"/>
        </w:rPr>
      </w:pPr>
    </w:p>
    <w:p>
      <w:pPr>
        <w:pStyle w:val="5"/>
        <w:jc w:val="center"/>
        <w:rPr>
          <w:color w:val="000000" w:themeColor="text1"/>
          <w:sz w:val="84"/>
          <w:szCs w:val="84"/>
        </w:rPr>
      </w:pPr>
    </w:p>
    <w:p>
      <w:pPr>
        <w:pStyle w:val="5"/>
        <w:jc w:val="center"/>
        <w:rPr>
          <w:color w:val="000000" w:themeColor="text1"/>
          <w:sz w:val="84"/>
          <w:szCs w:val="84"/>
        </w:rPr>
      </w:pPr>
      <w:r>
        <w:rPr>
          <w:rFonts w:hint="eastAsia"/>
          <w:color w:val="000000" w:themeColor="text1"/>
          <w:sz w:val="84"/>
          <w:szCs w:val="84"/>
        </w:rPr>
        <w:t>2019年度</w:t>
      </w:r>
    </w:p>
    <w:p>
      <w:pPr>
        <w:pStyle w:val="5"/>
        <w:jc w:val="center"/>
        <w:rPr>
          <w:color w:val="000000" w:themeColor="text1"/>
          <w:sz w:val="84"/>
          <w:szCs w:val="84"/>
        </w:rPr>
      </w:pPr>
      <w:r>
        <w:rPr>
          <w:rFonts w:hint="eastAsia"/>
          <w:color w:val="000000" w:themeColor="text1"/>
          <w:sz w:val="84"/>
          <w:szCs w:val="84"/>
        </w:rPr>
        <w:t>中国共产党衡南县委员会党校部门决算</w:t>
      </w:r>
    </w:p>
    <w:p>
      <w:pPr>
        <w:pStyle w:val="5"/>
        <w:jc w:val="center"/>
        <w:rPr>
          <w:color w:val="000000" w:themeColor="text1"/>
          <w:sz w:val="56"/>
          <w:szCs w:val="56"/>
        </w:rPr>
      </w:pPr>
    </w:p>
    <w:p>
      <w:pPr>
        <w:pStyle w:val="5"/>
        <w:jc w:val="center"/>
        <w:rPr>
          <w:color w:val="000000" w:themeColor="text1"/>
          <w:sz w:val="56"/>
          <w:szCs w:val="56"/>
        </w:rPr>
      </w:pPr>
    </w:p>
    <w:p>
      <w:pPr>
        <w:pStyle w:val="5"/>
        <w:jc w:val="center"/>
        <w:rPr>
          <w:color w:val="000000" w:themeColor="text1"/>
          <w:sz w:val="56"/>
          <w:szCs w:val="56"/>
        </w:rPr>
      </w:pPr>
    </w:p>
    <w:p>
      <w:pPr>
        <w:pStyle w:val="5"/>
        <w:jc w:val="center"/>
        <w:rPr>
          <w:color w:val="000000" w:themeColor="text1"/>
          <w:sz w:val="56"/>
          <w:szCs w:val="56"/>
        </w:rPr>
      </w:pPr>
    </w:p>
    <w:p>
      <w:pPr>
        <w:pStyle w:val="5"/>
        <w:jc w:val="center"/>
        <w:rPr>
          <w:color w:val="000000" w:themeColor="text1"/>
          <w:sz w:val="56"/>
          <w:szCs w:val="56"/>
        </w:rPr>
      </w:pPr>
    </w:p>
    <w:p>
      <w:pPr>
        <w:pStyle w:val="5"/>
        <w:jc w:val="center"/>
        <w:rPr>
          <w:color w:val="000000" w:themeColor="text1"/>
          <w:sz w:val="56"/>
          <w:szCs w:val="56"/>
        </w:rPr>
      </w:pPr>
    </w:p>
    <w:p>
      <w:pPr>
        <w:pStyle w:val="5"/>
        <w:spacing w:line="520" w:lineRule="exact"/>
        <w:jc w:val="center"/>
        <w:rPr>
          <w:color w:val="000000" w:themeColor="text1"/>
          <w:sz w:val="56"/>
          <w:szCs w:val="56"/>
        </w:rPr>
      </w:pPr>
      <w:r>
        <w:rPr>
          <w:rFonts w:hint="eastAsia"/>
          <w:color w:val="000000" w:themeColor="text1"/>
          <w:sz w:val="56"/>
          <w:szCs w:val="56"/>
        </w:rPr>
        <w:t>目录</w:t>
      </w:r>
    </w:p>
    <w:p>
      <w:pPr>
        <w:pStyle w:val="5"/>
        <w:spacing w:line="520" w:lineRule="exact"/>
        <w:rPr>
          <w:rFonts w:ascii="仿宋_GB2312" w:hAnsi="仿宋_GB2312" w:cs="仿宋_GB2312"/>
          <w:b/>
          <w:color w:val="000000" w:themeColor="text1"/>
          <w:sz w:val="28"/>
          <w:szCs w:val="28"/>
        </w:rPr>
      </w:pPr>
      <w:r>
        <w:rPr>
          <w:rFonts w:hint="eastAsia"/>
          <w:b/>
          <w:color w:val="000000" w:themeColor="text1"/>
          <w:sz w:val="28"/>
          <w:szCs w:val="28"/>
        </w:rPr>
        <w:t>第一部分单位概况</w:t>
      </w:r>
    </w:p>
    <w:p>
      <w:pPr>
        <w:pStyle w:val="5"/>
        <w:spacing w:line="520" w:lineRule="exact"/>
        <w:ind w:firstLine="700" w:firstLineChars="250"/>
        <w:rPr>
          <w:rFonts w:ascii="宋体" w:hAnsi="宋体" w:eastAsia="宋体" w:cs="仿宋_GB2312"/>
          <w:color w:val="000000" w:themeColor="text1"/>
          <w:sz w:val="28"/>
          <w:szCs w:val="28"/>
        </w:rPr>
      </w:pPr>
      <w:r>
        <w:rPr>
          <w:rFonts w:ascii="宋体" w:hAnsi="宋体" w:eastAsia="宋体" w:cs="仿宋_GB2312"/>
          <w:color w:val="000000" w:themeColor="text1"/>
          <w:sz w:val="28"/>
          <w:szCs w:val="28"/>
        </w:rPr>
        <w:t>一、部门职责</w:t>
      </w:r>
    </w:p>
    <w:p>
      <w:pPr>
        <w:pStyle w:val="5"/>
        <w:spacing w:line="520" w:lineRule="exact"/>
        <w:ind w:firstLine="700" w:firstLineChars="250"/>
        <w:rPr>
          <w:rFonts w:ascii="宋体" w:hAnsi="宋体" w:eastAsia="宋体" w:cs="仿宋_GB2312"/>
          <w:color w:val="000000" w:themeColor="text1"/>
          <w:sz w:val="28"/>
          <w:szCs w:val="28"/>
        </w:rPr>
      </w:pPr>
      <w:r>
        <w:rPr>
          <w:rFonts w:ascii="宋体" w:hAnsi="宋体" w:eastAsia="宋体" w:cs="仿宋_GB2312"/>
          <w:color w:val="000000" w:themeColor="text1"/>
          <w:sz w:val="28"/>
          <w:szCs w:val="28"/>
        </w:rPr>
        <w:t>二、机构设置</w:t>
      </w:r>
    </w:p>
    <w:p>
      <w:pPr>
        <w:pStyle w:val="5"/>
        <w:spacing w:line="520" w:lineRule="exact"/>
        <w:ind w:firstLine="700" w:firstLineChars="250"/>
        <w:rPr>
          <w:rFonts w:ascii="宋体" w:hAnsi="宋体" w:eastAsia="宋体" w:cs="仿宋_GB2312"/>
          <w:color w:val="000000" w:themeColor="text1"/>
          <w:sz w:val="28"/>
          <w:szCs w:val="28"/>
        </w:rPr>
      </w:pPr>
    </w:p>
    <w:p>
      <w:pPr>
        <w:pStyle w:val="5"/>
        <w:spacing w:line="520" w:lineRule="exact"/>
        <w:rPr>
          <w:rFonts w:ascii="仿宋_GB2312" w:hAnsi="仿宋_GB2312" w:cs="仿宋_GB2312"/>
          <w:b/>
          <w:color w:val="000000" w:themeColor="text1"/>
          <w:sz w:val="28"/>
          <w:szCs w:val="28"/>
        </w:rPr>
      </w:pPr>
      <w:r>
        <w:rPr>
          <w:rFonts w:hint="eastAsia" w:hAnsi="仿宋_GB2312"/>
          <w:b/>
          <w:color w:val="000000" w:themeColor="text1"/>
          <w:sz w:val="28"/>
          <w:szCs w:val="28"/>
        </w:rPr>
        <w:t>第二部分</w:t>
      </w:r>
      <w:r>
        <w:rPr>
          <w:rFonts w:hAnsi="仿宋_GB2312"/>
          <w:b/>
          <w:color w:val="000000" w:themeColor="text1"/>
          <w:sz w:val="28"/>
          <w:szCs w:val="28"/>
        </w:rPr>
        <w:t>2019</w:t>
      </w:r>
      <w:r>
        <w:rPr>
          <w:rFonts w:hint="eastAsia" w:hAnsi="仿宋_GB2312"/>
          <w:b/>
          <w:color w:val="000000" w:themeColor="text1"/>
          <w:sz w:val="28"/>
          <w:szCs w:val="28"/>
        </w:rPr>
        <w:t>年度部门决算表</w:t>
      </w:r>
    </w:p>
    <w:p>
      <w:pPr>
        <w:pStyle w:val="5"/>
        <w:spacing w:line="520" w:lineRule="exact"/>
        <w:ind w:firstLine="700" w:firstLineChars="250"/>
        <w:rPr>
          <w:rFonts w:ascii="宋体" w:hAnsi="宋体" w:eastAsia="宋体" w:cs="仿宋_GB2312"/>
          <w:color w:val="000000" w:themeColor="text1"/>
          <w:sz w:val="28"/>
          <w:szCs w:val="28"/>
        </w:rPr>
      </w:pPr>
      <w:r>
        <w:rPr>
          <w:rFonts w:ascii="宋体" w:hAnsi="宋体" w:eastAsia="宋体" w:cs="仿宋_GB2312"/>
          <w:color w:val="000000" w:themeColor="text1"/>
          <w:sz w:val="28"/>
          <w:szCs w:val="28"/>
        </w:rPr>
        <w:t>一、收入支出决算总表</w:t>
      </w:r>
    </w:p>
    <w:p>
      <w:pPr>
        <w:pStyle w:val="5"/>
        <w:spacing w:line="520" w:lineRule="exact"/>
        <w:ind w:firstLine="700" w:firstLineChars="250"/>
        <w:rPr>
          <w:rFonts w:ascii="宋体" w:hAnsi="宋体" w:eastAsia="宋体" w:cs="仿宋_GB2312"/>
          <w:color w:val="000000" w:themeColor="text1"/>
          <w:sz w:val="28"/>
          <w:szCs w:val="28"/>
        </w:rPr>
      </w:pPr>
      <w:r>
        <w:rPr>
          <w:rFonts w:ascii="宋体" w:hAnsi="宋体" w:eastAsia="宋体" w:cs="仿宋_GB2312"/>
          <w:color w:val="000000" w:themeColor="text1"/>
          <w:sz w:val="28"/>
          <w:szCs w:val="28"/>
        </w:rPr>
        <w:t>二、收入决算表</w:t>
      </w:r>
    </w:p>
    <w:p>
      <w:pPr>
        <w:pStyle w:val="5"/>
        <w:spacing w:line="520" w:lineRule="exact"/>
        <w:ind w:firstLine="700" w:firstLineChars="250"/>
        <w:rPr>
          <w:rFonts w:ascii="宋体" w:hAnsi="宋体" w:eastAsia="宋体" w:cs="仿宋_GB2312"/>
          <w:color w:val="000000" w:themeColor="text1"/>
          <w:sz w:val="28"/>
          <w:szCs w:val="28"/>
        </w:rPr>
      </w:pPr>
      <w:r>
        <w:rPr>
          <w:rFonts w:ascii="宋体" w:hAnsi="宋体" w:eastAsia="宋体" w:cs="仿宋_GB2312"/>
          <w:color w:val="000000" w:themeColor="text1"/>
          <w:sz w:val="28"/>
          <w:szCs w:val="28"/>
        </w:rPr>
        <w:t>三、支出决算表</w:t>
      </w:r>
    </w:p>
    <w:p>
      <w:pPr>
        <w:pStyle w:val="5"/>
        <w:spacing w:line="520" w:lineRule="exact"/>
        <w:ind w:firstLine="700" w:firstLineChars="250"/>
        <w:rPr>
          <w:rFonts w:ascii="宋体" w:hAnsi="宋体" w:eastAsia="宋体" w:cs="仿宋_GB2312"/>
          <w:color w:val="000000" w:themeColor="text1"/>
          <w:sz w:val="28"/>
          <w:szCs w:val="28"/>
        </w:rPr>
      </w:pPr>
      <w:r>
        <w:rPr>
          <w:rFonts w:ascii="宋体" w:hAnsi="宋体" w:eastAsia="宋体" w:cs="仿宋_GB2312"/>
          <w:color w:val="000000" w:themeColor="text1"/>
          <w:sz w:val="28"/>
          <w:szCs w:val="28"/>
        </w:rPr>
        <w:t>四、财政拨款收入支出决算总表</w:t>
      </w:r>
    </w:p>
    <w:p>
      <w:pPr>
        <w:pStyle w:val="5"/>
        <w:spacing w:line="520" w:lineRule="exact"/>
        <w:ind w:firstLine="700" w:firstLineChars="250"/>
        <w:rPr>
          <w:rFonts w:ascii="宋体" w:hAnsi="宋体" w:eastAsia="宋体" w:cs="仿宋_GB2312"/>
          <w:color w:val="000000" w:themeColor="text1"/>
          <w:sz w:val="28"/>
          <w:szCs w:val="28"/>
        </w:rPr>
      </w:pPr>
      <w:r>
        <w:rPr>
          <w:rFonts w:ascii="宋体" w:hAnsi="宋体" w:eastAsia="宋体" w:cs="仿宋_GB2312"/>
          <w:color w:val="000000" w:themeColor="text1"/>
          <w:sz w:val="28"/>
          <w:szCs w:val="28"/>
        </w:rPr>
        <w:t>五、一般公共预算财政拨款支出决算表</w:t>
      </w:r>
    </w:p>
    <w:p>
      <w:pPr>
        <w:pStyle w:val="5"/>
        <w:spacing w:line="520" w:lineRule="exact"/>
        <w:ind w:firstLine="700" w:firstLineChars="250"/>
        <w:rPr>
          <w:rFonts w:ascii="宋体" w:hAnsi="宋体" w:eastAsia="宋体" w:cs="仿宋_GB2312"/>
          <w:color w:val="000000" w:themeColor="text1"/>
          <w:sz w:val="28"/>
          <w:szCs w:val="28"/>
        </w:rPr>
      </w:pPr>
      <w:r>
        <w:rPr>
          <w:rFonts w:ascii="宋体" w:hAnsi="宋体" w:eastAsia="宋体" w:cs="仿宋_GB2312"/>
          <w:color w:val="000000" w:themeColor="text1"/>
          <w:sz w:val="28"/>
          <w:szCs w:val="28"/>
        </w:rPr>
        <w:t>六、一般公共预算财政拨款基本支出决算表</w:t>
      </w:r>
    </w:p>
    <w:p>
      <w:pPr>
        <w:pStyle w:val="5"/>
        <w:spacing w:line="520" w:lineRule="exact"/>
        <w:ind w:firstLine="700" w:firstLineChars="250"/>
        <w:rPr>
          <w:rFonts w:ascii="宋体" w:hAnsi="宋体" w:eastAsia="宋体" w:cs="仿宋_GB2312"/>
          <w:color w:val="000000" w:themeColor="text1"/>
          <w:sz w:val="28"/>
          <w:szCs w:val="28"/>
        </w:rPr>
      </w:pPr>
      <w:r>
        <w:rPr>
          <w:rFonts w:ascii="宋体" w:hAnsi="宋体" w:eastAsia="宋体" w:cs="仿宋_GB2312"/>
          <w:color w:val="000000" w:themeColor="text1"/>
          <w:sz w:val="28"/>
          <w:szCs w:val="28"/>
        </w:rPr>
        <w:t>七、一般公共预算财政拨款“三公”经费支出决算表</w:t>
      </w:r>
    </w:p>
    <w:p>
      <w:pPr>
        <w:pStyle w:val="5"/>
        <w:spacing w:line="520" w:lineRule="exact"/>
        <w:ind w:firstLine="700" w:firstLineChars="250"/>
        <w:rPr>
          <w:rFonts w:ascii="宋体" w:hAnsi="宋体" w:eastAsia="宋体" w:cs="仿宋_GB2312"/>
          <w:color w:val="000000" w:themeColor="text1"/>
          <w:sz w:val="28"/>
          <w:szCs w:val="28"/>
        </w:rPr>
      </w:pPr>
      <w:r>
        <w:rPr>
          <w:rFonts w:ascii="宋体" w:hAnsi="宋体" w:eastAsia="宋体" w:cs="仿宋_GB2312"/>
          <w:color w:val="000000" w:themeColor="text1"/>
          <w:sz w:val="28"/>
          <w:szCs w:val="28"/>
        </w:rPr>
        <w:t>八、政府性基金预算财政拨款收入支出决算表</w:t>
      </w:r>
    </w:p>
    <w:p>
      <w:pPr>
        <w:pStyle w:val="5"/>
        <w:spacing w:line="520" w:lineRule="exact"/>
        <w:rPr>
          <w:rFonts w:ascii="仿宋_GB2312" w:hAnsi="仿宋_GB2312" w:cs="仿宋_GB2312"/>
          <w:b/>
          <w:color w:val="000000" w:themeColor="text1"/>
          <w:sz w:val="28"/>
          <w:szCs w:val="28"/>
        </w:rPr>
      </w:pPr>
      <w:r>
        <w:rPr>
          <w:rFonts w:hint="eastAsia" w:hAnsi="仿宋_GB2312"/>
          <w:b/>
          <w:color w:val="000000" w:themeColor="text1"/>
          <w:sz w:val="28"/>
          <w:szCs w:val="28"/>
        </w:rPr>
        <w:t>第三部分</w:t>
      </w:r>
      <w:r>
        <w:rPr>
          <w:rFonts w:hAnsi="仿宋_GB2312"/>
          <w:b/>
          <w:color w:val="000000" w:themeColor="text1"/>
          <w:sz w:val="28"/>
          <w:szCs w:val="28"/>
        </w:rPr>
        <w:t>2019</w:t>
      </w:r>
      <w:r>
        <w:rPr>
          <w:rFonts w:hint="eastAsia" w:hAnsi="仿宋_GB2312"/>
          <w:b/>
          <w:color w:val="000000" w:themeColor="text1"/>
          <w:sz w:val="28"/>
          <w:szCs w:val="28"/>
        </w:rPr>
        <w:t>年度部门决算情况说明</w:t>
      </w:r>
    </w:p>
    <w:p>
      <w:pPr>
        <w:pStyle w:val="5"/>
        <w:spacing w:line="520" w:lineRule="exact"/>
        <w:ind w:firstLine="700" w:firstLineChars="250"/>
        <w:rPr>
          <w:rFonts w:ascii="宋体" w:hAnsi="宋体" w:eastAsia="宋体" w:cs="仿宋_GB2312"/>
          <w:color w:val="000000" w:themeColor="text1"/>
          <w:sz w:val="28"/>
          <w:szCs w:val="28"/>
        </w:rPr>
      </w:pPr>
      <w:r>
        <w:rPr>
          <w:rFonts w:ascii="宋体" w:hAnsi="宋体" w:eastAsia="宋体" w:cs="仿宋_GB2312"/>
          <w:color w:val="000000" w:themeColor="text1"/>
          <w:sz w:val="28"/>
          <w:szCs w:val="28"/>
        </w:rPr>
        <w:t>一、收入支出决算总体情况说明</w:t>
      </w:r>
    </w:p>
    <w:p>
      <w:pPr>
        <w:spacing w:line="520" w:lineRule="exact"/>
        <w:ind w:firstLine="700" w:firstLineChars="250"/>
        <w:jc w:val="left"/>
        <w:rPr>
          <w:rFonts w:ascii="仿宋_GB2312" w:hAnsi="仿宋_GB2312" w:cs="仿宋_GB2312"/>
          <w:color w:val="000000" w:themeColor="text1"/>
          <w:sz w:val="28"/>
          <w:szCs w:val="28"/>
        </w:rPr>
      </w:pPr>
      <w:r>
        <w:rPr>
          <w:rFonts w:ascii="仿宋_GB2312" w:hAnsi="仿宋_GB2312" w:cs="仿宋_GB2312"/>
          <w:color w:val="000000" w:themeColor="text1"/>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themeColor="text1"/>
          <w:kern w:val="0"/>
          <w:sz w:val="28"/>
          <w:szCs w:val="28"/>
        </w:rPr>
      </w:pPr>
      <w:r>
        <w:rPr>
          <w:rFonts w:ascii="仿宋_GB2312" w:hAnsi="仿宋_GB2312" w:cs="仿宋_GB2312"/>
          <w:color w:val="000000" w:themeColor="text1"/>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themeColor="text1"/>
          <w:kern w:val="0"/>
          <w:sz w:val="28"/>
          <w:szCs w:val="28"/>
        </w:rPr>
      </w:pPr>
      <w:r>
        <w:rPr>
          <w:rFonts w:ascii="仿宋_GB2312" w:hAnsi="仿宋_GB2312" w:cs="仿宋_GB2312"/>
          <w:color w:val="000000" w:themeColor="text1"/>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themeColor="text1"/>
          <w:kern w:val="0"/>
          <w:sz w:val="28"/>
          <w:szCs w:val="28"/>
        </w:rPr>
      </w:pPr>
      <w:r>
        <w:rPr>
          <w:rFonts w:ascii="仿宋_GB2312" w:hAnsi="仿宋_GB2312" w:cs="仿宋_GB2312"/>
          <w:color w:val="000000" w:themeColor="text1"/>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themeColor="text1"/>
          <w:kern w:val="0"/>
          <w:sz w:val="28"/>
          <w:szCs w:val="28"/>
        </w:rPr>
      </w:pPr>
      <w:r>
        <w:rPr>
          <w:rFonts w:ascii="仿宋_GB2312" w:hAnsi="仿宋_GB2312" w:cs="仿宋_GB2312"/>
          <w:color w:val="000000" w:themeColor="text1"/>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themeColor="text1"/>
          <w:kern w:val="0"/>
          <w:sz w:val="28"/>
          <w:szCs w:val="28"/>
        </w:rPr>
      </w:pPr>
      <w:r>
        <w:rPr>
          <w:rFonts w:ascii="仿宋_GB2312" w:hAnsi="仿宋_GB2312" w:cs="仿宋_GB2312"/>
          <w:color w:val="000000" w:themeColor="text1"/>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themeColor="text1"/>
          <w:kern w:val="0"/>
          <w:sz w:val="28"/>
          <w:szCs w:val="28"/>
        </w:rPr>
      </w:pPr>
      <w:r>
        <w:rPr>
          <w:rFonts w:hint="eastAsia" w:ascii="仿宋_GB2312" w:hAnsi="仿宋_GB2312" w:cs="仿宋_GB2312"/>
          <w:color w:val="000000" w:themeColor="text1"/>
          <w:kern w:val="0"/>
          <w:sz w:val="28"/>
          <w:szCs w:val="28"/>
        </w:rPr>
        <w:t>八</w:t>
      </w:r>
      <w:r>
        <w:rPr>
          <w:rFonts w:ascii="仿宋_GB2312" w:hAnsi="仿宋_GB2312" w:cs="仿宋_GB2312"/>
          <w:color w:val="000000" w:themeColor="text1"/>
          <w:kern w:val="0"/>
          <w:sz w:val="28"/>
          <w:szCs w:val="28"/>
        </w:rPr>
        <w:t>、</w:t>
      </w:r>
      <w:r>
        <w:rPr>
          <w:rFonts w:hint="eastAsia" w:ascii="仿宋_GB2312" w:hAnsi="仿宋_GB2312" w:cs="仿宋_GB2312"/>
          <w:color w:val="000000" w:themeColor="text1"/>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themeColor="text1"/>
          <w:kern w:val="0"/>
          <w:sz w:val="28"/>
          <w:szCs w:val="28"/>
        </w:rPr>
      </w:pPr>
      <w:r>
        <w:rPr>
          <w:rFonts w:hint="eastAsia" w:ascii="仿宋_GB2312" w:hAnsi="仿宋_GB2312" w:cs="仿宋_GB2312"/>
          <w:color w:val="000000" w:themeColor="text1"/>
          <w:kern w:val="0"/>
          <w:sz w:val="28"/>
          <w:szCs w:val="28"/>
        </w:rPr>
        <w:t>九</w:t>
      </w:r>
      <w:r>
        <w:rPr>
          <w:rFonts w:ascii="仿宋_GB2312" w:hAnsi="仿宋_GB2312" w:cs="仿宋_GB2312"/>
          <w:color w:val="000000" w:themeColor="text1"/>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themeColor="text1"/>
          <w:kern w:val="0"/>
          <w:sz w:val="28"/>
          <w:szCs w:val="28"/>
        </w:rPr>
      </w:pPr>
      <w:r>
        <w:rPr>
          <w:rFonts w:hint="eastAsia" w:ascii="仿宋_GB2312" w:hAnsi="仿宋_GB2312" w:cs="仿宋_GB2312"/>
          <w:color w:val="000000" w:themeColor="text1"/>
          <w:kern w:val="0"/>
          <w:sz w:val="28"/>
          <w:szCs w:val="28"/>
        </w:rPr>
        <w:t>十</w:t>
      </w:r>
      <w:r>
        <w:rPr>
          <w:rFonts w:ascii="仿宋_GB2312" w:hAnsi="仿宋_GB2312" w:cs="仿宋_GB2312"/>
          <w:color w:val="000000" w:themeColor="text1"/>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themeColor="text1"/>
          <w:kern w:val="0"/>
          <w:sz w:val="28"/>
          <w:szCs w:val="28"/>
        </w:rPr>
      </w:pPr>
      <w:r>
        <w:rPr>
          <w:rFonts w:ascii="黑体" w:hAnsi="黑体" w:eastAsia="黑体" w:cs="黑体"/>
          <w:b/>
          <w:color w:val="000000" w:themeColor="text1"/>
          <w:kern w:val="0"/>
          <w:sz w:val="28"/>
          <w:szCs w:val="28"/>
        </w:rPr>
        <w:t>第四部分名词解释</w:t>
      </w:r>
    </w:p>
    <w:p>
      <w:pPr>
        <w:spacing w:line="520" w:lineRule="exact"/>
        <w:jc w:val="left"/>
        <w:rPr>
          <w:rFonts w:ascii="黑体" w:hAnsi="黑体" w:eastAsia="黑体" w:cs="黑体"/>
          <w:b/>
          <w:color w:val="000000" w:themeColor="text1"/>
          <w:kern w:val="0"/>
          <w:sz w:val="28"/>
          <w:szCs w:val="28"/>
        </w:rPr>
      </w:pPr>
      <w:r>
        <w:rPr>
          <w:rFonts w:ascii="黑体" w:hAnsi="黑体" w:eastAsia="黑体" w:cs="黑体"/>
          <w:b/>
          <w:color w:val="000000" w:themeColor="text1"/>
          <w:kern w:val="0"/>
          <w:sz w:val="28"/>
          <w:szCs w:val="28"/>
        </w:rPr>
        <w:t>第五部分附件</w:t>
      </w:r>
    </w:p>
    <w:p>
      <w:pPr>
        <w:spacing w:line="520" w:lineRule="exact"/>
        <w:jc w:val="left"/>
        <w:rPr>
          <w:rFonts w:ascii="黑体" w:hAnsi="黑体" w:eastAsia="黑体" w:cs="黑体"/>
          <w:b/>
          <w:color w:val="000000" w:themeColor="text1"/>
          <w:kern w:val="0"/>
          <w:sz w:val="28"/>
          <w:szCs w:val="28"/>
        </w:rPr>
      </w:pPr>
    </w:p>
    <w:p>
      <w:pPr>
        <w:pStyle w:val="5"/>
        <w:jc w:val="center"/>
        <w:rPr>
          <w:color w:val="000000" w:themeColor="text1"/>
          <w:sz w:val="84"/>
          <w:szCs w:val="84"/>
        </w:rPr>
      </w:pPr>
    </w:p>
    <w:p>
      <w:pPr>
        <w:pStyle w:val="5"/>
        <w:jc w:val="center"/>
        <w:rPr>
          <w:color w:val="000000" w:themeColor="text1"/>
          <w:sz w:val="84"/>
          <w:szCs w:val="84"/>
        </w:rPr>
      </w:pPr>
      <w:r>
        <w:rPr>
          <w:rFonts w:hint="eastAsia"/>
          <w:color w:val="000000" w:themeColor="text1"/>
          <w:sz w:val="84"/>
          <w:szCs w:val="84"/>
        </w:rPr>
        <w:t>第一部分</w:t>
      </w:r>
    </w:p>
    <w:p>
      <w:pPr>
        <w:pStyle w:val="5"/>
        <w:jc w:val="center"/>
        <w:rPr>
          <w:color w:val="000000" w:themeColor="text1"/>
          <w:sz w:val="84"/>
          <w:szCs w:val="84"/>
        </w:rPr>
      </w:pPr>
    </w:p>
    <w:p>
      <w:pPr>
        <w:pStyle w:val="5"/>
        <w:jc w:val="center"/>
        <w:rPr>
          <w:color w:val="000000" w:themeColor="text1"/>
          <w:sz w:val="84"/>
          <w:szCs w:val="84"/>
        </w:rPr>
      </w:pPr>
      <w:r>
        <w:rPr>
          <w:rFonts w:hint="eastAsia"/>
          <w:color w:val="000000" w:themeColor="text1"/>
          <w:sz w:val="84"/>
          <w:szCs w:val="84"/>
        </w:rPr>
        <w:t>中国共产党衡南县委员会党校概况</w:t>
      </w:r>
    </w:p>
    <w:p>
      <w:pPr>
        <w:pStyle w:val="5"/>
        <w:rPr>
          <w:color w:val="000000" w:themeColor="text1"/>
          <w:sz w:val="84"/>
          <w:szCs w:val="84"/>
        </w:rPr>
      </w:pPr>
    </w:p>
    <w:p>
      <w:pPr>
        <w:pStyle w:val="5"/>
        <w:jc w:val="center"/>
        <w:rPr>
          <w:color w:val="000000" w:themeColor="text1"/>
          <w:sz w:val="84"/>
          <w:szCs w:val="84"/>
        </w:rPr>
      </w:pPr>
    </w:p>
    <w:p>
      <w:pPr>
        <w:pStyle w:val="5"/>
        <w:jc w:val="center"/>
        <w:rPr>
          <w:color w:val="000000" w:themeColor="text1"/>
          <w:sz w:val="84"/>
          <w:szCs w:val="84"/>
        </w:rPr>
      </w:pPr>
    </w:p>
    <w:p>
      <w:pPr>
        <w:pStyle w:val="5"/>
        <w:jc w:val="center"/>
        <w:rPr>
          <w:color w:val="000000" w:themeColor="text1"/>
          <w:sz w:val="84"/>
          <w:szCs w:val="84"/>
        </w:rPr>
      </w:pPr>
    </w:p>
    <w:p>
      <w:pPr>
        <w:pStyle w:val="5"/>
        <w:jc w:val="center"/>
        <w:rPr>
          <w:color w:val="000000" w:themeColor="text1"/>
          <w:sz w:val="84"/>
          <w:szCs w:val="84"/>
        </w:rPr>
      </w:pPr>
    </w:p>
    <w:p>
      <w:pPr>
        <w:pStyle w:val="5"/>
        <w:jc w:val="center"/>
        <w:rPr>
          <w:rFonts w:hAnsi="黑体"/>
          <w:color w:val="000000" w:themeColor="text1"/>
          <w:sz w:val="28"/>
          <w:szCs w:val="28"/>
        </w:rPr>
      </w:pPr>
      <w:r>
        <w:rPr>
          <w:rFonts w:hint="eastAsia" w:ascii="宋体" w:hAnsi="宋体" w:cs="宋体"/>
          <w:color w:val="000000" w:themeColor="text1"/>
          <w:sz w:val="28"/>
          <w:szCs w:val="28"/>
        </w:rPr>
        <w:t>　</w:t>
      </w:r>
      <w:r>
        <w:rPr>
          <w:rFonts w:hint="eastAsia" w:hAnsi="黑体"/>
          <w:color w:val="000000" w:themeColor="text1"/>
          <w:sz w:val="28"/>
          <w:szCs w:val="28"/>
        </w:rPr>
        <w:t>　</w:t>
      </w:r>
    </w:p>
    <w:p>
      <w:pPr>
        <w:autoSpaceDE w:val="0"/>
        <w:autoSpaceDN w:val="0"/>
        <w:adjustRightInd w:val="0"/>
        <w:spacing w:line="520" w:lineRule="exact"/>
        <w:ind w:firstLine="700" w:firstLineChars="250"/>
        <w:jc w:val="left"/>
        <w:rPr>
          <w:rFonts w:ascii="黑体" w:hAnsi="黑体" w:eastAsia="黑体" w:cs="黑体"/>
          <w:color w:val="000000" w:themeColor="text1"/>
          <w:kern w:val="0"/>
          <w:sz w:val="28"/>
          <w:szCs w:val="28"/>
        </w:rPr>
      </w:pPr>
    </w:p>
    <w:p>
      <w:pPr>
        <w:numPr>
          <w:ilvl w:val="0"/>
          <w:numId w:val="1"/>
        </w:numPr>
        <w:ind w:firstLine="480" w:firstLineChars="150"/>
        <w:rPr>
          <w:rFonts w:hint="eastAsia" w:ascii="仿宋" w:hAnsi="仿宋" w:eastAsia="仿宋"/>
          <w:color w:val="000000" w:themeColor="text1"/>
          <w:sz w:val="30"/>
          <w:szCs w:val="30"/>
        </w:rPr>
      </w:pPr>
      <w:r>
        <w:rPr>
          <w:rFonts w:hint="eastAsia" w:ascii="黑体" w:hAnsi="黑体" w:eastAsia="黑体" w:cs="黑体"/>
          <w:color w:val="000000" w:themeColor="text1"/>
          <w:kern w:val="0"/>
          <w:sz w:val="32"/>
          <w:szCs w:val="32"/>
        </w:rPr>
        <w:t>部门基本概况</w:t>
      </w:r>
      <w:r>
        <w:rPr>
          <w:rFonts w:hint="eastAsia" w:ascii="黑体" w:hAnsi="黑体" w:eastAsia="黑体" w:cs="黑体"/>
          <w:color w:val="000000" w:themeColor="text1"/>
          <w:kern w:val="0"/>
          <w:sz w:val="32"/>
          <w:szCs w:val="32"/>
        </w:rPr>
        <w:br w:type="textWrapping"/>
      </w:r>
      <w:r>
        <w:rPr>
          <w:rFonts w:hint="eastAsia" w:ascii="宋体" w:hAnsi="宋体" w:cs="宋体"/>
          <w:color w:val="000000" w:themeColor="text1"/>
          <w:kern w:val="0"/>
          <w:sz w:val="28"/>
          <w:szCs w:val="28"/>
        </w:rPr>
        <w:t>　</w:t>
      </w:r>
      <w:r>
        <w:rPr>
          <w:rFonts w:hint="eastAsia" w:ascii="仿宋" w:hAnsi="仿宋" w:eastAsia="仿宋" w:cs="仿宋"/>
          <w:color w:val="000000" w:themeColor="text1"/>
          <w:kern w:val="0"/>
          <w:sz w:val="28"/>
          <w:szCs w:val="28"/>
        </w:rPr>
        <w:t>　</w:t>
      </w:r>
      <w:r>
        <w:rPr>
          <w:rFonts w:hint="eastAsia" w:ascii="仿宋" w:hAnsi="仿宋" w:eastAsia="仿宋" w:cs="仿宋"/>
          <w:b/>
          <w:bCs/>
          <w:color w:val="000000" w:themeColor="text1"/>
          <w:kern w:val="0"/>
          <w:sz w:val="28"/>
          <w:szCs w:val="28"/>
        </w:rPr>
        <w:t>（一）职能职责</w:t>
      </w:r>
      <w:r>
        <w:rPr>
          <w:rFonts w:hint="eastAsia" w:ascii="仿宋" w:hAnsi="仿宋" w:eastAsia="仿宋" w:cs="仿宋"/>
          <w:b/>
          <w:bCs/>
          <w:color w:val="000000" w:themeColor="text1"/>
          <w:kern w:val="0"/>
          <w:sz w:val="28"/>
          <w:szCs w:val="28"/>
        </w:rPr>
        <w:br w:type="textWrapping"/>
      </w:r>
      <w:r>
        <w:rPr>
          <w:rFonts w:hint="eastAsia" w:ascii="宋体" w:hAnsi="宋体" w:cs="宋体"/>
          <w:color w:val="000000" w:themeColor="text1"/>
          <w:kern w:val="0"/>
          <w:sz w:val="28"/>
          <w:szCs w:val="28"/>
        </w:rPr>
        <w:t xml:space="preserve">　  </w:t>
      </w:r>
      <w:r>
        <w:rPr>
          <w:rFonts w:hint="eastAsia" w:ascii="仿宋" w:hAnsi="仿宋" w:eastAsia="仿宋"/>
          <w:color w:val="000000" w:themeColor="text1"/>
          <w:sz w:val="30"/>
          <w:szCs w:val="30"/>
        </w:rPr>
        <w:t>1、轮训全县党员领导干部。</w:t>
      </w:r>
      <w:r>
        <w:rPr>
          <w:rFonts w:hint="eastAsia" w:ascii="仿宋" w:hAnsi="仿宋" w:eastAsia="仿宋"/>
          <w:color w:val="000000" w:themeColor="text1"/>
          <w:sz w:val="30"/>
          <w:szCs w:val="30"/>
        </w:rPr>
        <w:br w:type="textWrapping"/>
      </w:r>
      <w:r>
        <w:rPr>
          <w:rFonts w:hint="eastAsia" w:ascii="仿宋" w:hAnsi="仿宋" w:eastAsia="仿宋"/>
          <w:color w:val="000000" w:themeColor="text1"/>
          <w:sz w:val="30"/>
          <w:szCs w:val="30"/>
        </w:rPr>
        <w:t>　　2、培训中青年后备干部。</w:t>
      </w:r>
      <w:r>
        <w:rPr>
          <w:rFonts w:hint="eastAsia" w:ascii="仿宋" w:hAnsi="仿宋" w:eastAsia="仿宋"/>
          <w:color w:val="000000" w:themeColor="text1"/>
          <w:sz w:val="30"/>
          <w:szCs w:val="30"/>
        </w:rPr>
        <w:br w:type="textWrapping"/>
      </w:r>
      <w:r>
        <w:rPr>
          <w:rFonts w:hint="eastAsia" w:ascii="仿宋" w:hAnsi="仿宋" w:eastAsia="仿宋"/>
          <w:color w:val="000000" w:themeColor="text1"/>
          <w:sz w:val="30"/>
          <w:szCs w:val="30"/>
        </w:rPr>
        <w:t>　　3、围绕国内外出现的新情况，新问题，开展科学研究。</w:t>
      </w:r>
      <w:r>
        <w:rPr>
          <w:rFonts w:hint="eastAsia" w:ascii="仿宋" w:hAnsi="仿宋" w:eastAsia="仿宋"/>
          <w:color w:val="000000" w:themeColor="text1"/>
          <w:sz w:val="30"/>
          <w:szCs w:val="30"/>
        </w:rPr>
        <w:br w:type="textWrapping"/>
      </w:r>
      <w:r>
        <w:rPr>
          <w:rFonts w:hint="eastAsia" w:ascii="仿宋" w:hAnsi="仿宋" w:eastAsia="仿宋" w:cs="仿宋"/>
          <w:b/>
          <w:bCs/>
          <w:color w:val="000000" w:themeColor="text1"/>
          <w:kern w:val="0"/>
          <w:sz w:val="28"/>
          <w:szCs w:val="28"/>
        </w:rPr>
        <w:t>（二）机构设置</w:t>
      </w:r>
      <w:r>
        <w:rPr>
          <w:rFonts w:hint="eastAsia" w:ascii="仿宋" w:hAnsi="仿宋" w:eastAsia="仿宋" w:cs="仿宋"/>
          <w:b/>
          <w:bCs/>
          <w:color w:val="000000" w:themeColor="text1"/>
          <w:kern w:val="0"/>
          <w:sz w:val="28"/>
          <w:szCs w:val="28"/>
        </w:rPr>
        <w:br w:type="textWrapping"/>
      </w:r>
      <w:r>
        <w:rPr>
          <w:rFonts w:hint="eastAsia" w:ascii="仿宋" w:hAnsi="仿宋" w:eastAsia="仿宋" w:cs="仿宋"/>
          <w:color w:val="000000" w:themeColor="text1"/>
          <w:kern w:val="0"/>
          <w:sz w:val="32"/>
          <w:szCs w:val="32"/>
        </w:rPr>
        <w:t>　　</w:t>
      </w:r>
      <w:r>
        <w:rPr>
          <w:rFonts w:hint="eastAsia" w:ascii="仿宋" w:hAnsi="仿宋" w:eastAsia="仿宋"/>
          <w:color w:val="000000" w:themeColor="text1"/>
          <w:sz w:val="30"/>
          <w:szCs w:val="30"/>
        </w:rPr>
        <w:t>衡南县委党校是独立核算的全额事业单位。现有在职人数31人，离退休人数15人，下设五个科室：办公室、教研科、教务科、学员管理科、总务科。</w:t>
      </w:r>
    </w:p>
    <w:p>
      <w:pPr>
        <w:numPr>
          <w:ilvl w:val="0"/>
          <w:numId w:val="2"/>
        </w:numPr>
        <w:rPr>
          <w:rFonts w:hint="eastAsia" w:ascii="仿宋" w:hAnsi="仿宋" w:eastAsia="仿宋" w:cs="仿宋"/>
          <w:b/>
          <w:bCs/>
          <w:color w:val="000000" w:themeColor="text1"/>
          <w:kern w:val="0"/>
          <w:sz w:val="28"/>
          <w:szCs w:val="28"/>
        </w:rPr>
      </w:pPr>
      <w:r>
        <w:rPr>
          <w:rFonts w:hint="eastAsia" w:ascii="仿宋" w:hAnsi="仿宋" w:eastAsia="仿宋" w:cs="仿宋"/>
          <w:b/>
          <w:bCs/>
          <w:color w:val="000000" w:themeColor="text1"/>
          <w:kern w:val="0"/>
          <w:sz w:val="28"/>
          <w:szCs w:val="28"/>
        </w:rPr>
        <w:t>决算单位构成</w:t>
      </w:r>
    </w:p>
    <w:p>
      <w:pPr>
        <w:numPr>
          <w:ilvl w:val="0"/>
          <w:numId w:val="0"/>
        </w:numPr>
        <w:rPr>
          <w:rFonts w:hint="eastAsia" w:ascii="仿宋" w:hAnsi="仿宋" w:eastAsia="仿宋"/>
          <w:color w:val="000000" w:themeColor="text1"/>
          <w:sz w:val="30"/>
          <w:szCs w:val="30"/>
          <w:lang w:eastAsia="zh-CN"/>
        </w:rPr>
      </w:pPr>
      <w:r>
        <w:rPr>
          <w:rFonts w:hint="eastAsia" w:ascii="仿宋" w:hAnsi="仿宋" w:eastAsia="仿宋"/>
          <w:color w:val="000000" w:themeColor="text1"/>
          <w:sz w:val="30"/>
          <w:szCs w:val="30"/>
        </w:rPr>
        <w:t>2019年部门决算汇总公开单位构成包括：</w:t>
      </w:r>
      <w:r>
        <w:rPr>
          <w:rFonts w:hint="eastAsia" w:ascii="仿宋" w:hAnsi="仿宋" w:eastAsia="仿宋"/>
          <w:color w:val="000000" w:themeColor="text1"/>
          <w:sz w:val="30"/>
          <w:szCs w:val="30"/>
          <w:lang w:val="en-US" w:eastAsia="zh-CN"/>
        </w:rPr>
        <w:t>县委党校</w:t>
      </w:r>
      <w:r>
        <w:rPr>
          <w:rFonts w:hint="eastAsia" w:ascii="仿宋" w:hAnsi="仿宋" w:eastAsia="仿宋"/>
          <w:color w:val="000000" w:themeColor="text1"/>
          <w:sz w:val="30"/>
          <w:szCs w:val="30"/>
        </w:rPr>
        <w:t>本级</w:t>
      </w:r>
      <w:r>
        <w:rPr>
          <w:rFonts w:hint="eastAsia" w:ascii="仿宋" w:hAnsi="仿宋" w:eastAsia="仿宋"/>
          <w:color w:val="000000" w:themeColor="text1"/>
          <w:sz w:val="30"/>
          <w:szCs w:val="30"/>
          <w:lang w:eastAsia="zh-CN"/>
        </w:rPr>
        <w:t>。</w:t>
      </w:r>
    </w:p>
    <w:p>
      <w:pPr>
        <w:widowControl/>
        <w:spacing w:line="600" w:lineRule="exact"/>
        <w:ind w:firstLine="480"/>
        <w:jc w:val="left"/>
        <w:rPr>
          <w:rFonts w:ascii="仿宋_GB2312" w:hAnsi="宋体" w:eastAsia="仿宋_GB2312" w:cs="宋体"/>
          <w:color w:val="000000" w:themeColor="text1"/>
          <w:kern w:val="0"/>
          <w:sz w:val="32"/>
          <w:szCs w:val="32"/>
        </w:rPr>
      </w:pPr>
    </w:p>
    <w:p>
      <w:pPr>
        <w:autoSpaceDE w:val="0"/>
        <w:autoSpaceDN w:val="0"/>
        <w:adjustRightInd w:val="0"/>
        <w:spacing w:line="520" w:lineRule="exact"/>
        <w:ind w:firstLine="1800" w:firstLineChars="250"/>
        <w:jc w:val="left"/>
        <w:rPr>
          <w:color w:val="000000" w:themeColor="text1"/>
          <w:sz w:val="72"/>
          <w:szCs w:val="72"/>
        </w:rPr>
      </w:pPr>
    </w:p>
    <w:p>
      <w:pPr>
        <w:jc w:val="center"/>
        <w:rPr>
          <w:color w:val="000000" w:themeColor="text1"/>
          <w:sz w:val="72"/>
          <w:szCs w:val="72"/>
        </w:rPr>
      </w:pPr>
    </w:p>
    <w:p>
      <w:pPr>
        <w:jc w:val="center"/>
        <w:rPr>
          <w:color w:val="000000" w:themeColor="text1"/>
          <w:sz w:val="72"/>
          <w:szCs w:val="72"/>
        </w:rPr>
      </w:pPr>
    </w:p>
    <w:p>
      <w:pPr>
        <w:widowControl/>
        <w:spacing w:line="600" w:lineRule="exact"/>
        <w:rPr>
          <w:rFonts w:ascii="宋体" w:hAnsi="宋体"/>
          <w:bCs/>
          <w:color w:val="000000" w:themeColor="text1"/>
          <w:kern w:val="0"/>
          <w:sz w:val="32"/>
          <w:szCs w:val="32"/>
        </w:rPr>
      </w:pPr>
    </w:p>
    <w:p>
      <w:pPr>
        <w:jc w:val="left"/>
        <w:rPr>
          <w:rFonts w:ascii="仿宋_GB2312" w:hAnsi="宋体" w:eastAsia="仿宋_GB2312"/>
          <w:color w:val="000000" w:themeColor="text1"/>
          <w:sz w:val="28"/>
          <w:szCs w:val="32"/>
        </w:rPr>
      </w:pPr>
    </w:p>
    <w:p>
      <w:pPr>
        <w:jc w:val="center"/>
        <w:rPr>
          <w:rFonts w:ascii="黑体" w:hAnsi="黑体" w:eastAsia="黑体"/>
          <w:color w:val="000000" w:themeColor="text1"/>
          <w:sz w:val="28"/>
          <w:szCs w:val="28"/>
        </w:rPr>
      </w:pPr>
    </w:p>
    <w:p>
      <w:pPr>
        <w:rPr>
          <w:color w:val="000000" w:themeColor="text1"/>
          <w:sz w:val="72"/>
          <w:szCs w:val="72"/>
        </w:rPr>
      </w:pPr>
    </w:p>
    <w:p>
      <w:pPr>
        <w:jc w:val="center"/>
        <w:rPr>
          <w:color w:val="000000" w:themeColor="text1"/>
          <w:sz w:val="72"/>
          <w:szCs w:val="72"/>
        </w:rPr>
      </w:pPr>
    </w:p>
    <w:p>
      <w:pPr>
        <w:jc w:val="center"/>
        <w:rPr>
          <w:rFonts w:ascii="黑体" w:eastAsia="黑体" w:cs="黑体"/>
          <w:color w:val="000000" w:themeColor="text1"/>
          <w:kern w:val="0"/>
          <w:sz w:val="84"/>
          <w:szCs w:val="84"/>
        </w:rPr>
      </w:pPr>
    </w:p>
    <w:p>
      <w:pPr>
        <w:jc w:val="center"/>
        <w:rPr>
          <w:rFonts w:ascii="黑体" w:eastAsia="黑体" w:cs="黑体"/>
          <w:color w:val="000000" w:themeColor="text1"/>
          <w:kern w:val="0"/>
          <w:sz w:val="84"/>
          <w:szCs w:val="84"/>
        </w:rPr>
      </w:pPr>
      <w:r>
        <w:rPr>
          <w:rFonts w:hint="eastAsia" w:ascii="黑体" w:eastAsia="黑体" w:cs="黑体"/>
          <w:color w:val="000000" w:themeColor="text1"/>
          <w:kern w:val="0"/>
          <w:sz w:val="84"/>
          <w:szCs w:val="84"/>
        </w:rPr>
        <w:t>第二部分</w:t>
      </w:r>
    </w:p>
    <w:p>
      <w:pPr>
        <w:jc w:val="center"/>
        <w:rPr>
          <w:rFonts w:ascii="黑体" w:eastAsia="黑体" w:cs="黑体"/>
          <w:color w:val="000000" w:themeColor="text1"/>
          <w:kern w:val="0"/>
          <w:sz w:val="84"/>
          <w:szCs w:val="84"/>
        </w:rPr>
      </w:pPr>
    </w:p>
    <w:p>
      <w:pPr>
        <w:jc w:val="center"/>
        <w:rPr>
          <w:rFonts w:ascii="黑体" w:eastAsia="黑体" w:cs="黑体"/>
          <w:color w:val="000000" w:themeColor="text1"/>
          <w:kern w:val="0"/>
          <w:sz w:val="84"/>
          <w:szCs w:val="84"/>
        </w:rPr>
      </w:pPr>
      <w:r>
        <w:rPr>
          <w:rFonts w:hint="eastAsia" w:ascii="黑体" w:eastAsia="黑体" w:cs="黑体"/>
          <w:color w:val="000000" w:themeColor="text1"/>
          <w:kern w:val="0"/>
          <w:sz w:val="84"/>
          <w:szCs w:val="84"/>
        </w:rPr>
        <w:t>部门决算表</w:t>
      </w:r>
    </w:p>
    <w:p>
      <w:pPr>
        <w:jc w:val="center"/>
        <w:rPr>
          <w:color w:val="000000" w:themeColor="text1"/>
          <w:sz w:val="72"/>
          <w:szCs w:val="72"/>
        </w:rPr>
      </w:pPr>
    </w:p>
    <w:p>
      <w:pPr>
        <w:jc w:val="center"/>
        <w:rPr>
          <w:color w:val="000000" w:themeColor="text1"/>
          <w:sz w:val="72"/>
          <w:szCs w:val="72"/>
        </w:rPr>
      </w:pPr>
      <w:r>
        <w:rPr>
          <w:rFonts w:hint="eastAsia"/>
          <w:color w:val="000000" w:themeColor="text1"/>
          <w:sz w:val="72"/>
          <w:szCs w:val="72"/>
        </w:rPr>
        <w:t>(部门决算公示表附后)</w:t>
      </w:r>
    </w:p>
    <w:p>
      <w:pPr>
        <w:jc w:val="center"/>
        <w:rPr>
          <w:color w:val="000000" w:themeColor="text1"/>
          <w:sz w:val="72"/>
          <w:szCs w:val="72"/>
        </w:rPr>
      </w:pPr>
    </w:p>
    <w:p>
      <w:pPr>
        <w:jc w:val="center"/>
        <w:rPr>
          <w:color w:val="000000" w:themeColor="text1"/>
          <w:sz w:val="72"/>
          <w:szCs w:val="72"/>
        </w:rPr>
      </w:pPr>
    </w:p>
    <w:p>
      <w:pPr>
        <w:jc w:val="center"/>
        <w:rPr>
          <w:color w:val="000000" w:themeColor="text1"/>
          <w:sz w:val="72"/>
          <w:szCs w:val="72"/>
        </w:rPr>
      </w:pPr>
    </w:p>
    <w:p>
      <w:pPr>
        <w:jc w:val="left"/>
        <w:rPr>
          <w:rFonts w:ascii="宋体" w:hAnsi="宋体"/>
          <w:color w:val="000000" w:themeColor="text1"/>
          <w:sz w:val="32"/>
          <w:szCs w:val="32"/>
        </w:rPr>
        <w:sectPr>
          <w:pgSz w:w="11906" w:h="16838"/>
          <w:pgMar w:top="1440" w:right="1800" w:bottom="1318" w:left="1800" w:header="851" w:footer="992" w:gutter="0"/>
          <w:cols w:space="720" w:num="1"/>
          <w:docGrid w:type="lines" w:linePitch="312" w:charSpace="0"/>
        </w:sectPr>
      </w:pPr>
    </w:p>
    <w:p>
      <w:pPr>
        <w:pStyle w:val="5"/>
        <w:jc w:val="center"/>
        <w:rPr>
          <w:color w:val="000000" w:themeColor="text1"/>
          <w:sz w:val="72"/>
          <w:szCs w:val="72"/>
        </w:rPr>
      </w:pPr>
    </w:p>
    <w:p>
      <w:pPr>
        <w:pStyle w:val="5"/>
        <w:jc w:val="center"/>
        <w:rPr>
          <w:color w:val="000000" w:themeColor="text1"/>
          <w:sz w:val="72"/>
          <w:szCs w:val="72"/>
        </w:rPr>
      </w:pPr>
    </w:p>
    <w:p>
      <w:pPr>
        <w:pStyle w:val="5"/>
        <w:jc w:val="center"/>
        <w:rPr>
          <w:color w:val="000000" w:themeColor="text1"/>
          <w:sz w:val="72"/>
          <w:szCs w:val="72"/>
        </w:rPr>
      </w:pPr>
    </w:p>
    <w:p>
      <w:pPr>
        <w:pStyle w:val="5"/>
        <w:jc w:val="center"/>
        <w:rPr>
          <w:color w:val="000000" w:themeColor="text1"/>
          <w:sz w:val="72"/>
          <w:szCs w:val="72"/>
        </w:rPr>
      </w:pPr>
      <w:r>
        <w:rPr>
          <w:rFonts w:hint="eastAsia"/>
          <w:color w:val="000000" w:themeColor="text1"/>
          <w:sz w:val="72"/>
          <w:szCs w:val="72"/>
        </w:rPr>
        <w:t>第三部分</w:t>
      </w:r>
    </w:p>
    <w:p>
      <w:pPr>
        <w:pStyle w:val="5"/>
        <w:jc w:val="center"/>
        <w:rPr>
          <w:color w:val="000000" w:themeColor="text1"/>
          <w:sz w:val="70"/>
          <w:szCs w:val="70"/>
        </w:rPr>
      </w:pPr>
    </w:p>
    <w:p>
      <w:pPr>
        <w:pStyle w:val="5"/>
        <w:jc w:val="center"/>
        <w:rPr>
          <w:color w:val="000000" w:themeColor="text1"/>
          <w:sz w:val="70"/>
          <w:szCs w:val="70"/>
        </w:rPr>
      </w:pPr>
      <w:r>
        <w:rPr>
          <w:color w:val="000000" w:themeColor="text1"/>
          <w:sz w:val="70"/>
          <w:szCs w:val="70"/>
        </w:rPr>
        <w:t>2019</w:t>
      </w:r>
      <w:r>
        <w:rPr>
          <w:rFonts w:hint="eastAsia"/>
          <w:color w:val="000000" w:themeColor="text1"/>
          <w:sz w:val="70"/>
          <w:szCs w:val="70"/>
        </w:rPr>
        <w:t>年度部门决算情况说明</w:t>
      </w:r>
    </w:p>
    <w:p>
      <w:pPr>
        <w:pStyle w:val="5"/>
        <w:jc w:val="center"/>
        <w:rPr>
          <w:color w:val="000000" w:themeColor="text1"/>
          <w:sz w:val="70"/>
          <w:szCs w:val="70"/>
        </w:rPr>
      </w:pPr>
    </w:p>
    <w:p>
      <w:pPr>
        <w:pStyle w:val="5"/>
        <w:jc w:val="center"/>
        <w:rPr>
          <w:color w:val="000000" w:themeColor="text1"/>
          <w:sz w:val="70"/>
          <w:szCs w:val="70"/>
        </w:rPr>
      </w:pPr>
    </w:p>
    <w:p>
      <w:pPr>
        <w:pStyle w:val="5"/>
        <w:jc w:val="center"/>
        <w:rPr>
          <w:color w:val="000000" w:themeColor="text1"/>
          <w:sz w:val="70"/>
          <w:szCs w:val="70"/>
        </w:rPr>
      </w:pPr>
    </w:p>
    <w:p>
      <w:pPr>
        <w:pStyle w:val="5"/>
        <w:jc w:val="center"/>
        <w:rPr>
          <w:color w:val="000000" w:themeColor="text1"/>
          <w:sz w:val="70"/>
          <w:szCs w:val="70"/>
        </w:rPr>
      </w:pPr>
    </w:p>
    <w:p>
      <w:pPr>
        <w:pStyle w:val="5"/>
        <w:jc w:val="center"/>
        <w:rPr>
          <w:color w:val="000000" w:themeColor="text1"/>
          <w:sz w:val="70"/>
          <w:szCs w:val="70"/>
        </w:rPr>
      </w:pPr>
    </w:p>
    <w:p>
      <w:pPr>
        <w:pStyle w:val="5"/>
        <w:jc w:val="center"/>
        <w:rPr>
          <w:color w:val="000000" w:themeColor="text1"/>
          <w:sz w:val="70"/>
          <w:szCs w:val="70"/>
        </w:rPr>
      </w:pPr>
    </w:p>
    <w:p>
      <w:pPr>
        <w:pStyle w:val="5"/>
        <w:jc w:val="center"/>
        <w:rPr>
          <w:color w:val="000000" w:themeColor="text1"/>
          <w:sz w:val="70"/>
          <w:szCs w:val="70"/>
        </w:rPr>
      </w:pPr>
    </w:p>
    <w:p>
      <w:pPr>
        <w:spacing w:line="580" w:lineRule="exact"/>
        <w:ind w:firstLine="643" w:firstLineChars="200"/>
        <w:rPr>
          <w:rFonts w:ascii="华文楷体" w:hAnsi="华文楷体" w:eastAsia="华文楷体" w:cs="华文楷体"/>
          <w:b/>
          <w:bCs/>
          <w:color w:val="000000" w:themeColor="text1"/>
          <w:sz w:val="32"/>
          <w:szCs w:val="32"/>
        </w:rPr>
      </w:pPr>
    </w:p>
    <w:p>
      <w:pPr>
        <w:spacing w:line="580" w:lineRule="exact"/>
        <w:ind w:firstLine="643" w:firstLineChars="200"/>
        <w:rPr>
          <w:rFonts w:ascii="华文楷体" w:hAnsi="华文楷体" w:eastAsia="华文楷体" w:cs="华文楷体"/>
          <w:b/>
          <w:bCs/>
          <w:color w:val="000000" w:themeColor="text1"/>
          <w:sz w:val="32"/>
          <w:szCs w:val="32"/>
        </w:rPr>
      </w:pPr>
      <w:r>
        <w:rPr>
          <w:rFonts w:hint="eastAsia" w:ascii="华文楷体" w:hAnsi="华文楷体" w:eastAsia="华文楷体" w:cs="华文楷体"/>
          <w:b/>
          <w:bCs/>
          <w:color w:val="000000" w:themeColor="text1"/>
          <w:sz w:val="32"/>
          <w:szCs w:val="32"/>
        </w:rPr>
        <w:t>一、收入支出决算总体情况说明 </w:t>
      </w:r>
    </w:p>
    <w:p>
      <w:pPr>
        <w:widowControl/>
        <w:spacing w:line="600" w:lineRule="exact"/>
        <w:ind w:firstLine="480"/>
        <w:jc w:val="left"/>
        <w:rPr>
          <w:rFonts w:ascii="仿宋_GB2312" w:hAnsi="宋体" w:eastAsia="仿宋_GB2312" w:cs="宋体"/>
          <w:color w:val="000000" w:themeColor="text1"/>
          <w:kern w:val="0"/>
          <w:sz w:val="32"/>
          <w:szCs w:val="32"/>
        </w:rPr>
      </w:pPr>
      <w:r>
        <w:rPr>
          <w:rFonts w:hint="eastAsia" w:ascii="仿宋_GB2312" w:hAnsi="宋体" w:eastAsia="仿宋_GB2312" w:cs="宋体"/>
          <w:color w:val="000000" w:themeColor="text1"/>
          <w:kern w:val="0"/>
          <w:sz w:val="32"/>
          <w:szCs w:val="32"/>
        </w:rPr>
        <w:t>2019年度收入总收入402.45万元，</w:t>
      </w:r>
      <w:r>
        <w:rPr>
          <w:rFonts w:hint="eastAsia" w:ascii="仿宋_GB2312" w:hAnsi="宋体" w:eastAsia="仿宋_GB2312" w:cs="宋体"/>
          <w:color w:val="000000" w:themeColor="text1"/>
          <w:kern w:val="0"/>
          <w:sz w:val="32"/>
          <w:szCs w:val="32"/>
          <w:lang w:val="en-US" w:eastAsia="zh-CN"/>
        </w:rPr>
        <w:t>与上年相比，财政收入减少20.78%，</w:t>
      </w:r>
      <w:r>
        <w:rPr>
          <w:rFonts w:hint="eastAsia" w:ascii="仿宋_GB2312" w:hAnsi="宋体" w:eastAsia="仿宋_GB2312" w:cs="宋体"/>
          <w:color w:val="000000" w:themeColor="text1"/>
          <w:kern w:val="0"/>
          <w:sz w:val="32"/>
          <w:szCs w:val="32"/>
        </w:rPr>
        <w:t>均为财政补助收入，其中上年结转0万元。支出总计402.45万元，</w:t>
      </w:r>
      <w:r>
        <w:rPr>
          <w:rFonts w:hint="eastAsia" w:ascii="仿宋_GB2312" w:hAnsi="宋体" w:eastAsia="仿宋_GB2312" w:cs="宋体"/>
          <w:color w:val="000000" w:themeColor="text1"/>
          <w:kern w:val="0"/>
          <w:sz w:val="32"/>
          <w:szCs w:val="32"/>
          <w:lang w:val="en-US" w:eastAsia="zh-CN"/>
        </w:rPr>
        <w:t>与上年相比，财政收入减少20.78%，</w:t>
      </w:r>
      <w:r>
        <w:rPr>
          <w:rFonts w:hint="eastAsia" w:ascii="仿宋_GB2312" w:hAnsi="宋体" w:eastAsia="仿宋_GB2312" w:cs="宋体"/>
          <w:color w:val="000000" w:themeColor="text1"/>
          <w:kern w:val="0"/>
          <w:sz w:val="32"/>
          <w:szCs w:val="32"/>
        </w:rPr>
        <w:t>基本支出309.62万元，项目支出14.33万元。</w:t>
      </w:r>
    </w:p>
    <w:p>
      <w:pPr>
        <w:spacing w:line="580" w:lineRule="exact"/>
        <w:ind w:firstLine="643" w:firstLineChars="200"/>
        <w:rPr>
          <w:rFonts w:ascii="华文楷体" w:hAnsi="华文楷体" w:eastAsia="华文楷体" w:cs="华文楷体"/>
          <w:b/>
          <w:bCs/>
          <w:color w:val="000000" w:themeColor="text1"/>
          <w:sz w:val="32"/>
          <w:szCs w:val="32"/>
        </w:rPr>
      </w:pPr>
      <w:r>
        <w:rPr>
          <w:rFonts w:hint="eastAsia" w:ascii="华文楷体" w:hAnsi="华文楷体" w:eastAsia="华文楷体" w:cs="华文楷体"/>
          <w:b/>
          <w:bCs/>
          <w:color w:val="000000" w:themeColor="text1"/>
          <w:sz w:val="32"/>
          <w:szCs w:val="32"/>
        </w:rPr>
        <w:t>二、收入决算情况说明 </w:t>
      </w:r>
    </w:p>
    <w:p>
      <w:pPr>
        <w:spacing w:line="580" w:lineRule="exact"/>
        <w:ind w:firstLine="640" w:firstLineChars="200"/>
        <w:rPr>
          <w:rFonts w:ascii="仿宋" w:hAnsi="仿宋" w:eastAsia="仿宋" w:cs="仿宋"/>
          <w:color w:val="000000" w:themeColor="text1"/>
          <w:sz w:val="32"/>
          <w:szCs w:val="32"/>
        </w:rPr>
      </w:pPr>
      <w:r>
        <w:rPr>
          <w:rFonts w:hint="eastAsia" w:ascii="仿宋" w:hAnsi="仿宋" w:eastAsia="仿宋" w:cs="仿宋"/>
          <w:color w:val="000000" w:themeColor="text1"/>
          <w:kern w:val="0"/>
          <w:sz w:val="32"/>
          <w:szCs w:val="32"/>
        </w:rPr>
        <w:t>2019年收入总计</w:t>
      </w:r>
      <w:r>
        <w:rPr>
          <w:rFonts w:hint="eastAsia" w:ascii="仿宋_GB2312" w:hAnsi="宋体" w:eastAsia="仿宋_GB2312" w:cs="宋体"/>
          <w:color w:val="000000" w:themeColor="text1"/>
          <w:kern w:val="0"/>
          <w:sz w:val="32"/>
          <w:szCs w:val="32"/>
        </w:rPr>
        <w:t>402.45</w:t>
      </w:r>
      <w:r>
        <w:rPr>
          <w:rFonts w:hint="eastAsia" w:ascii="仿宋" w:hAnsi="仿宋" w:eastAsia="仿宋" w:cs="仿宋"/>
          <w:color w:val="000000" w:themeColor="text1"/>
          <w:kern w:val="0"/>
          <w:sz w:val="32"/>
          <w:szCs w:val="32"/>
        </w:rPr>
        <w:t>万元,其中：一般公共预算拨款</w:t>
      </w:r>
      <w:r>
        <w:rPr>
          <w:rFonts w:hint="eastAsia" w:ascii="仿宋_GB2312" w:hAnsi="宋体" w:eastAsia="仿宋_GB2312" w:cs="宋体"/>
          <w:color w:val="000000" w:themeColor="text1"/>
          <w:kern w:val="0"/>
          <w:sz w:val="32"/>
          <w:szCs w:val="32"/>
        </w:rPr>
        <w:t>402.45</w:t>
      </w:r>
      <w:r>
        <w:rPr>
          <w:rFonts w:hint="eastAsia" w:ascii="仿宋" w:hAnsi="仿宋" w:eastAsia="仿宋" w:cs="仿宋"/>
          <w:color w:val="000000" w:themeColor="text1"/>
          <w:kern w:val="0"/>
          <w:sz w:val="32"/>
          <w:szCs w:val="32"/>
        </w:rPr>
        <w:t>万元，年初结转结余0万元。</w:t>
      </w:r>
    </w:p>
    <w:p>
      <w:pPr>
        <w:spacing w:line="580" w:lineRule="exact"/>
        <w:ind w:firstLine="643" w:firstLineChars="200"/>
        <w:rPr>
          <w:rFonts w:ascii="华文楷体" w:hAnsi="华文楷体" w:eastAsia="华文楷体" w:cs="华文楷体"/>
          <w:b/>
          <w:bCs/>
          <w:color w:val="000000" w:themeColor="text1"/>
          <w:sz w:val="32"/>
          <w:szCs w:val="32"/>
        </w:rPr>
      </w:pPr>
      <w:r>
        <w:rPr>
          <w:rFonts w:hint="eastAsia" w:ascii="华文楷体" w:hAnsi="华文楷体" w:eastAsia="华文楷体" w:cs="华文楷体"/>
          <w:b/>
          <w:bCs/>
          <w:color w:val="000000" w:themeColor="text1"/>
          <w:sz w:val="32"/>
          <w:szCs w:val="32"/>
        </w:rPr>
        <w:t>三、支出决算情况说明</w:t>
      </w:r>
    </w:p>
    <w:p>
      <w:pPr>
        <w:spacing w:line="580" w:lineRule="exact"/>
        <w:ind w:firstLine="640" w:firstLineChars="200"/>
        <w:rPr>
          <w:rFonts w:ascii="仿宋" w:hAnsi="仿宋" w:eastAsia="仿宋" w:cs="仿宋"/>
          <w:color w:val="000000" w:themeColor="text1"/>
          <w:sz w:val="32"/>
          <w:szCs w:val="32"/>
        </w:rPr>
      </w:pPr>
      <w:r>
        <w:rPr>
          <w:rFonts w:hint="eastAsia" w:ascii="仿宋" w:hAnsi="仿宋" w:eastAsia="仿宋" w:cs="仿宋"/>
          <w:color w:val="000000" w:themeColor="text1"/>
          <w:kern w:val="0"/>
          <w:sz w:val="32"/>
          <w:szCs w:val="32"/>
        </w:rPr>
        <w:t> 2019年年末决算支出总计</w:t>
      </w:r>
      <w:r>
        <w:rPr>
          <w:rFonts w:hint="eastAsia" w:ascii="仿宋_GB2312" w:hAnsi="宋体" w:eastAsia="仿宋_GB2312" w:cs="宋体"/>
          <w:color w:val="000000" w:themeColor="text1"/>
          <w:kern w:val="0"/>
          <w:sz w:val="32"/>
          <w:szCs w:val="32"/>
        </w:rPr>
        <w:t>402.45</w:t>
      </w:r>
      <w:r>
        <w:rPr>
          <w:rFonts w:hint="eastAsia" w:ascii="仿宋" w:hAnsi="仿宋" w:eastAsia="仿宋" w:cs="仿宋"/>
          <w:color w:val="000000" w:themeColor="text1"/>
          <w:kern w:val="0"/>
          <w:sz w:val="32"/>
          <w:szCs w:val="32"/>
        </w:rPr>
        <w:t>万元。其中：一般公共服务</w:t>
      </w:r>
      <w:r>
        <w:rPr>
          <w:rFonts w:hint="eastAsia" w:ascii="仿宋_GB2312" w:hAnsi="宋体" w:eastAsia="仿宋_GB2312" w:cs="宋体"/>
          <w:color w:val="000000" w:themeColor="text1"/>
          <w:kern w:val="0"/>
          <w:sz w:val="32"/>
          <w:szCs w:val="32"/>
        </w:rPr>
        <w:t>282.53</w:t>
      </w:r>
      <w:r>
        <w:rPr>
          <w:rFonts w:hint="eastAsia" w:ascii="仿宋" w:hAnsi="仿宋" w:eastAsia="仿宋" w:cs="仿宋"/>
          <w:color w:val="000000" w:themeColor="text1"/>
          <w:kern w:val="0"/>
          <w:sz w:val="32"/>
          <w:szCs w:val="32"/>
        </w:rPr>
        <w:t>万元，占比70.2 %；教育支出57.5万元，占比14.29 %。社会保障和就业支出40.15万元，占比9.98 %。卫生健康支出10.47</w:t>
      </w:r>
      <w:r>
        <w:rPr>
          <w:rFonts w:hint="eastAsia" w:ascii="仿宋" w:hAnsi="仿宋" w:eastAsia="仿宋" w:cs="仿宋"/>
          <w:color w:val="000000" w:themeColor="text1"/>
          <w:sz w:val="30"/>
          <w:szCs w:val="30"/>
        </w:rPr>
        <w:t>万元</w:t>
      </w:r>
      <w:r>
        <w:rPr>
          <w:rFonts w:hint="eastAsia" w:ascii="仿宋" w:hAnsi="仿宋" w:eastAsia="仿宋" w:cs="仿宋"/>
          <w:color w:val="000000" w:themeColor="text1"/>
          <w:kern w:val="0"/>
          <w:sz w:val="32"/>
          <w:szCs w:val="32"/>
        </w:rPr>
        <w:t>，占比2.6 % 。</w:t>
      </w:r>
      <w:r>
        <w:rPr>
          <w:rFonts w:hint="eastAsia" w:ascii="仿宋" w:hAnsi="仿宋" w:eastAsia="仿宋" w:cs="仿宋"/>
          <w:color w:val="000000" w:themeColor="text1"/>
          <w:sz w:val="30"/>
          <w:szCs w:val="30"/>
        </w:rPr>
        <w:t>住房保障支出11.8万元，</w:t>
      </w:r>
      <w:r>
        <w:rPr>
          <w:rFonts w:hint="eastAsia" w:ascii="仿宋" w:hAnsi="仿宋" w:eastAsia="仿宋" w:cs="仿宋"/>
          <w:color w:val="000000" w:themeColor="text1"/>
          <w:kern w:val="0"/>
          <w:sz w:val="32"/>
          <w:szCs w:val="32"/>
        </w:rPr>
        <w:t>占比2.93 %，年末结余0万元</w:t>
      </w:r>
      <w:r>
        <w:rPr>
          <w:rFonts w:hint="eastAsia" w:ascii="仿宋" w:hAnsi="仿宋" w:eastAsia="仿宋" w:cs="仿宋"/>
          <w:color w:val="000000" w:themeColor="text1"/>
          <w:sz w:val="32"/>
          <w:szCs w:val="32"/>
        </w:rPr>
        <w:t>。</w:t>
      </w:r>
    </w:p>
    <w:p>
      <w:pPr>
        <w:pStyle w:val="2"/>
        <w:shd w:val="clear" w:color="auto" w:fill="FFFFFF"/>
        <w:spacing w:before="0" w:beforeAutospacing="0" w:after="0" w:afterAutospacing="0" w:line="580" w:lineRule="exact"/>
        <w:ind w:firstLine="643" w:firstLineChars="200"/>
        <w:rPr>
          <w:rFonts w:ascii="华文楷体" w:hAnsi="华文楷体" w:eastAsia="华文楷体" w:cs="华文楷体"/>
          <w:b/>
          <w:bCs/>
          <w:color w:val="000000" w:themeColor="text1"/>
          <w:sz w:val="32"/>
          <w:szCs w:val="32"/>
        </w:rPr>
      </w:pPr>
      <w:r>
        <w:rPr>
          <w:rFonts w:hint="eastAsia" w:ascii="华文楷体" w:hAnsi="华文楷体" w:eastAsia="华文楷体" w:cs="华文楷体"/>
          <w:b/>
          <w:bCs/>
          <w:color w:val="000000" w:themeColor="text1"/>
          <w:sz w:val="32"/>
          <w:szCs w:val="32"/>
        </w:rPr>
        <w:t xml:space="preserve">四、财政拨款收入支出决算总体情况说明   </w:t>
      </w:r>
    </w:p>
    <w:p>
      <w:pPr>
        <w:spacing w:line="580" w:lineRule="exact"/>
        <w:ind w:firstLine="640" w:firstLineChars="200"/>
        <w:rPr>
          <w:rFonts w:ascii="仿宋" w:hAnsi="仿宋" w:eastAsia="仿宋" w:cs="仿宋"/>
          <w:color w:val="000000" w:themeColor="text1"/>
          <w:kern w:val="0"/>
          <w:sz w:val="32"/>
          <w:szCs w:val="32"/>
        </w:rPr>
      </w:pPr>
      <w:r>
        <w:rPr>
          <w:rFonts w:hint="eastAsia" w:ascii="仿宋" w:hAnsi="仿宋" w:eastAsia="仿宋" w:cs="仿宋"/>
          <w:color w:val="000000" w:themeColor="text1"/>
          <w:kern w:val="0"/>
          <w:sz w:val="32"/>
          <w:szCs w:val="32"/>
        </w:rPr>
        <w:t>2019年收入总计</w:t>
      </w:r>
      <w:r>
        <w:rPr>
          <w:rFonts w:hint="eastAsia" w:ascii="仿宋_GB2312" w:hAnsi="宋体" w:eastAsia="仿宋_GB2312" w:cs="宋体"/>
          <w:color w:val="000000" w:themeColor="text1"/>
          <w:kern w:val="0"/>
          <w:sz w:val="32"/>
          <w:szCs w:val="32"/>
        </w:rPr>
        <w:t>402.45</w:t>
      </w:r>
      <w:r>
        <w:rPr>
          <w:rFonts w:hint="eastAsia" w:ascii="仿宋" w:hAnsi="仿宋" w:eastAsia="仿宋" w:cs="仿宋"/>
          <w:color w:val="000000" w:themeColor="text1"/>
          <w:kern w:val="0"/>
          <w:sz w:val="32"/>
          <w:szCs w:val="32"/>
        </w:rPr>
        <w:t>万元，较2018年总收入决算508.04万元减少了105.59万元，主要是上级一般公共预算财政拨款收入增加。</w:t>
      </w:r>
    </w:p>
    <w:p>
      <w:pPr>
        <w:spacing w:line="580" w:lineRule="exact"/>
        <w:ind w:firstLine="640" w:firstLineChars="200"/>
        <w:rPr>
          <w:rFonts w:ascii="仿宋" w:hAnsi="仿宋" w:eastAsia="仿宋" w:cs="仿宋"/>
          <w:color w:val="000000" w:themeColor="text1"/>
          <w:kern w:val="0"/>
          <w:sz w:val="32"/>
          <w:szCs w:val="32"/>
        </w:rPr>
      </w:pPr>
      <w:r>
        <w:rPr>
          <w:rFonts w:hint="eastAsia" w:ascii="仿宋" w:hAnsi="仿宋" w:eastAsia="仿宋" w:cs="仿宋"/>
          <w:color w:val="000000" w:themeColor="text1"/>
          <w:kern w:val="0"/>
          <w:sz w:val="32"/>
          <w:szCs w:val="32"/>
        </w:rPr>
        <w:t>2019年年末决算支出总计</w:t>
      </w:r>
      <w:r>
        <w:rPr>
          <w:rFonts w:hint="eastAsia" w:ascii="仿宋_GB2312" w:hAnsi="宋体" w:eastAsia="仿宋_GB2312" w:cs="宋体"/>
          <w:color w:val="000000" w:themeColor="text1"/>
          <w:kern w:val="0"/>
          <w:sz w:val="32"/>
          <w:szCs w:val="32"/>
        </w:rPr>
        <w:t>402.45</w:t>
      </w:r>
      <w:r>
        <w:rPr>
          <w:rFonts w:hint="eastAsia" w:ascii="仿宋" w:hAnsi="仿宋" w:eastAsia="仿宋" w:cs="仿宋"/>
          <w:color w:val="000000" w:themeColor="text1"/>
          <w:kern w:val="0"/>
          <w:sz w:val="32"/>
          <w:szCs w:val="32"/>
        </w:rPr>
        <w:t>万元，较2018年总支出年终决算数508.04万元减少了105.59万元，主要是上级部门对国、省、市保单位专项经费减少。</w:t>
      </w:r>
    </w:p>
    <w:p>
      <w:pPr>
        <w:spacing w:line="580" w:lineRule="exact"/>
        <w:ind w:firstLine="643" w:firstLineChars="200"/>
        <w:rPr>
          <w:rFonts w:ascii="华文楷体" w:hAnsi="华文楷体" w:eastAsia="华文楷体" w:cs="华文楷体"/>
          <w:b/>
          <w:bCs/>
          <w:color w:val="000000" w:themeColor="text1"/>
          <w:sz w:val="32"/>
          <w:szCs w:val="32"/>
        </w:rPr>
      </w:pPr>
      <w:r>
        <w:rPr>
          <w:rFonts w:hint="eastAsia" w:ascii="华文楷体" w:hAnsi="华文楷体" w:eastAsia="华文楷体" w:cs="华文楷体"/>
          <w:b/>
          <w:bCs/>
          <w:color w:val="000000" w:themeColor="text1"/>
          <w:sz w:val="32"/>
          <w:szCs w:val="32"/>
        </w:rPr>
        <w:t>五、一般公共预算财政拨款支出决算情况说明 </w:t>
      </w:r>
    </w:p>
    <w:p>
      <w:pPr>
        <w:spacing w:line="580" w:lineRule="exact"/>
        <w:ind w:firstLine="562" w:firstLineChars="200"/>
        <w:rPr>
          <w:rFonts w:ascii="仿宋" w:hAnsi="仿宋" w:eastAsia="仿宋" w:cs="仿宋"/>
          <w:b/>
          <w:bCs/>
          <w:color w:val="000000" w:themeColor="text1"/>
          <w:kern w:val="0"/>
          <w:sz w:val="28"/>
          <w:szCs w:val="28"/>
        </w:rPr>
      </w:pPr>
      <w:r>
        <w:rPr>
          <w:rFonts w:hint="eastAsia" w:ascii="仿宋" w:hAnsi="仿宋" w:eastAsia="仿宋" w:cs="仿宋"/>
          <w:b/>
          <w:bCs/>
          <w:color w:val="000000" w:themeColor="text1"/>
          <w:kern w:val="0"/>
          <w:sz w:val="28"/>
          <w:szCs w:val="28"/>
        </w:rPr>
        <w:t>（一）财政拨款支出决算总体情况。</w:t>
      </w:r>
    </w:p>
    <w:p>
      <w:pPr>
        <w:spacing w:line="580" w:lineRule="exact"/>
        <w:ind w:firstLine="640" w:firstLineChars="200"/>
        <w:rPr>
          <w:rFonts w:ascii="仿宋" w:hAnsi="仿宋" w:eastAsia="仿宋" w:cs="仿宋"/>
          <w:color w:val="000000" w:themeColor="text1"/>
          <w:kern w:val="0"/>
          <w:sz w:val="32"/>
          <w:szCs w:val="32"/>
        </w:rPr>
      </w:pPr>
      <w:r>
        <w:rPr>
          <w:rFonts w:hint="eastAsia" w:ascii="仿宋" w:hAnsi="仿宋" w:eastAsia="仿宋" w:cs="仿宋"/>
          <w:color w:val="000000" w:themeColor="text1"/>
          <w:kern w:val="0"/>
          <w:sz w:val="32"/>
          <w:szCs w:val="32"/>
        </w:rPr>
        <w:t>2019年年末决算支出总计</w:t>
      </w:r>
      <w:r>
        <w:rPr>
          <w:rFonts w:hint="eastAsia" w:ascii="仿宋_GB2312" w:hAnsi="宋体" w:eastAsia="仿宋_GB2312" w:cs="宋体"/>
          <w:color w:val="000000" w:themeColor="text1"/>
          <w:kern w:val="0"/>
          <w:sz w:val="32"/>
          <w:szCs w:val="32"/>
        </w:rPr>
        <w:t>402.45</w:t>
      </w:r>
      <w:r>
        <w:rPr>
          <w:rFonts w:hint="eastAsia" w:ascii="仿宋" w:hAnsi="仿宋" w:eastAsia="仿宋" w:cs="仿宋"/>
          <w:color w:val="000000" w:themeColor="text1"/>
          <w:kern w:val="0"/>
          <w:sz w:val="32"/>
          <w:szCs w:val="32"/>
        </w:rPr>
        <w:t>万元，较2018年总支出年终决算数508.04万元减少了105.59万元，主要是上级部门对国、省、市保单位专项经费减少了。</w:t>
      </w:r>
    </w:p>
    <w:p>
      <w:pPr>
        <w:spacing w:line="580" w:lineRule="exact"/>
        <w:ind w:firstLine="562" w:firstLineChars="200"/>
        <w:rPr>
          <w:rFonts w:ascii="仿宋" w:hAnsi="仿宋" w:eastAsia="仿宋" w:cs="仿宋"/>
          <w:b/>
          <w:bCs/>
          <w:color w:val="000000" w:themeColor="text1"/>
          <w:kern w:val="0"/>
          <w:sz w:val="28"/>
          <w:szCs w:val="28"/>
        </w:rPr>
      </w:pPr>
      <w:r>
        <w:rPr>
          <w:rFonts w:hint="eastAsia" w:ascii="仿宋" w:hAnsi="仿宋" w:eastAsia="仿宋" w:cs="仿宋"/>
          <w:b/>
          <w:bCs/>
          <w:color w:val="000000" w:themeColor="text1"/>
          <w:kern w:val="0"/>
          <w:sz w:val="28"/>
          <w:szCs w:val="28"/>
        </w:rPr>
        <w:t>（二）财政拨款支出决算结构情况。</w:t>
      </w:r>
    </w:p>
    <w:p>
      <w:pPr>
        <w:spacing w:line="580" w:lineRule="exact"/>
        <w:ind w:firstLine="640" w:firstLineChars="200"/>
        <w:rPr>
          <w:rFonts w:ascii="仿宋" w:hAnsi="仿宋" w:eastAsia="仿宋" w:cs="仿宋"/>
          <w:color w:val="000000" w:themeColor="text1"/>
          <w:kern w:val="0"/>
          <w:sz w:val="32"/>
          <w:szCs w:val="32"/>
        </w:rPr>
      </w:pPr>
      <w:r>
        <w:rPr>
          <w:rFonts w:hint="eastAsia" w:ascii="仿宋" w:hAnsi="仿宋" w:eastAsia="仿宋" w:cs="仿宋"/>
          <w:color w:val="000000" w:themeColor="text1"/>
          <w:kern w:val="0"/>
          <w:sz w:val="32"/>
          <w:szCs w:val="32"/>
        </w:rPr>
        <w:t>全年财政拨款支出</w:t>
      </w:r>
      <w:r>
        <w:rPr>
          <w:rFonts w:hint="eastAsia" w:ascii="仿宋_GB2312" w:hAnsi="宋体" w:eastAsia="仿宋_GB2312" w:cs="宋体"/>
          <w:color w:val="000000" w:themeColor="text1"/>
          <w:kern w:val="0"/>
          <w:sz w:val="32"/>
          <w:szCs w:val="32"/>
        </w:rPr>
        <w:t>402.45</w:t>
      </w:r>
      <w:r>
        <w:rPr>
          <w:rFonts w:hint="eastAsia" w:ascii="仿宋" w:hAnsi="仿宋" w:eastAsia="仿宋" w:cs="仿宋"/>
          <w:color w:val="000000" w:themeColor="text1"/>
          <w:kern w:val="0"/>
          <w:sz w:val="32"/>
          <w:szCs w:val="32"/>
        </w:rPr>
        <w:t>万元，按功能分类分：一般公共服务支出282.53万元，占比70.2 %，</w:t>
      </w:r>
      <w:r>
        <w:rPr>
          <w:rFonts w:hint="eastAsia" w:ascii="仿宋" w:hAnsi="仿宋" w:eastAsia="仿宋" w:cs="仿宋"/>
          <w:color w:val="000000" w:themeColor="text1"/>
          <w:sz w:val="30"/>
          <w:szCs w:val="30"/>
        </w:rPr>
        <w:t>与上年度增加了</w:t>
      </w:r>
      <w:r>
        <w:rPr>
          <w:rFonts w:hint="eastAsia" w:ascii="仿宋" w:hAnsi="仿宋" w:eastAsia="仿宋" w:cs="仿宋"/>
          <w:color w:val="000000" w:themeColor="text1"/>
          <w:kern w:val="0"/>
          <w:sz w:val="32"/>
          <w:szCs w:val="32"/>
        </w:rPr>
        <w:t>41.2</w:t>
      </w:r>
      <w:r>
        <w:rPr>
          <w:rFonts w:hint="eastAsia" w:ascii="仿宋" w:hAnsi="仿宋" w:eastAsia="仿宋" w:cs="仿宋"/>
          <w:color w:val="000000" w:themeColor="text1"/>
          <w:sz w:val="30"/>
          <w:szCs w:val="30"/>
        </w:rPr>
        <w:t>万元</w:t>
      </w:r>
      <w:r>
        <w:rPr>
          <w:rFonts w:hint="eastAsia" w:ascii="仿宋" w:hAnsi="仿宋" w:eastAsia="仿宋" w:cs="仿宋"/>
          <w:color w:val="000000" w:themeColor="text1"/>
          <w:kern w:val="0"/>
          <w:sz w:val="32"/>
          <w:szCs w:val="32"/>
        </w:rPr>
        <w:t>；教育支出57.5万元，占比14.29 %，</w:t>
      </w:r>
      <w:r>
        <w:rPr>
          <w:rFonts w:hint="eastAsia" w:ascii="仿宋" w:hAnsi="仿宋" w:eastAsia="仿宋" w:cs="仿宋"/>
          <w:color w:val="000000" w:themeColor="text1"/>
          <w:sz w:val="30"/>
          <w:szCs w:val="30"/>
        </w:rPr>
        <w:t>与上年度减少了</w:t>
      </w:r>
      <w:r>
        <w:rPr>
          <w:rFonts w:hint="eastAsia" w:ascii="仿宋" w:hAnsi="仿宋" w:eastAsia="仿宋" w:cs="仿宋"/>
          <w:color w:val="000000" w:themeColor="text1"/>
          <w:kern w:val="0"/>
          <w:sz w:val="32"/>
          <w:szCs w:val="32"/>
        </w:rPr>
        <w:t>136.8</w:t>
      </w:r>
      <w:r>
        <w:rPr>
          <w:rFonts w:hint="eastAsia" w:ascii="仿宋" w:hAnsi="仿宋" w:eastAsia="仿宋" w:cs="仿宋"/>
          <w:color w:val="000000" w:themeColor="text1"/>
          <w:sz w:val="30"/>
          <w:szCs w:val="30"/>
        </w:rPr>
        <w:t>万元</w:t>
      </w:r>
      <w:r>
        <w:rPr>
          <w:rFonts w:hint="eastAsia" w:ascii="仿宋" w:hAnsi="仿宋" w:eastAsia="仿宋" w:cs="仿宋"/>
          <w:color w:val="000000" w:themeColor="text1"/>
          <w:kern w:val="0"/>
          <w:sz w:val="32"/>
          <w:szCs w:val="32"/>
        </w:rPr>
        <w:t>；社会保障和就业支出40.15万元，占比9.98 %，</w:t>
      </w:r>
      <w:r>
        <w:rPr>
          <w:rFonts w:hint="eastAsia" w:ascii="仿宋" w:hAnsi="仿宋" w:eastAsia="仿宋" w:cs="仿宋"/>
          <w:color w:val="000000" w:themeColor="text1"/>
          <w:sz w:val="30"/>
          <w:szCs w:val="30"/>
        </w:rPr>
        <w:t>与上年度减少了</w:t>
      </w:r>
      <w:r>
        <w:rPr>
          <w:rFonts w:hint="eastAsia" w:ascii="仿宋" w:hAnsi="仿宋" w:eastAsia="仿宋" w:cs="仿宋"/>
          <w:color w:val="000000" w:themeColor="text1"/>
          <w:kern w:val="0"/>
          <w:sz w:val="32"/>
          <w:szCs w:val="32"/>
        </w:rPr>
        <w:t>10.04</w:t>
      </w:r>
      <w:r>
        <w:rPr>
          <w:rFonts w:hint="eastAsia" w:ascii="仿宋" w:hAnsi="仿宋" w:eastAsia="仿宋" w:cs="仿宋"/>
          <w:color w:val="000000" w:themeColor="text1"/>
          <w:sz w:val="30"/>
          <w:szCs w:val="30"/>
        </w:rPr>
        <w:t>万元</w:t>
      </w:r>
      <w:r>
        <w:rPr>
          <w:rFonts w:hint="eastAsia" w:ascii="仿宋" w:hAnsi="仿宋" w:eastAsia="仿宋" w:cs="仿宋"/>
          <w:color w:val="000000" w:themeColor="text1"/>
          <w:kern w:val="0"/>
          <w:sz w:val="32"/>
          <w:szCs w:val="32"/>
        </w:rPr>
        <w:t>；医疗卫生与计划生育支出10.47万元，占比2.6 %，</w:t>
      </w:r>
      <w:r>
        <w:rPr>
          <w:rFonts w:hint="eastAsia" w:ascii="仿宋" w:hAnsi="仿宋" w:eastAsia="仿宋" w:cs="仿宋"/>
          <w:color w:val="000000" w:themeColor="text1"/>
          <w:sz w:val="30"/>
          <w:szCs w:val="30"/>
        </w:rPr>
        <w:t>与上年度增加了0.64万元</w:t>
      </w:r>
      <w:r>
        <w:rPr>
          <w:rFonts w:hint="eastAsia" w:ascii="仿宋" w:hAnsi="仿宋" w:eastAsia="仿宋" w:cs="仿宋"/>
          <w:color w:val="000000" w:themeColor="text1"/>
          <w:kern w:val="0"/>
          <w:sz w:val="32"/>
          <w:szCs w:val="32"/>
        </w:rPr>
        <w:t>。</w:t>
      </w:r>
      <w:r>
        <w:rPr>
          <w:rFonts w:hint="eastAsia" w:ascii="仿宋" w:hAnsi="仿宋" w:eastAsia="仿宋" w:cs="仿宋"/>
          <w:color w:val="000000" w:themeColor="text1"/>
          <w:sz w:val="30"/>
          <w:szCs w:val="30"/>
        </w:rPr>
        <w:t>住房保障支出11.8万元，</w:t>
      </w:r>
      <w:r>
        <w:rPr>
          <w:rFonts w:hint="eastAsia" w:ascii="仿宋" w:hAnsi="仿宋" w:eastAsia="仿宋" w:cs="仿宋"/>
          <w:color w:val="000000" w:themeColor="text1"/>
          <w:kern w:val="0"/>
          <w:sz w:val="32"/>
          <w:szCs w:val="32"/>
        </w:rPr>
        <w:t>占比2.93%，</w:t>
      </w:r>
      <w:r>
        <w:rPr>
          <w:rFonts w:hint="eastAsia" w:ascii="仿宋" w:hAnsi="仿宋" w:eastAsia="仿宋" w:cs="仿宋"/>
          <w:color w:val="000000" w:themeColor="text1"/>
          <w:sz w:val="30"/>
          <w:szCs w:val="30"/>
        </w:rPr>
        <w:t>与上年度减少了0.59万元</w:t>
      </w:r>
      <w:r>
        <w:rPr>
          <w:rFonts w:hint="eastAsia" w:ascii="仿宋" w:hAnsi="仿宋" w:eastAsia="仿宋" w:cs="仿宋"/>
          <w:color w:val="000000" w:themeColor="text1"/>
          <w:kern w:val="0"/>
          <w:sz w:val="32"/>
          <w:szCs w:val="32"/>
        </w:rPr>
        <w:t>。</w:t>
      </w:r>
    </w:p>
    <w:p>
      <w:pPr>
        <w:spacing w:line="580" w:lineRule="exact"/>
        <w:ind w:firstLine="643" w:firstLineChars="200"/>
        <w:rPr>
          <w:rFonts w:ascii="华文楷体" w:hAnsi="华文楷体" w:eastAsia="华文楷体" w:cs="华文楷体"/>
          <w:b/>
          <w:bCs/>
          <w:color w:val="000000" w:themeColor="text1"/>
          <w:sz w:val="32"/>
          <w:szCs w:val="32"/>
        </w:rPr>
      </w:pPr>
      <w:r>
        <w:rPr>
          <w:rFonts w:hint="eastAsia" w:ascii="华文楷体" w:hAnsi="华文楷体" w:eastAsia="华文楷体" w:cs="华文楷体"/>
          <w:b/>
          <w:bCs/>
          <w:color w:val="000000" w:themeColor="text1"/>
          <w:sz w:val="32"/>
          <w:szCs w:val="32"/>
        </w:rPr>
        <w:t>六、一般公共预算财政拨款基本支出决算情况说明</w:t>
      </w:r>
    </w:p>
    <w:p>
      <w:pPr>
        <w:spacing w:line="580" w:lineRule="exact"/>
        <w:ind w:firstLine="640" w:firstLineChars="200"/>
        <w:rPr>
          <w:rFonts w:ascii="仿宋" w:hAnsi="仿宋" w:eastAsia="仿宋" w:cs="仿宋"/>
          <w:color w:val="000000" w:themeColor="text1"/>
          <w:kern w:val="0"/>
          <w:sz w:val="32"/>
          <w:szCs w:val="32"/>
        </w:rPr>
      </w:pPr>
      <w:r>
        <w:rPr>
          <w:rFonts w:hint="eastAsia" w:ascii="仿宋" w:hAnsi="仿宋" w:eastAsia="仿宋" w:cs="仿宋"/>
          <w:color w:val="000000" w:themeColor="text1"/>
          <w:kern w:val="0"/>
          <w:sz w:val="32"/>
          <w:szCs w:val="32"/>
        </w:rPr>
        <w:t> 2019年一般公共预算财政拨款基本支出决算</w:t>
      </w:r>
      <w:r>
        <w:rPr>
          <w:rFonts w:hint="eastAsia" w:ascii="仿宋_GB2312" w:hAnsi="宋体" w:eastAsia="仿宋_GB2312" w:cs="宋体"/>
          <w:color w:val="000000" w:themeColor="text1"/>
          <w:kern w:val="0"/>
          <w:sz w:val="32"/>
          <w:szCs w:val="32"/>
        </w:rPr>
        <w:t>323.95</w:t>
      </w:r>
      <w:r>
        <w:rPr>
          <w:rFonts w:hint="eastAsia" w:ascii="仿宋" w:hAnsi="仿宋" w:eastAsia="仿宋" w:cs="仿宋"/>
          <w:color w:val="000000" w:themeColor="text1"/>
          <w:kern w:val="0"/>
          <w:sz w:val="32"/>
          <w:szCs w:val="32"/>
        </w:rPr>
        <w:t>万元，占全年财政拨款支出比为80.49 %。其中：工资福利支出309.62万元，占比76.93 %；商品和服务支出14.33万元，占比23.07 %。基本支出是指为保障单位正常运转，完成日常工作任务而发生的各项支出，包括用于基本工资、津贴补贴等人员经费以及办公费、印刷费、物管费、水电费、公务接待费、会议费、职工培训费、办公设备购置、国、省保单位维修等日常公用经费。</w:t>
      </w:r>
    </w:p>
    <w:p>
      <w:pPr>
        <w:spacing w:line="580" w:lineRule="exact"/>
        <w:ind w:firstLine="643" w:firstLineChars="200"/>
        <w:rPr>
          <w:rFonts w:ascii="华文楷体" w:hAnsi="华文楷体" w:eastAsia="华文楷体" w:cs="华文楷体"/>
          <w:b/>
          <w:bCs/>
          <w:color w:val="000000" w:themeColor="text1"/>
          <w:sz w:val="32"/>
          <w:szCs w:val="32"/>
        </w:rPr>
      </w:pPr>
      <w:r>
        <w:rPr>
          <w:rFonts w:hint="eastAsia" w:ascii="华文楷体" w:hAnsi="华文楷体" w:eastAsia="华文楷体" w:cs="华文楷体"/>
          <w:b/>
          <w:bCs/>
          <w:color w:val="000000" w:themeColor="text1"/>
          <w:sz w:val="32"/>
          <w:szCs w:val="32"/>
        </w:rPr>
        <w:t>七、一般公共预算财政拨款“三公”经费支出情况决算情况说明 </w:t>
      </w:r>
    </w:p>
    <w:p>
      <w:pPr>
        <w:spacing w:line="580" w:lineRule="exact"/>
        <w:ind w:firstLine="640" w:firstLineChars="200"/>
        <w:rPr>
          <w:rFonts w:hint="eastAsia" w:ascii="仿宋" w:hAnsi="仿宋" w:eastAsia="仿宋" w:cs="仿宋"/>
          <w:color w:val="000000" w:themeColor="text1"/>
          <w:sz w:val="32"/>
          <w:szCs w:val="32"/>
        </w:rPr>
      </w:pPr>
      <w:r>
        <w:rPr>
          <w:rFonts w:hint="eastAsia" w:ascii="仿宋" w:hAnsi="仿宋" w:eastAsia="仿宋" w:cs="仿宋"/>
          <w:color w:val="000000" w:themeColor="text1"/>
          <w:sz w:val="32"/>
          <w:szCs w:val="32"/>
        </w:rPr>
        <w:t>2019年“三公”经费支出合计0.7万元，与2018年决算数3.51万元减少了2.81万元</w:t>
      </w:r>
      <w:r>
        <w:rPr>
          <w:rFonts w:hint="eastAsia" w:ascii="仿宋" w:hAnsi="仿宋" w:eastAsia="仿宋" w:cs="仿宋"/>
          <w:color w:val="000000" w:themeColor="text1"/>
          <w:kern w:val="0"/>
          <w:sz w:val="32"/>
          <w:szCs w:val="32"/>
        </w:rPr>
        <w:t>。</w:t>
      </w:r>
      <w:r>
        <w:rPr>
          <w:rFonts w:hint="eastAsia" w:ascii="仿宋" w:hAnsi="仿宋" w:eastAsia="仿宋" w:cs="仿宋"/>
          <w:color w:val="000000" w:themeColor="text1"/>
          <w:sz w:val="32"/>
          <w:szCs w:val="32"/>
        </w:rPr>
        <w:t>其中：公务用车运行及维护费0万元，公务接待费0.7万元，国内公务接待</w:t>
      </w:r>
      <w:r>
        <w:rPr>
          <w:rFonts w:hint="eastAsia" w:ascii="仿宋" w:hAnsi="仿宋" w:eastAsia="仿宋" w:cs="仿宋"/>
          <w:color w:val="000000" w:themeColor="text1"/>
          <w:sz w:val="32"/>
          <w:szCs w:val="32"/>
          <w:lang w:val="en-US" w:eastAsia="zh-CN"/>
        </w:rPr>
        <w:t>27</w:t>
      </w:r>
      <w:r>
        <w:rPr>
          <w:rFonts w:hint="eastAsia" w:ascii="仿宋" w:hAnsi="仿宋" w:eastAsia="仿宋" w:cs="仿宋"/>
          <w:color w:val="000000" w:themeColor="text1"/>
          <w:sz w:val="32"/>
          <w:szCs w:val="32"/>
        </w:rPr>
        <w:t>批，国内公务接待</w:t>
      </w:r>
      <w:r>
        <w:rPr>
          <w:rFonts w:hint="eastAsia" w:ascii="仿宋" w:hAnsi="仿宋" w:eastAsia="仿宋" w:cs="仿宋"/>
          <w:color w:val="000000" w:themeColor="text1"/>
          <w:sz w:val="32"/>
          <w:szCs w:val="32"/>
          <w:lang w:val="en-US" w:eastAsia="zh-CN"/>
        </w:rPr>
        <w:t>253</w:t>
      </w:r>
      <w:r>
        <w:rPr>
          <w:rFonts w:hint="eastAsia" w:ascii="仿宋" w:hAnsi="仿宋" w:eastAsia="仿宋" w:cs="仿宋"/>
          <w:color w:val="000000" w:themeColor="text1"/>
          <w:sz w:val="32"/>
          <w:szCs w:val="32"/>
        </w:rPr>
        <w:t>人。无因公出国出境开支，因取消公务用车</w:t>
      </w:r>
      <w:r>
        <w:rPr>
          <w:rFonts w:hint="eastAsia" w:ascii="仿宋" w:hAnsi="仿宋" w:eastAsia="仿宋" w:cs="仿宋"/>
          <w:color w:val="000000" w:themeColor="text1"/>
          <w:sz w:val="32"/>
          <w:szCs w:val="32"/>
          <w:lang w:eastAsia="zh-CN"/>
        </w:rPr>
        <w:t>，</w:t>
      </w:r>
      <w:r>
        <w:rPr>
          <w:rFonts w:hint="eastAsia" w:ascii="仿宋" w:hAnsi="仿宋" w:eastAsia="仿宋" w:cs="仿宋"/>
          <w:color w:val="000000" w:themeColor="text1"/>
          <w:sz w:val="32"/>
          <w:szCs w:val="32"/>
        </w:rPr>
        <w:t>至2019年12月31日，本单位公务用车保有量为0辆，当年新增公务用车为0辆。</w:t>
      </w:r>
    </w:p>
    <w:p>
      <w:pPr>
        <w:spacing w:line="580" w:lineRule="exact"/>
        <w:ind w:firstLine="643" w:firstLineChars="200"/>
        <w:rPr>
          <w:rFonts w:ascii="华文楷体" w:hAnsi="华文楷体" w:eastAsia="华文楷体" w:cs="华文楷体"/>
          <w:b/>
          <w:bCs/>
          <w:color w:val="000000" w:themeColor="text1"/>
          <w:sz w:val="32"/>
          <w:szCs w:val="32"/>
        </w:rPr>
      </w:pPr>
      <w:r>
        <w:rPr>
          <w:rFonts w:hint="eastAsia" w:ascii="华文楷体" w:hAnsi="华文楷体" w:eastAsia="华文楷体" w:cs="华文楷体"/>
          <w:b/>
          <w:bCs/>
          <w:color w:val="000000" w:themeColor="text1"/>
          <w:sz w:val="32"/>
          <w:szCs w:val="32"/>
        </w:rPr>
        <w:t>八、预算绩效情况说明 </w:t>
      </w:r>
    </w:p>
    <w:p>
      <w:pPr>
        <w:spacing w:line="580" w:lineRule="exact"/>
        <w:ind w:firstLine="640" w:firstLineChars="200"/>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根据《会计法》、《预算法》、《行政单位会计制度》等法律和财政部及省财政厅有关财务规章的规定，遵照县委、县政府两办印发的一系列管理办法，我局先后制定了一系列制度，制度明确了经费审批权限及程序，制度规定基本得到执行。严格预算绩效管理，加强单位内部控制建设，建立内控长效机制，严格财务管理，加强财务监督。进一步落实了厉行节约的各项规定，确保了“三公经费”管理使用合理合规。具体效益指标情况内容如下：</w:t>
      </w:r>
    </w:p>
    <w:p>
      <w:pPr>
        <w:spacing w:line="580" w:lineRule="exact"/>
        <w:ind w:firstLine="640" w:firstLineChars="200"/>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指标1（经济效益）：全面贯彻党的十九大和中央、省委、市委、县委经济工作会议精神，积极开源节流，控制运行成本，保障学校的正常运转，确保培训工作有序进行。</w:t>
      </w:r>
    </w:p>
    <w:p>
      <w:pPr>
        <w:spacing w:line="580" w:lineRule="exact"/>
        <w:ind w:firstLine="640" w:firstLineChars="200"/>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指标2（社会效益）：坚持党校姓党的基本原则，按照2019年10月《中国共产党党校（行政学院）工作条例》的实施意见，把握干部培训工作的根本任务、根本要求、根本原则，开创新时代党校工作的新局面，推动衡南经济社会蓬勃发展。</w:t>
      </w:r>
    </w:p>
    <w:p>
      <w:pPr>
        <w:spacing w:line="580" w:lineRule="exact"/>
        <w:ind w:firstLine="640" w:firstLineChars="200"/>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指标3（社会公众或服务对象满意度）：97%</w:t>
      </w:r>
    </w:p>
    <w:p>
      <w:pPr>
        <w:pStyle w:val="2"/>
        <w:numPr>
          <w:ilvl w:val="0"/>
          <w:numId w:val="3"/>
        </w:numPr>
        <w:shd w:val="clear" w:color="auto" w:fill="FFFFFF"/>
        <w:spacing w:before="0" w:beforeAutospacing="0" w:after="0" w:afterAutospacing="0" w:line="580" w:lineRule="exact"/>
        <w:rPr>
          <w:rFonts w:ascii="华文楷体" w:hAnsi="华文楷体" w:eastAsia="华文楷体" w:cs="华文楷体"/>
          <w:b/>
          <w:bCs/>
          <w:color w:val="000000" w:themeColor="text1"/>
          <w:sz w:val="32"/>
          <w:szCs w:val="32"/>
        </w:rPr>
      </w:pPr>
      <w:r>
        <w:rPr>
          <w:rFonts w:hint="eastAsia" w:ascii="华文楷体" w:hAnsi="华文楷体" w:eastAsia="华文楷体" w:cs="华文楷体"/>
          <w:b/>
          <w:bCs/>
          <w:color w:val="000000" w:themeColor="text1"/>
          <w:sz w:val="32"/>
          <w:szCs w:val="32"/>
        </w:rPr>
        <w:t xml:space="preserve">其他重要事项的情况说明   </w:t>
      </w:r>
    </w:p>
    <w:p>
      <w:pPr>
        <w:numPr>
          <w:ilvl w:val="0"/>
          <w:numId w:val="4"/>
        </w:numPr>
        <w:spacing w:line="580" w:lineRule="exact"/>
        <w:ind w:firstLine="643" w:firstLineChars="200"/>
        <w:rPr>
          <w:rFonts w:hint="eastAsia" w:ascii="仿宋" w:hAnsi="仿宋" w:eastAsia="仿宋" w:cs="仿宋"/>
          <w:color w:val="000000" w:themeColor="text1"/>
          <w:kern w:val="0"/>
          <w:sz w:val="32"/>
          <w:szCs w:val="32"/>
        </w:rPr>
      </w:pPr>
      <w:r>
        <w:rPr>
          <w:rFonts w:hint="eastAsia" w:ascii="仿宋" w:hAnsi="仿宋" w:eastAsia="仿宋" w:cs="仿宋"/>
          <w:b/>
          <w:color w:val="000000" w:themeColor="text1"/>
          <w:sz w:val="32"/>
          <w:szCs w:val="32"/>
        </w:rPr>
        <w:t>机关运行经费：</w:t>
      </w:r>
      <w:r>
        <w:rPr>
          <w:rFonts w:hint="eastAsia" w:ascii="仿宋" w:hAnsi="仿宋" w:eastAsia="仿宋" w:cs="仿宋"/>
          <w:color w:val="000000" w:themeColor="text1"/>
          <w:sz w:val="32"/>
          <w:szCs w:val="32"/>
        </w:rPr>
        <w:t>2019年中国共产党衡南县委员会党校的机关运行经费当年一般公共预算拨款</w:t>
      </w:r>
      <w:r>
        <w:rPr>
          <w:rFonts w:hint="eastAsia" w:ascii="仿宋_GB2312" w:hAnsi="宋体" w:eastAsia="仿宋_GB2312" w:cs="宋体"/>
          <w:color w:val="000000" w:themeColor="text1"/>
          <w:kern w:val="0"/>
          <w:sz w:val="32"/>
          <w:szCs w:val="32"/>
        </w:rPr>
        <w:t>323.95</w:t>
      </w:r>
      <w:r>
        <w:rPr>
          <w:rFonts w:hint="eastAsia" w:ascii="仿宋" w:hAnsi="仿宋" w:eastAsia="仿宋" w:cs="仿宋"/>
          <w:color w:val="000000" w:themeColor="text1"/>
          <w:sz w:val="32"/>
          <w:szCs w:val="32"/>
        </w:rPr>
        <w:t>万元，比2018年预算</w:t>
      </w:r>
      <w:r>
        <w:rPr>
          <w:rFonts w:hint="eastAsia" w:ascii="仿宋" w:hAnsi="仿宋" w:eastAsia="仿宋" w:cs="仿宋"/>
          <w:color w:val="000000" w:themeColor="text1"/>
          <w:kern w:val="0"/>
          <w:sz w:val="32"/>
          <w:szCs w:val="32"/>
        </w:rPr>
        <w:t>417.5万元减少了93.55万元</w:t>
      </w:r>
      <w:r>
        <w:rPr>
          <w:rFonts w:hint="eastAsia" w:ascii="仿宋" w:hAnsi="仿宋" w:eastAsia="仿宋" w:cs="仿宋"/>
          <w:color w:val="000000" w:themeColor="text1"/>
          <w:sz w:val="32"/>
          <w:szCs w:val="32"/>
        </w:rPr>
        <w:t>，</w:t>
      </w:r>
      <w:r>
        <w:rPr>
          <w:rFonts w:hint="eastAsia" w:ascii="仿宋" w:hAnsi="仿宋" w:eastAsia="仿宋" w:cs="仿宋"/>
          <w:color w:val="000000" w:themeColor="text1"/>
          <w:kern w:val="0"/>
          <w:sz w:val="32"/>
          <w:szCs w:val="32"/>
        </w:rPr>
        <w:t>主要是因为上级部门对国、省、市保单位运转经费减少。</w:t>
      </w:r>
    </w:p>
    <w:p>
      <w:pPr>
        <w:numPr>
          <w:numId w:val="0"/>
        </w:numPr>
        <w:spacing w:line="580" w:lineRule="exact"/>
        <w:rPr>
          <w:rFonts w:hint="eastAsia" w:ascii="仿宋" w:hAnsi="仿宋" w:eastAsia="仿宋" w:cs="仿宋"/>
          <w:color w:val="000000" w:themeColor="text1"/>
          <w:kern w:val="0"/>
          <w:sz w:val="32"/>
          <w:szCs w:val="32"/>
        </w:rPr>
      </w:pPr>
      <w:r>
        <w:rPr>
          <w:rFonts w:hint="eastAsia" w:ascii="仿宋" w:hAnsi="仿宋" w:eastAsia="仿宋" w:cs="仿宋"/>
          <w:color w:val="000000" w:themeColor="text1"/>
          <w:kern w:val="0"/>
          <w:sz w:val="32"/>
          <w:szCs w:val="32"/>
        </w:rPr>
        <w:t>（二）一般性支出情况</w:t>
      </w:r>
    </w:p>
    <w:p>
      <w:pPr>
        <w:numPr>
          <w:numId w:val="0"/>
        </w:numPr>
        <w:spacing w:line="580" w:lineRule="exact"/>
        <w:rPr>
          <w:rFonts w:hint="eastAsia" w:ascii="仿宋" w:hAnsi="仿宋" w:eastAsia="仿宋" w:cs="仿宋"/>
          <w:color w:val="000000" w:themeColor="text1"/>
          <w:kern w:val="0"/>
          <w:sz w:val="32"/>
          <w:szCs w:val="32"/>
        </w:rPr>
      </w:pPr>
      <w:r>
        <w:rPr>
          <w:rFonts w:hint="eastAsia" w:ascii="仿宋" w:hAnsi="仿宋" w:eastAsia="仿宋" w:cs="仿宋"/>
          <w:color w:val="000000" w:themeColor="text1"/>
          <w:kern w:val="0"/>
          <w:sz w:val="32"/>
          <w:szCs w:val="32"/>
        </w:rPr>
        <w:t>2019年本部门发生人员经费</w:t>
      </w:r>
      <w:r>
        <w:rPr>
          <w:rFonts w:hint="eastAsia" w:ascii="仿宋" w:hAnsi="仿宋" w:eastAsia="仿宋" w:cs="仿宋"/>
          <w:color w:val="000000" w:themeColor="text1"/>
          <w:kern w:val="0"/>
          <w:sz w:val="32"/>
          <w:szCs w:val="32"/>
          <w:lang w:val="en-US" w:eastAsia="zh-CN"/>
        </w:rPr>
        <w:t>309.6</w:t>
      </w:r>
      <w:r>
        <w:rPr>
          <w:rFonts w:hint="eastAsia" w:ascii="仿宋" w:hAnsi="仿宋" w:eastAsia="仿宋" w:cs="仿宋"/>
          <w:color w:val="000000" w:themeColor="text1"/>
          <w:kern w:val="0"/>
          <w:sz w:val="32"/>
          <w:szCs w:val="32"/>
        </w:rPr>
        <w:t>万元，发生商品和服务支出</w:t>
      </w:r>
      <w:r>
        <w:rPr>
          <w:rFonts w:hint="eastAsia" w:ascii="仿宋" w:hAnsi="仿宋" w:eastAsia="仿宋" w:cs="仿宋"/>
          <w:color w:val="000000" w:themeColor="text1"/>
          <w:kern w:val="0"/>
          <w:sz w:val="32"/>
          <w:szCs w:val="32"/>
          <w:lang w:val="en-US" w:eastAsia="zh-CN"/>
        </w:rPr>
        <w:t>14.32</w:t>
      </w:r>
      <w:r>
        <w:rPr>
          <w:rFonts w:hint="eastAsia" w:ascii="仿宋" w:hAnsi="仿宋" w:eastAsia="仿宋" w:cs="仿宋"/>
          <w:color w:val="000000" w:themeColor="text1"/>
          <w:kern w:val="0"/>
          <w:sz w:val="32"/>
          <w:szCs w:val="32"/>
        </w:rPr>
        <w:t>万元。其中大部分经费用于日常人员经费开支，由于单位严控支出，其它支出金额较少。</w:t>
      </w:r>
    </w:p>
    <w:p>
      <w:pPr>
        <w:spacing w:line="580" w:lineRule="exact"/>
        <w:ind w:firstLine="643" w:firstLineChars="200"/>
        <w:rPr>
          <w:rFonts w:hint="eastAsia" w:ascii="仿宋" w:hAnsi="仿宋" w:eastAsia="仿宋" w:cs="仿宋"/>
          <w:color w:val="000000" w:themeColor="text1"/>
          <w:kern w:val="0"/>
          <w:sz w:val="32"/>
          <w:szCs w:val="32"/>
        </w:rPr>
      </w:pPr>
      <w:r>
        <w:rPr>
          <w:rFonts w:hint="eastAsia" w:ascii="仿宋" w:hAnsi="仿宋" w:eastAsia="仿宋" w:cs="仿宋"/>
          <w:b/>
          <w:color w:val="000000" w:themeColor="text1"/>
          <w:sz w:val="32"/>
          <w:szCs w:val="32"/>
        </w:rPr>
        <w:t>（</w:t>
      </w:r>
      <w:r>
        <w:rPr>
          <w:rFonts w:hint="eastAsia" w:ascii="仿宋" w:hAnsi="仿宋" w:eastAsia="仿宋" w:cs="仿宋"/>
          <w:b/>
          <w:color w:val="000000" w:themeColor="text1"/>
          <w:sz w:val="32"/>
          <w:szCs w:val="32"/>
          <w:lang w:val="en-US" w:eastAsia="zh-CN"/>
        </w:rPr>
        <w:t>三</w:t>
      </w:r>
      <w:r>
        <w:rPr>
          <w:rFonts w:hint="eastAsia" w:ascii="仿宋" w:hAnsi="仿宋" w:eastAsia="仿宋" w:cs="仿宋"/>
          <w:b/>
          <w:color w:val="000000" w:themeColor="text1"/>
          <w:sz w:val="32"/>
          <w:szCs w:val="32"/>
        </w:rPr>
        <w:t>）政府采购情况：</w:t>
      </w:r>
      <w:r>
        <w:rPr>
          <w:rFonts w:hint="eastAsia" w:ascii="仿宋" w:hAnsi="仿宋" w:eastAsia="仿宋" w:cs="仿宋"/>
          <w:color w:val="000000" w:themeColor="text1"/>
          <w:kern w:val="0"/>
          <w:sz w:val="32"/>
          <w:szCs w:val="32"/>
        </w:rPr>
        <w:t>政府采购支出的主要内容是业务活动中，必要的商品及服务采购支出。20</w:t>
      </w:r>
      <w:bookmarkStart w:id="1" w:name="_GoBack"/>
      <w:bookmarkEnd w:id="1"/>
      <w:r>
        <w:rPr>
          <w:rFonts w:hint="eastAsia" w:ascii="仿宋" w:hAnsi="仿宋" w:eastAsia="仿宋" w:cs="仿宋"/>
          <w:color w:val="000000" w:themeColor="text1"/>
          <w:kern w:val="0"/>
          <w:sz w:val="32"/>
          <w:szCs w:val="32"/>
        </w:rPr>
        <w:t>19年度政府采购支出为本年度新增的固定资产32142元。</w:t>
      </w:r>
    </w:p>
    <w:p>
      <w:pPr>
        <w:widowControl/>
        <w:shd w:val="clear" w:color="auto" w:fill="FFFFFF"/>
        <w:spacing w:line="580" w:lineRule="exact"/>
        <w:ind w:firstLine="643" w:firstLineChars="200"/>
        <w:jc w:val="left"/>
        <w:rPr>
          <w:rFonts w:hint="eastAsia" w:ascii="仿宋" w:hAnsi="仿宋" w:eastAsia="仿宋" w:cs="仿宋"/>
          <w:color w:val="000000" w:themeColor="text1"/>
          <w:kern w:val="0"/>
          <w:sz w:val="32"/>
          <w:szCs w:val="32"/>
        </w:rPr>
      </w:pPr>
      <w:r>
        <w:rPr>
          <w:rFonts w:hint="eastAsia" w:ascii="仿宋" w:hAnsi="仿宋" w:eastAsia="仿宋" w:cs="仿宋"/>
          <w:b/>
          <w:color w:val="000000" w:themeColor="text1"/>
          <w:sz w:val="32"/>
          <w:szCs w:val="32"/>
        </w:rPr>
        <w:t>（</w:t>
      </w:r>
      <w:r>
        <w:rPr>
          <w:rFonts w:hint="eastAsia" w:ascii="仿宋" w:hAnsi="仿宋" w:eastAsia="仿宋" w:cs="仿宋"/>
          <w:b/>
          <w:color w:val="000000" w:themeColor="text1"/>
          <w:sz w:val="32"/>
          <w:szCs w:val="32"/>
          <w:lang w:val="en-US" w:eastAsia="zh-CN"/>
        </w:rPr>
        <w:t>四</w:t>
      </w:r>
      <w:r>
        <w:rPr>
          <w:rFonts w:hint="eastAsia" w:ascii="仿宋" w:hAnsi="仿宋" w:eastAsia="仿宋" w:cs="仿宋"/>
          <w:b/>
          <w:color w:val="000000" w:themeColor="text1"/>
          <w:sz w:val="32"/>
          <w:szCs w:val="32"/>
        </w:rPr>
        <w:t>）国有资产占用使用情况说明：</w:t>
      </w:r>
      <w:r>
        <w:rPr>
          <w:rFonts w:hint="eastAsia" w:ascii="仿宋" w:hAnsi="仿宋" w:eastAsia="仿宋" w:cs="仿宋"/>
          <w:color w:val="000000" w:themeColor="text1"/>
          <w:kern w:val="0"/>
          <w:sz w:val="32"/>
          <w:szCs w:val="32"/>
        </w:rPr>
        <w:t>截至2019年12月３1日，本单位占用固定资产704.395026万元，主要资产为房屋及构筑物、通用设备和家具、用具等。截至2019年12月31日，本单位共有车辆0辆，其中：特种专业技术用车0辆。单位价值50万元以上通用设备0台（套）；单位价值100万元以上专用设备0台（套）。</w:t>
      </w:r>
    </w:p>
    <w:p>
      <w:pPr>
        <w:pStyle w:val="2"/>
        <w:shd w:val="clear" w:color="auto" w:fill="FFFFFF"/>
        <w:spacing w:before="0" w:beforeAutospacing="0" w:after="0" w:afterAutospacing="0" w:line="580" w:lineRule="exact"/>
        <w:rPr>
          <w:b/>
          <w:bCs/>
          <w:color w:val="000000" w:themeColor="text1"/>
          <w:sz w:val="32"/>
          <w:szCs w:val="32"/>
        </w:rPr>
      </w:pPr>
    </w:p>
    <w:p>
      <w:pPr>
        <w:pStyle w:val="2"/>
        <w:shd w:val="clear" w:color="auto" w:fill="FFFFFF"/>
        <w:spacing w:before="0" w:beforeAutospacing="0" w:after="0" w:afterAutospacing="0" w:line="580" w:lineRule="exact"/>
        <w:rPr>
          <w:b/>
          <w:bCs/>
          <w:color w:val="000000" w:themeColor="text1"/>
          <w:sz w:val="32"/>
          <w:szCs w:val="32"/>
        </w:rPr>
      </w:pPr>
    </w:p>
    <w:p>
      <w:pPr>
        <w:pStyle w:val="2"/>
        <w:shd w:val="clear" w:color="auto" w:fill="FFFFFF"/>
        <w:spacing w:before="0" w:beforeAutospacing="0" w:after="0" w:afterAutospacing="0" w:line="580" w:lineRule="exact"/>
        <w:rPr>
          <w:b/>
          <w:bCs/>
          <w:color w:val="000000" w:themeColor="text1"/>
          <w:sz w:val="32"/>
          <w:szCs w:val="32"/>
        </w:rPr>
      </w:pPr>
    </w:p>
    <w:p>
      <w:pPr>
        <w:pStyle w:val="5"/>
        <w:jc w:val="center"/>
        <w:rPr>
          <w:color w:val="000000" w:themeColor="text1"/>
          <w:sz w:val="72"/>
          <w:szCs w:val="72"/>
        </w:rPr>
      </w:pPr>
    </w:p>
    <w:p>
      <w:pPr>
        <w:pStyle w:val="5"/>
        <w:jc w:val="center"/>
        <w:rPr>
          <w:color w:val="000000" w:themeColor="text1"/>
          <w:sz w:val="72"/>
          <w:szCs w:val="72"/>
        </w:rPr>
      </w:pPr>
    </w:p>
    <w:p>
      <w:pPr>
        <w:pStyle w:val="5"/>
        <w:jc w:val="center"/>
        <w:rPr>
          <w:color w:val="000000" w:themeColor="text1"/>
          <w:sz w:val="72"/>
          <w:szCs w:val="72"/>
        </w:rPr>
      </w:pPr>
    </w:p>
    <w:p>
      <w:pPr>
        <w:pStyle w:val="5"/>
        <w:jc w:val="center"/>
        <w:rPr>
          <w:rFonts w:hint="eastAsia"/>
          <w:color w:val="000000" w:themeColor="text1"/>
          <w:sz w:val="72"/>
          <w:szCs w:val="72"/>
        </w:rPr>
      </w:pPr>
    </w:p>
    <w:p>
      <w:pPr>
        <w:pStyle w:val="5"/>
        <w:jc w:val="center"/>
        <w:rPr>
          <w:rFonts w:hint="eastAsia"/>
          <w:color w:val="000000" w:themeColor="text1"/>
          <w:sz w:val="72"/>
          <w:szCs w:val="72"/>
        </w:rPr>
      </w:pPr>
    </w:p>
    <w:p>
      <w:pPr>
        <w:pStyle w:val="5"/>
        <w:jc w:val="center"/>
        <w:rPr>
          <w:rFonts w:hint="eastAsia"/>
          <w:color w:val="000000" w:themeColor="text1"/>
          <w:sz w:val="72"/>
          <w:szCs w:val="72"/>
        </w:rPr>
      </w:pPr>
    </w:p>
    <w:p>
      <w:pPr>
        <w:pStyle w:val="5"/>
        <w:jc w:val="center"/>
        <w:rPr>
          <w:rFonts w:hint="eastAsia"/>
          <w:color w:val="000000" w:themeColor="text1"/>
          <w:sz w:val="72"/>
          <w:szCs w:val="72"/>
        </w:rPr>
      </w:pPr>
    </w:p>
    <w:p>
      <w:pPr>
        <w:pStyle w:val="5"/>
        <w:jc w:val="center"/>
        <w:rPr>
          <w:rFonts w:hint="eastAsia"/>
          <w:color w:val="000000" w:themeColor="text1"/>
          <w:sz w:val="72"/>
          <w:szCs w:val="72"/>
        </w:rPr>
      </w:pPr>
    </w:p>
    <w:p>
      <w:pPr>
        <w:pStyle w:val="5"/>
        <w:jc w:val="center"/>
        <w:rPr>
          <w:color w:val="000000" w:themeColor="text1"/>
          <w:sz w:val="72"/>
          <w:szCs w:val="72"/>
        </w:rPr>
      </w:pPr>
    </w:p>
    <w:p>
      <w:pPr>
        <w:pStyle w:val="5"/>
        <w:jc w:val="center"/>
        <w:rPr>
          <w:color w:val="000000" w:themeColor="text1"/>
          <w:sz w:val="72"/>
          <w:szCs w:val="72"/>
        </w:rPr>
      </w:pPr>
      <w:r>
        <w:rPr>
          <w:rFonts w:hint="eastAsia"/>
          <w:color w:val="000000" w:themeColor="text1"/>
          <w:sz w:val="72"/>
          <w:szCs w:val="72"/>
        </w:rPr>
        <w:t>第四部分</w:t>
      </w:r>
    </w:p>
    <w:p>
      <w:pPr>
        <w:jc w:val="center"/>
        <w:rPr>
          <w:rFonts w:ascii="黑体" w:eastAsia="黑体" w:cs="黑体"/>
          <w:color w:val="000000" w:themeColor="text1"/>
          <w:kern w:val="0"/>
          <w:sz w:val="70"/>
          <w:szCs w:val="70"/>
        </w:rPr>
      </w:pPr>
    </w:p>
    <w:p>
      <w:pPr>
        <w:jc w:val="center"/>
        <w:rPr>
          <w:rFonts w:ascii="黑体" w:eastAsia="黑体" w:cs="黑体"/>
          <w:color w:val="000000" w:themeColor="text1"/>
          <w:kern w:val="0"/>
          <w:sz w:val="70"/>
          <w:szCs w:val="70"/>
        </w:rPr>
      </w:pPr>
      <w:r>
        <w:rPr>
          <w:rFonts w:hint="eastAsia" w:ascii="黑体" w:eastAsia="黑体" w:cs="黑体"/>
          <w:color w:val="000000" w:themeColor="text1"/>
          <w:kern w:val="0"/>
          <w:sz w:val="70"/>
          <w:szCs w:val="70"/>
        </w:rPr>
        <w:t>名词解释</w:t>
      </w:r>
    </w:p>
    <w:p>
      <w:pPr>
        <w:widowControl/>
        <w:jc w:val="left"/>
        <w:rPr>
          <w:rFonts w:ascii="黑体" w:eastAsia="黑体" w:cs="黑体"/>
          <w:color w:val="000000" w:themeColor="text1"/>
          <w:kern w:val="0"/>
          <w:sz w:val="70"/>
          <w:szCs w:val="70"/>
        </w:rPr>
      </w:pPr>
      <w:r>
        <w:rPr>
          <w:rFonts w:ascii="黑体" w:eastAsia="黑体" w:cs="黑体"/>
          <w:color w:val="000000" w:themeColor="text1"/>
          <w:kern w:val="0"/>
          <w:sz w:val="70"/>
          <w:szCs w:val="70"/>
        </w:rPr>
        <w:br w:type="page"/>
      </w:r>
    </w:p>
    <w:p>
      <w:pPr>
        <w:pStyle w:val="2"/>
        <w:shd w:val="clear" w:color="auto" w:fill="FFFFFF"/>
        <w:spacing w:before="0" w:beforeAutospacing="0" w:after="0" w:afterAutospacing="0" w:line="580" w:lineRule="exact"/>
        <w:ind w:firstLine="643" w:firstLineChars="200"/>
        <w:rPr>
          <w:rFonts w:ascii="仿宋" w:hAnsi="仿宋" w:eastAsia="仿宋" w:cs="仿宋"/>
          <w:color w:val="000000" w:themeColor="text1"/>
          <w:spacing w:val="-17"/>
          <w:sz w:val="32"/>
          <w:szCs w:val="32"/>
        </w:rPr>
      </w:pPr>
      <w:r>
        <w:rPr>
          <w:rFonts w:hint="eastAsia" w:ascii="仿宋" w:hAnsi="仿宋" w:eastAsia="仿宋" w:cs="仿宋"/>
          <w:b/>
          <w:bCs/>
          <w:color w:val="000000" w:themeColor="text1"/>
          <w:sz w:val="32"/>
          <w:szCs w:val="32"/>
        </w:rPr>
        <w:t>一、财政拨款收入：</w:t>
      </w:r>
      <w:r>
        <w:rPr>
          <w:rFonts w:hint="eastAsia" w:ascii="仿宋" w:hAnsi="仿宋" w:eastAsia="仿宋" w:cs="仿宋"/>
          <w:color w:val="000000" w:themeColor="text1"/>
          <w:spacing w:val="-17"/>
          <w:sz w:val="32"/>
          <w:szCs w:val="32"/>
        </w:rPr>
        <w:t>指财政部门核拨给单位的财政预算资金。 </w:t>
      </w:r>
    </w:p>
    <w:p>
      <w:pPr>
        <w:pStyle w:val="2"/>
        <w:shd w:val="clear" w:color="auto" w:fill="FFFFFF"/>
        <w:spacing w:before="0" w:beforeAutospacing="0" w:after="0" w:afterAutospacing="0" w:line="580" w:lineRule="exact"/>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　　</w:t>
      </w:r>
      <w:r>
        <w:rPr>
          <w:rFonts w:hint="eastAsia" w:ascii="仿宋" w:hAnsi="仿宋" w:eastAsia="仿宋" w:cs="仿宋"/>
          <w:b/>
          <w:bCs/>
          <w:color w:val="000000" w:themeColor="text1"/>
          <w:sz w:val="32"/>
          <w:szCs w:val="32"/>
        </w:rPr>
        <w:t>二、事业收入：</w:t>
      </w:r>
      <w:r>
        <w:rPr>
          <w:rFonts w:hint="eastAsia" w:ascii="仿宋" w:hAnsi="仿宋" w:eastAsia="仿宋" w:cs="仿宋"/>
          <w:color w:val="000000" w:themeColor="text1"/>
          <w:sz w:val="32"/>
          <w:szCs w:val="32"/>
        </w:rPr>
        <w:t>指事业单位开展专业业务活动及辅助活动所取得的收入。 </w:t>
      </w:r>
    </w:p>
    <w:p>
      <w:pPr>
        <w:pStyle w:val="2"/>
        <w:shd w:val="clear" w:color="auto" w:fill="FFFFFF"/>
        <w:spacing w:before="0" w:beforeAutospacing="0" w:after="0" w:afterAutospacing="0" w:line="580" w:lineRule="exact"/>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　　</w:t>
      </w:r>
      <w:r>
        <w:rPr>
          <w:rFonts w:hint="eastAsia" w:ascii="仿宋" w:hAnsi="仿宋" w:eastAsia="仿宋" w:cs="仿宋"/>
          <w:b/>
          <w:bCs/>
          <w:color w:val="000000" w:themeColor="text1"/>
          <w:sz w:val="32"/>
          <w:szCs w:val="32"/>
        </w:rPr>
        <w:t>三、附属单位上缴收入：</w:t>
      </w:r>
      <w:r>
        <w:rPr>
          <w:rFonts w:hint="eastAsia" w:ascii="仿宋" w:hAnsi="仿宋" w:eastAsia="仿宋" w:cs="仿宋"/>
          <w:color w:val="000000" w:themeColor="text1"/>
          <w:sz w:val="32"/>
          <w:szCs w:val="32"/>
        </w:rPr>
        <w:t>指事业单位附属独立核算单位按有关规定上缴的收入。 </w:t>
      </w:r>
    </w:p>
    <w:p>
      <w:pPr>
        <w:pStyle w:val="2"/>
        <w:shd w:val="clear" w:color="auto" w:fill="FFFFFF"/>
        <w:spacing w:before="0" w:beforeAutospacing="0" w:after="0" w:afterAutospacing="0" w:line="580" w:lineRule="exact"/>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　　</w:t>
      </w:r>
      <w:r>
        <w:rPr>
          <w:rFonts w:hint="eastAsia" w:ascii="仿宋" w:hAnsi="仿宋" w:eastAsia="仿宋" w:cs="仿宋"/>
          <w:b/>
          <w:bCs/>
          <w:color w:val="000000" w:themeColor="text1"/>
          <w:sz w:val="32"/>
          <w:szCs w:val="32"/>
        </w:rPr>
        <w:t>四、其他收入：</w:t>
      </w:r>
      <w:r>
        <w:rPr>
          <w:rFonts w:hint="eastAsia" w:ascii="仿宋" w:hAnsi="仿宋" w:eastAsia="仿宋" w:cs="仿宋"/>
          <w:color w:val="000000" w:themeColor="text1"/>
          <w:sz w:val="32"/>
          <w:szCs w:val="32"/>
        </w:rPr>
        <w:t>指单位取得的除上述“财政拨款收入”、“事业收入”、“附属单位上缴收入”等以外的收入。 </w:t>
      </w:r>
    </w:p>
    <w:p>
      <w:pPr>
        <w:pStyle w:val="2"/>
        <w:shd w:val="clear" w:color="auto" w:fill="FFFFFF"/>
        <w:spacing w:before="0" w:beforeAutospacing="0" w:after="0" w:afterAutospacing="0" w:line="580" w:lineRule="exact"/>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　</w:t>
      </w:r>
      <w:r>
        <w:rPr>
          <w:rFonts w:hint="eastAsia" w:ascii="仿宋" w:hAnsi="仿宋" w:eastAsia="仿宋" w:cs="仿宋"/>
          <w:b/>
          <w:bCs/>
          <w:color w:val="000000" w:themeColor="text1"/>
          <w:sz w:val="32"/>
          <w:szCs w:val="32"/>
        </w:rPr>
        <w:t>　五、年初结转和结余：</w:t>
      </w:r>
      <w:r>
        <w:rPr>
          <w:rFonts w:hint="eastAsia" w:ascii="仿宋" w:hAnsi="仿宋" w:eastAsia="仿宋" w:cs="仿宋"/>
          <w:color w:val="000000" w:themeColor="text1"/>
          <w:sz w:val="32"/>
          <w:szCs w:val="32"/>
        </w:rPr>
        <w:t>指以前年度尚未完成、结转到本年仍按有关规定继续使用的资金。 </w:t>
      </w:r>
    </w:p>
    <w:p>
      <w:pPr>
        <w:pStyle w:val="2"/>
        <w:shd w:val="clear" w:color="auto" w:fill="FFFFFF"/>
        <w:spacing w:before="0" w:beforeAutospacing="0" w:after="0" w:afterAutospacing="0" w:line="580" w:lineRule="exact"/>
        <w:rPr>
          <w:rFonts w:ascii="仿宋" w:hAnsi="仿宋" w:eastAsia="仿宋" w:cs="仿宋"/>
          <w:color w:val="000000" w:themeColor="text1"/>
        </w:rPr>
      </w:pPr>
      <w:r>
        <w:rPr>
          <w:rFonts w:hint="eastAsia" w:ascii="仿宋" w:hAnsi="仿宋" w:eastAsia="仿宋" w:cs="仿宋"/>
          <w:color w:val="000000" w:themeColor="text1"/>
          <w:sz w:val="32"/>
          <w:szCs w:val="32"/>
        </w:rPr>
        <w:t>　　</w:t>
      </w:r>
      <w:r>
        <w:rPr>
          <w:rFonts w:hint="eastAsia" w:ascii="仿宋" w:hAnsi="仿宋" w:eastAsia="仿宋" w:cs="仿宋"/>
          <w:b/>
          <w:bCs/>
          <w:color w:val="000000" w:themeColor="text1"/>
          <w:sz w:val="32"/>
          <w:szCs w:val="32"/>
        </w:rPr>
        <w:t>六、用事业基金弥补收支差额：</w:t>
      </w:r>
      <w:r>
        <w:rPr>
          <w:rFonts w:hint="eastAsia" w:ascii="仿宋" w:hAnsi="仿宋" w:eastAsia="仿宋" w:cs="仿宋"/>
          <w:color w:val="000000" w:themeColor="text1"/>
          <w:spacing w:val="6"/>
          <w:sz w:val="32"/>
          <w:szCs w:val="32"/>
        </w:rPr>
        <w:t>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r>
        <w:rPr>
          <w:rFonts w:hint="eastAsia" w:ascii="仿宋" w:hAnsi="仿宋" w:eastAsia="仿宋" w:cs="仿宋"/>
          <w:color w:val="000000" w:themeColor="text1"/>
          <w:sz w:val="32"/>
          <w:szCs w:val="32"/>
        </w:rPr>
        <w:t> </w:t>
      </w:r>
    </w:p>
    <w:p>
      <w:pPr>
        <w:pStyle w:val="2"/>
        <w:shd w:val="clear" w:color="auto" w:fill="FFFFFF"/>
        <w:spacing w:before="0" w:beforeAutospacing="0" w:after="0" w:afterAutospacing="0" w:line="580" w:lineRule="exact"/>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　　</w:t>
      </w:r>
      <w:r>
        <w:rPr>
          <w:rFonts w:hint="eastAsia" w:ascii="仿宋" w:hAnsi="仿宋" w:eastAsia="仿宋" w:cs="仿宋"/>
          <w:b/>
          <w:bCs/>
          <w:color w:val="000000" w:themeColor="text1"/>
          <w:sz w:val="32"/>
          <w:szCs w:val="32"/>
        </w:rPr>
        <w:t>七、结余分配：</w:t>
      </w:r>
      <w:r>
        <w:rPr>
          <w:rFonts w:hint="eastAsia" w:ascii="仿宋" w:hAnsi="仿宋" w:eastAsia="仿宋" w:cs="仿宋"/>
          <w:color w:val="000000" w:themeColor="text1"/>
          <w:sz w:val="32"/>
          <w:szCs w:val="32"/>
        </w:rPr>
        <w:t>指事业单位按规定提取的职工福利基金、事业基金和缴纳的所得税，以及建设单位按规定应交回的基本建设竣工项目结余资金。 </w:t>
      </w:r>
    </w:p>
    <w:p>
      <w:pPr>
        <w:pStyle w:val="2"/>
        <w:shd w:val="clear" w:color="auto" w:fill="FFFFFF"/>
        <w:spacing w:before="0" w:beforeAutospacing="0" w:after="0" w:afterAutospacing="0" w:line="580" w:lineRule="exact"/>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　　</w:t>
      </w:r>
      <w:r>
        <w:rPr>
          <w:rFonts w:hint="eastAsia" w:ascii="仿宋" w:hAnsi="仿宋" w:eastAsia="仿宋" w:cs="仿宋"/>
          <w:b/>
          <w:bCs/>
          <w:color w:val="000000" w:themeColor="text1"/>
          <w:sz w:val="32"/>
          <w:szCs w:val="32"/>
        </w:rPr>
        <w:t>八、年末结转和结余：</w:t>
      </w:r>
      <w:r>
        <w:rPr>
          <w:rFonts w:hint="eastAsia" w:ascii="仿宋" w:hAnsi="仿宋" w:eastAsia="仿宋" w:cs="仿宋"/>
          <w:color w:val="000000" w:themeColor="text1"/>
          <w:sz w:val="32"/>
          <w:szCs w:val="32"/>
        </w:rPr>
        <w:t>指本年度或以前年度预算安排、因客观条件发生变化无法按原计划实施，需延迟到以后年度按有关规定继续使用的资金。 </w:t>
      </w:r>
    </w:p>
    <w:p>
      <w:pPr>
        <w:pStyle w:val="2"/>
        <w:shd w:val="clear" w:color="auto" w:fill="FFFFFF"/>
        <w:spacing w:before="0" w:beforeAutospacing="0" w:after="0" w:afterAutospacing="0" w:line="580" w:lineRule="exact"/>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　　</w:t>
      </w:r>
      <w:r>
        <w:rPr>
          <w:rFonts w:hint="eastAsia" w:ascii="仿宋" w:hAnsi="仿宋" w:eastAsia="仿宋" w:cs="仿宋"/>
          <w:b/>
          <w:bCs/>
          <w:color w:val="000000" w:themeColor="text1"/>
          <w:sz w:val="32"/>
          <w:szCs w:val="32"/>
        </w:rPr>
        <w:t>九、基本支出：</w:t>
      </w:r>
      <w:r>
        <w:rPr>
          <w:rFonts w:hint="eastAsia" w:ascii="仿宋" w:hAnsi="仿宋" w:eastAsia="仿宋" w:cs="仿宋"/>
          <w:color w:val="000000" w:themeColor="text1"/>
          <w:sz w:val="32"/>
          <w:szCs w:val="32"/>
        </w:rPr>
        <w:t>指为保障机构正常运转、完成日常工作任务而发生的人员支出和公用支出。 </w:t>
      </w:r>
    </w:p>
    <w:p>
      <w:pPr>
        <w:pStyle w:val="2"/>
        <w:shd w:val="clear" w:color="auto" w:fill="FFFFFF"/>
        <w:spacing w:before="0" w:beforeAutospacing="0" w:after="0" w:afterAutospacing="0" w:line="580" w:lineRule="exact"/>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　　</w:t>
      </w:r>
      <w:r>
        <w:rPr>
          <w:rFonts w:hint="eastAsia" w:ascii="仿宋" w:hAnsi="仿宋" w:eastAsia="仿宋" w:cs="仿宋"/>
          <w:b/>
          <w:bCs/>
          <w:color w:val="000000" w:themeColor="text1"/>
          <w:sz w:val="32"/>
          <w:szCs w:val="32"/>
        </w:rPr>
        <w:t>十、项目支出：</w:t>
      </w:r>
      <w:r>
        <w:rPr>
          <w:rFonts w:hint="eastAsia" w:ascii="仿宋" w:hAnsi="仿宋" w:eastAsia="仿宋" w:cs="仿宋"/>
          <w:color w:val="000000" w:themeColor="text1"/>
          <w:sz w:val="32"/>
          <w:szCs w:val="32"/>
        </w:rPr>
        <w:t>指在基本支出之外，为完成特定行政任务和事业发展目标所发生的支出。 </w:t>
      </w:r>
    </w:p>
    <w:p>
      <w:pPr>
        <w:pStyle w:val="2"/>
        <w:shd w:val="clear" w:color="auto" w:fill="FFFFFF"/>
        <w:spacing w:before="0" w:beforeAutospacing="0" w:after="0" w:afterAutospacing="0" w:line="580" w:lineRule="exact"/>
        <w:rPr>
          <w:rFonts w:ascii="仿宋" w:hAnsi="仿宋" w:eastAsia="仿宋" w:cs="仿宋"/>
          <w:color w:val="000000" w:themeColor="text1"/>
          <w:sz w:val="32"/>
          <w:szCs w:val="32"/>
        </w:rPr>
      </w:pPr>
      <w:r>
        <w:rPr>
          <w:rFonts w:hint="eastAsia" w:ascii="仿宋" w:hAnsi="仿宋" w:eastAsia="仿宋" w:cs="仿宋"/>
          <w:b/>
          <w:bCs/>
          <w:color w:val="000000" w:themeColor="text1"/>
          <w:sz w:val="32"/>
          <w:szCs w:val="32"/>
        </w:rPr>
        <w:t>　　十一、“三公”经费：</w:t>
      </w:r>
      <w:r>
        <w:rPr>
          <w:rFonts w:hint="eastAsia" w:ascii="仿宋" w:hAnsi="仿宋" w:eastAsia="仿宋" w:cs="仿宋"/>
          <w:color w:val="000000" w:themeColor="text1"/>
          <w:sz w:val="32"/>
          <w:szCs w:val="32"/>
        </w:rPr>
        <w:t>指省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  </w:t>
      </w:r>
    </w:p>
    <w:p>
      <w:pPr>
        <w:pStyle w:val="2"/>
        <w:shd w:val="clear" w:color="auto" w:fill="FFFFFF"/>
        <w:spacing w:before="0" w:beforeAutospacing="0" w:after="0" w:afterAutospacing="0" w:line="580" w:lineRule="exact"/>
        <w:ind w:firstLine="640"/>
        <w:rPr>
          <w:rFonts w:ascii="仿宋" w:hAnsi="仿宋" w:eastAsia="仿宋" w:cs="仿宋"/>
          <w:b/>
          <w:bCs/>
          <w:color w:val="000000" w:themeColor="text1"/>
          <w:sz w:val="32"/>
          <w:szCs w:val="32"/>
        </w:rPr>
      </w:pPr>
      <w:r>
        <w:rPr>
          <w:rFonts w:hint="eastAsia" w:ascii="仿宋" w:hAnsi="仿宋" w:eastAsia="仿宋" w:cs="仿宋"/>
          <w:b/>
          <w:bCs/>
          <w:color w:val="000000" w:themeColor="text1"/>
          <w:sz w:val="32"/>
          <w:szCs w:val="32"/>
        </w:rPr>
        <w:t>十二、机关运行经费：</w:t>
      </w:r>
      <w:r>
        <w:rPr>
          <w:rFonts w:hint="eastAsia" w:ascii="仿宋" w:hAnsi="仿宋" w:eastAsia="仿宋" w:cs="仿宋"/>
          <w:color w:val="000000" w:themeColor="text1"/>
          <w:sz w:val="32"/>
          <w:szCs w:val="32"/>
        </w:rPr>
        <w:t>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widowControl/>
        <w:spacing w:line="580" w:lineRule="exact"/>
        <w:rPr>
          <w:rFonts w:ascii="方正大标宋简体" w:hAnsi="方正大标宋简体" w:eastAsia="方正大标宋简体" w:cs="方正大标宋简体"/>
          <w:color w:val="000000" w:themeColor="text1"/>
          <w:sz w:val="32"/>
          <w:szCs w:val="32"/>
        </w:rPr>
      </w:pPr>
    </w:p>
    <w:p>
      <w:pPr>
        <w:widowControl/>
        <w:spacing w:line="580" w:lineRule="exact"/>
        <w:rPr>
          <w:rFonts w:ascii="方正大标宋简体" w:hAnsi="方正大标宋简体" w:eastAsia="方正大标宋简体" w:cs="方正大标宋简体"/>
          <w:color w:val="000000" w:themeColor="text1"/>
          <w:sz w:val="32"/>
          <w:szCs w:val="32"/>
        </w:rPr>
      </w:pPr>
    </w:p>
    <w:p>
      <w:pPr>
        <w:widowControl/>
        <w:spacing w:line="580" w:lineRule="exact"/>
        <w:rPr>
          <w:rFonts w:ascii="方正大标宋简体" w:hAnsi="方正大标宋简体" w:eastAsia="方正大标宋简体" w:cs="方正大标宋简体"/>
          <w:color w:val="000000" w:themeColor="text1"/>
          <w:sz w:val="32"/>
          <w:szCs w:val="32"/>
        </w:rPr>
      </w:pPr>
    </w:p>
    <w:p>
      <w:pPr>
        <w:widowControl/>
        <w:spacing w:line="580" w:lineRule="exact"/>
        <w:rPr>
          <w:rFonts w:ascii="方正大标宋简体" w:hAnsi="方正大标宋简体" w:eastAsia="方正大标宋简体" w:cs="方正大标宋简体"/>
          <w:color w:val="000000" w:themeColor="text1"/>
          <w:sz w:val="32"/>
          <w:szCs w:val="32"/>
        </w:rPr>
      </w:pPr>
    </w:p>
    <w:p>
      <w:pPr>
        <w:widowControl/>
        <w:spacing w:line="580" w:lineRule="exact"/>
        <w:rPr>
          <w:rFonts w:ascii="方正大标宋简体" w:hAnsi="方正大标宋简体" w:eastAsia="方正大标宋简体" w:cs="方正大标宋简体"/>
          <w:color w:val="000000" w:themeColor="text1"/>
          <w:sz w:val="32"/>
          <w:szCs w:val="32"/>
        </w:rPr>
      </w:pPr>
    </w:p>
    <w:p>
      <w:pPr>
        <w:widowControl/>
        <w:spacing w:line="580" w:lineRule="exact"/>
        <w:rPr>
          <w:rFonts w:ascii="方正大标宋简体" w:hAnsi="方正大标宋简体" w:eastAsia="方正大标宋简体" w:cs="方正大标宋简体"/>
          <w:color w:val="000000" w:themeColor="text1"/>
          <w:sz w:val="32"/>
          <w:szCs w:val="32"/>
        </w:rPr>
      </w:pPr>
    </w:p>
    <w:p>
      <w:pPr>
        <w:pStyle w:val="5"/>
        <w:jc w:val="center"/>
        <w:rPr>
          <w:color w:val="000000" w:themeColor="text1"/>
          <w:sz w:val="72"/>
          <w:szCs w:val="72"/>
        </w:rPr>
      </w:pPr>
    </w:p>
    <w:p>
      <w:pPr>
        <w:pStyle w:val="5"/>
        <w:jc w:val="center"/>
        <w:rPr>
          <w:color w:val="000000" w:themeColor="text1"/>
          <w:sz w:val="72"/>
          <w:szCs w:val="72"/>
        </w:rPr>
      </w:pPr>
    </w:p>
    <w:p>
      <w:pPr>
        <w:pStyle w:val="5"/>
        <w:jc w:val="center"/>
        <w:rPr>
          <w:color w:val="000000" w:themeColor="text1"/>
          <w:sz w:val="72"/>
          <w:szCs w:val="72"/>
        </w:rPr>
      </w:pPr>
    </w:p>
    <w:p>
      <w:pPr>
        <w:pStyle w:val="5"/>
        <w:jc w:val="center"/>
        <w:rPr>
          <w:color w:val="000000" w:themeColor="text1"/>
          <w:sz w:val="72"/>
          <w:szCs w:val="72"/>
        </w:rPr>
      </w:pPr>
    </w:p>
    <w:p>
      <w:pPr>
        <w:pStyle w:val="5"/>
        <w:jc w:val="center"/>
        <w:rPr>
          <w:color w:val="000000" w:themeColor="text1"/>
          <w:sz w:val="72"/>
          <w:szCs w:val="72"/>
        </w:rPr>
      </w:pPr>
      <w:r>
        <w:rPr>
          <w:rFonts w:hint="eastAsia"/>
          <w:color w:val="000000" w:themeColor="text1"/>
          <w:sz w:val="72"/>
          <w:szCs w:val="72"/>
        </w:rPr>
        <w:t>第五部分</w:t>
      </w:r>
    </w:p>
    <w:p>
      <w:pPr>
        <w:jc w:val="center"/>
        <w:rPr>
          <w:rFonts w:ascii="黑体" w:eastAsia="黑体" w:cs="黑体"/>
          <w:color w:val="000000" w:themeColor="text1"/>
          <w:kern w:val="0"/>
          <w:sz w:val="70"/>
          <w:szCs w:val="70"/>
        </w:rPr>
      </w:pPr>
    </w:p>
    <w:p>
      <w:pPr>
        <w:jc w:val="center"/>
        <w:rPr>
          <w:rFonts w:ascii="黑体" w:eastAsia="黑体" w:cs="黑体"/>
          <w:color w:val="000000" w:themeColor="text1"/>
          <w:kern w:val="0"/>
          <w:sz w:val="70"/>
          <w:szCs w:val="70"/>
        </w:rPr>
      </w:pPr>
      <w:r>
        <w:rPr>
          <w:rFonts w:hint="eastAsia" w:ascii="黑体" w:eastAsia="黑体" w:cs="黑体"/>
          <w:color w:val="000000" w:themeColor="text1"/>
          <w:kern w:val="0"/>
          <w:sz w:val="70"/>
          <w:szCs w:val="70"/>
        </w:rPr>
        <w:t>附件</w:t>
      </w:r>
    </w:p>
    <w:p>
      <w:pPr>
        <w:jc w:val="center"/>
        <w:rPr>
          <w:rFonts w:ascii="黑体" w:eastAsia="黑体" w:cs="黑体"/>
          <w:color w:val="000000" w:themeColor="text1"/>
          <w:kern w:val="0"/>
          <w:sz w:val="70"/>
          <w:szCs w:val="70"/>
        </w:rPr>
      </w:pPr>
    </w:p>
    <w:p>
      <w:pPr>
        <w:widowControl/>
        <w:shd w:val="clear" w:color="auto" w:fill="FFFFFF"/>
        <w:spacing w:before="100" w:beforeAutospacing="1" w:after="100" w:afterAutospacing="1" w:line="450" w:lineRule="atLeast"/>
        <w:ind w:firstLine="700" w:firstLineChars="250"/>
        <w:jc w:val="left"/>
        <w:rPr>
          <w:rFonts w:ascii="宋体" w:hAnsi="宋体"/>
          <w:color w:val="000000" w:themeColor="text1"/>
          <w:sz w:val="28"/>
          <w:szCs w:val="28"/>
        </w:rPr>
      </w:pPr>
      <w:r>
        <w:rPr>
          <w:rFonts w:hint="eastAsia" w:ascii="宋体" w:hAnsi="宋体"/>
          <w:color w:val="000000" w:themeColor="text1"/>
          <w:sz w:val="28"/>
          <w:szCs w:val="28"/>
        </w:rPr>
        <w:t>1、2019年度部门整体支出绩效评价报告</w:t>
      </w:r>
    </w:p>
    <w:p>
      <w:pPr>
        <w:widowControl/>
        <w:shd w:val="clear" w:color="auto" w:fill="FFFFFF"/>
        <w:spacing w:before="100" w:beforeAutospacing="1" w:after="100" w:afterAutospacing="1" w:line="450" w:lineRule="atLeast"/>
        <w:ind w:firstLine="700" w:firstLineChars="250"/>
        <w:jc w:val="left"/>
        <w:rPr>
          <w:rFonts w:ascii="宋体" w:hAnsi="宋体"/>
          <w:color w:val="000000" w:themeColor="text1"/>
          <w:sz w:val="28"/>
          <w:szCs w:val="28"/>
        </w:rPr>
      </w:pPr>
    </w:p>
    <w:p>
      <w:pPr>
        <w:widowControl/>
        <w:shd w:val="clear" w:color="auto" w:fill="FFFFFF"/>
        <w:spacing w:before="100" w:beforeAutospacing="1" w:after="100" w:afterAutospacing="1" w:line="450" w:lineRule="atLeast"/>
        <w:ind w:firstLine="700" w:firstLineChars="250"/>
        <w:jc w:val="left"/>
        <w:rPr>
          <w:rFonts w:ascii="宋体" w:hAnsi="宋体"/>
          <w:sz w:val="28"/>
          <w:szCs w:val="28"/>
        </w:rPr>
      </w:pPr>
    </w:p>
    <w:p>
      <w:pPr>
        <w:widowControl/>
        <w:shd w:val="clear" w:color="auto" w:fill="FFFFFF"/>
        <w:spacing w:before="100" w:beforeAutospacing="1" w:after="100" w:afterAutospacing="1" w:line="450" w:lineRule="atLeast"/>
        <w:ind w:firstLine="700" w:firstLineChars="250"/>
        <w:jc w:val="left"/>
        <w:rPr>
          <w:rFonts w:ascii="宋体" w:hAnsi="宋体"/>
          <w:sz w:val="28"/>
          <w:szCs w:val="28"/>
        </w:rPr>
      </w:pPr>
    </w:p>
    <w:p>
      <w:pPr>
        <w:widowControl/>
        <w:shd w:val="clear" w:color="auto" w:fill="FFFFFF"/>
        <w:spacing w:before="100" w:beforeAutospacing="1" w:after="100" w:afterAutospacing="1" w:line="450" w:lineRule="atLeast"/>
        <w:ind w:firstLine="700" w:firstLineChars="250"/>
        <w:jc w:val="left"/>
        <w:rPr>
          <w:rFonts w:ascii="宋体" w:hAnsi="宋体"/>
          <w:sz w:val="28"/>
          <w:szCs w:val="28"/>
        </w:rPr>
      </w:pPr>
    </w:p>
    <w:p>
      <w:pPr>
        <w:widowControl/>
        <w:shd w:val="clear" w:color="auto" w:fill="FFFFFF"/>
        <w:spacing w:before="100" w:beforeAutospacing="1" w:after="100" w:afterAutospacing="1" w:line="450" w:lineRule="atLeast"/>
        <w:ind w:firstLine="700" w:firstLineChars="250"/>
        <w:jc w:val="left"/>
        <w:rPr>
          <w:rFonts w:ascii="宋体" w:hAnsi="宋体"/>
          <w:sz w:val="28"/>
          <w:szCs w:val="28"/>
        </w:rPr>
      </w:pPr>
    </w:p>
    <w:p>
      <w:pPr>
        <w:widowControl/>
        <w:shd w:val="clear" w:color="auto" w:fill="FFFFFF"/>
        <w:spacing w:before="100" w:beforeAutospacing="1" w:after="100" w:afterAutospacing="1" w:line="450" w:lineRule="atLeast"/>
        <w:ind w:firstLine="700" w:firstLineChars="250"/>
        <w:jc w:val="left"/>
        <w:rPr>
          <w:rFonts w:ascii="宋体" w:hAnsi="宋体"/>
          <w:sz w:val="28"/>
          <w:szCs w:val="28"/>
        </w:rPr>
      </w:pPr>
    </w:p>
    <w:p>
      <w:pPr>
        <w:widowControl/>
        <w:shd w:val="clear" w:color="auto" w:fill="FFFFFF"/>
        <w:spacing w:before="100" w:beforeAutospacing="1" w:after="100" w:afterAutospacing="1" w:line="450" w:lineRule="atLeast"/>
        <w:ind w:firstLine="700" w:firstLineChars="250"/>
        <w:jc w:val="left"/>
        <w:rPr>
          <w:rFonts w:ascii="宋体" w:hAnsi="宋体"/>
          <w:sz w:val="28"/>
          <w:szCs w:val="28"/>
        </w:rPr>
      </w:pPr>
    </w:p>
    <w:p>
      <w:pPr>
        <w:jc w:val="center"/>
        <w:rPr>
          <w:rFonts w:ascii="华文中宋" w:hAnsi="华文中宋" w:eastAsia="华文中宋"/>
          <w:sz w:val="42"/>
          <w:szCs w:val="42"/>
        </w:rPr>
      </w:pPr>
      <w:r>
        <w:rPr>
          <w:rFonts w:hint="eastAsia" w:ascii="华文中宋" w:hAnsi="华文中宋" w:eastAsia="华文中宋"/>
          <w:sz w:val="42"/>
          <w:szCs w:val="42"/>
        </w:rPr>
        <w:t>2019年县委党校整体支出绩效报告</w:t>
      </w:r>
    </w:p>
    <w:p>
      <w:pPr>
        <w:spacing w:line="440" w:lineRule="exact"/>
        <w:jc w:val="center"/>
        <w:rPr>
          <w:rFonts w:ascii="仿宋" w:hAnsi="仿宋" w:eastAsia="仿宋"/>
          <w:sz w:val="32"/>
          <w:szCs w:val="32"/>
        </w:rPr>
      </w:pPr>
    </w:p>
    <w:p>
      <w:pPr>
        <w:spacing w:line="460" w:lineRule="exact"/>
        <w:ind w:firstLine="640" w:firstLineChars="200"/>
        <w:rPr>
          <w:rFonts w:ascii="仿宋" w:hAnsi="仿宋" w:eastAsia="仿宋"/>
          <w:sz w:val="32"/>
          <w:szCs w:val="32"/>
        </w:rPr>
      </w:pPr>
      <w:r>
        <w:rPr>
          <w:rFonts w:hint="eastAsia" w:ascii="仿宋" w:hAnsi="仿宋" w:eastAsia="仿宋"/>
          <w:sz w:val="32"/>
          <w:szCs w:val="32"/>
        </w:rPr>
        <w:t xml:space="preserve">为加强财政预算资金管理，进一步规范预算资金使用，提高财政资金使用效益，根据《衡南县财政局关于开展2019年度县级财政资金绩效自评工作的通知》要求，我单位积极组织，对2019年度本单位整体支出进行了绩效自评，现将具体绩效评价情况报告如下：        </w:t>
      </w:r>
    </w:p>
    <w:p>
      <w:pPr>
        <w:spacing w:line="460" w:lineRule="exact"/>
        <w:ind w:firstLine="643" w:firstLineChars="200"/>
        <w:rPr>
          <w:rFonts w:ascii="仿宋" w:hAnsi="仿宋" w:eastAsia="仿宋"/>
          <w:b/>
          <w:sz w:val="32"/>
          <w:szCs w:val="32"/>
        </w:rPr>
      </w:pPr>
      <w:r>
        <w:rPr>
          <w:rFonts w:hint="eastAsia" w:ascii="仿宋" w:hAnsi="仿宋" w:eastAsia="仿宋"/>
          <w:b/>
          <w:sz w:val="32"/>
          <w:szCs w:val="32"/>
        </w:rPr>
        <w:t>一、基本概况</w:t>
      </w:r>
    </w:p>
    <w:p>
      <w:pPr>
        <w:spacing w:line="460" w:lineRule="exact"/>
        <w:ind w:firstLine="640" w:firstLineChars="200"/>
        <w:rPr>
          <w:rFonts w:ascii="仿宋" w:hAnsi="仿宋" w:eastAsia="仿宋"/>
          <w:sz w:val="32"/>
          <w:szCs w:val="32"/>
        </w:rPr>
      </w:pPr>
      <w:r>
        <w:rPr>
          <w:rFonts w:hint="eastAsia" w:ascii="仿宋" w:hAnsi="仿宋" w:eastAsia="仿宋"/>
          <w:sz w:val="32"/>
          <w:szCs w:val="32"/>
        </w:rPr>
        <w:t>衡南县党校为全额财政拨款单位，纳入财政会计集中核算和国库集中支付体系，财务制度执行《预算法》、《行政单位会计制度》。</w:t>
      </w:r>
    </w:p>
    <w:p>
      <w:pPr>
        <w:spacing w:line="460" w:lineRule="exact"/>
        <w:ind w:firstLine="643" w:firstLineChars="200"/>
        <w:rPr>
          <w:rFonts w:ascii="仿宋" w:hAnsi="仿宋" w:eastAsia="仿宋"/>
          <w:b/>
          <w:sz w:val="32"/>
          <w:szCs w:val="32"/>
        </w:rPr>
      </w:pPr>
      <w:r>
        <w:rPr>
          <w:rFonts w:hint="eastAsia" w:ascii="仿宋" w:hAnsi="仿宋" w:eastAsia="仿宋"/>
          <w:b/>
          <w:sz w:val="32"/>
          <w:szCs w:val="32"/>
        </w:rPr>
        <w:t>（一）机构设置情况</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中共衡南县委党校（衡南县行政学校）设置5个内设机构：办公室、教务科、学员管理科、教研科和总务科。</w:t>
      </w:r>
      <w:r>
        <w:rPr>
          <w:rFonts w:hint="eastAsia" w:ascii="仿宋" w:hAnsi="仿宋" w:eastAsia="仿宋"/>
          <w:sz w:val="32"/>
          <w:szCs w:val="32"/>
        </w:rPr>
        <w:t>截止2019</w:t>
      </w:r>
      <w:r>
        <w:rPr>
          <w:rFonts w:hint="eastAsia" w:ascii="仿宋" w:hAnsi="仿宋" w:eastAsia="仿宋" w:cs="仿宋"/>
          <w:sz w:val="32"/>
          <w:szCs w:val="32"/>
        </w:rPr>
        <w:t>年底，中共衡南县委党校（衡南行政学校）核定全额拨款事业编制50名，其中：管理人员10名、教师及教学辅助人员35名、后勤服务人员5名。</w:t>
      </w:r>
    </w:p>
    <w:p>
      <w:pPr>
        <w:spacing w:line="460" w:lineRule="exact"/>
        <w:ind w:firstLine="643" w:firstLineChars="200"/>
        <w:rPr>
          <w:rFonts w:ascii="仿宋" w:hAnsi="仿宋" w:eastAsia="仿宋"/>
          <w:b/>
          <w:sz w:val="32"/>
          <w:szCs w:val="32"/>
        </w:rPr>
      </w:pPr>
      <w:r>
        <w:rPr>
          <w:rFonts w:hint="eastAsia" w:ascii="仿宋" w:hAnsi="仿宋" w:eastAsia="仿宋"/>
          <w:b/>
          <w:sz w:val="32"/>
          <w:szCs w:val="32"/>
        </w:rPr>
        <w:t>（二）主要工作职责</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1.贯彻落实中央省委市委关于党校工作和干部教育工作的路线、方针、政策，负责拟定党校工作的中长期规划和年度工作计划并组织实施。承担组织党员领导干部学习马克思列宁主义、毛泽东思想、邓小平理论、“三个代表”重要思想、科学发展观、习近平新时代中国特色社会主义思想等教学培训工作，发挥“三个阵地，一个熔炉”作用。</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2.按照县委干部教育规划和计划，负责培训、轮训党员领导干部、青年后备干部、宣传理论骨干以及国家公务员；负责全县各民主党派、无党派人士和统一战线其他方面代表人士的理论培训工作。</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3.围绕国际国内形势和全县经济社会发展出现的新情况、新问题，开展党的基本理论、哲学、社会科学和全县经济社会发展相关专题研究。</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4.协同有关部门，负责对在训学员学习期间的管理、考核、考察。</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5.完成县委交办的其他任务。</w:t>
      </w:r>
    </w:p>
    <w:p>
      <w:pPr>
        <w:spacing w:line="460" w:lineRule="exact"/>
        <w:ind w:firstLine="643" w:firstLineChars="200"/>
        <w:rPr>
          <w:rFonts w:ascii="仿宋" w:hAnsi="仿宋" w:eastAsia="仿宋"/>
          <w:b/>
          <w:sz w:val="32"/>
          <w:szCs w:val="32"/>
        </w:rPr>
      </w:pPr>
      <w:r>
        <w:rPr>
          <w:rFonts w:hint="eastAsia" w:ascii="仿宋" w:hAnsi="仿宋" w:eastAsia="仿宋"/>
          <w:b/>
          <w:sz w:val="32"/>
          <w:szCs w:val="32"/>
        </w:rPr>
        <w:t>二、部门整体支出管理及使用情况</w:t>
      </w:r>
    </w:p>
    <w:p>
      <w:pPr>
        <w:spacing w:line="460" w:lineRule="exact"/>
        <w:ind w:firstLine="643" w:firstLineChars="200"/>
        <w:rPr>
          <w:rFonts w:ascii="仿宋" w:hAnsi="仿宋" w:eastAsia="仿宋" w:cs="仿宋"/>
          <w:sz w:val="32"/>
          <w:szCs w:val="32"/>
        </w:rPr>
      </w:pPr>
      <w:r>
        <w:rPr>
          <w:rFonts w:hint="eastAsia" w:ascii="仿宋" w:hAnsi="仿宋" w:eastAsia="仿宋"/>
          <w:b/>
          <w:sz w:val="32"/>
          <w:szCs w:val="32"/>
        </w:rPr>
        <w:t>（一）收入支出预算安排情况</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本年度年初财政预算安排367.89万元，上年度年初财政预算安排383.63万元，同比减少4.1%,因财政统一调减项目资金预算同比减少50%。</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本年度调整预算数402.44万元：年中调增6万元培训费,上年结转28.55万元。</w:t>
      </w:r>
    </w:p>
    <w:p>
      <w:pPr>
        <w:spacing w:line="460" w:lineRule="exact"/>
        <w:ind w:firstLine="643" w:firstLineChars="200"/>
        <w:rPr>
          <w:rFonts w:ascii="仿宋" w:hAnsi="仿宋" w:eastAsia="仿宋"/>
          <w:b/>
          <w:sz w:val="32"/>
          <w:szCs w:val="32"/>
        </w:rPr>
      </w:pPr>
      <w:r>
        <w:rPr>
          <w:rFonts w:hint="eastAsia" w:ascii="仿宋" w:hAnsi="仿宋" w:eastAsia="仿宋"/>
          <w:b/>
          <w:sz w:val="32"/>
          <w:szCs w:val="32"/>
        </w:rPr>
        <w:t>（二）收入支出预算执行情况</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本年末决算总收入402.44万元，决算总支出402.44万元，本年收支结余零万元。</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1．收入支出结构情况。</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全年收入合计402.44万元：全部是财政拨款。</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按支出性质分类，全年支出合计402.44万元：基本支出323.94万元，占比80.49%；项目支出78.5万元，占比19.51%。</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基本支出323.94万元包含：人员经费309.62万元，其中工资薪金244.72万元，占总支出比75.54%，五险一金61.55万，占总支出比19%；商品及服务支出16.8万元，占总支出比5.19%；对个人及家庭补助0.87万元，占总支出比0.27%。</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2．支出按经济分类科目情况。</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（1）“三公”经费支出情况：决算0.69万小于预算2.5万元，支出比上年节约。</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（2）会议费支出情况：决算0.37万小于预算1万元，支出比上年节约。</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（3）培训费支出情况：上年度培训费85万元，本年度52.76万元。支出比上年节约。</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3.财政拨款收入、支出情况。</w:t>
      </w:r>
    </w:p>
    <w:p>
      <w:pPr>
        <w:spacing w:line="460" w:lineRule="exact"/>
        <w:ind w:firstLine="640" w:firstLineChars="200"/>
        <w:rPr>
          <w:rFonts w:ascii="仿宋" w:hAnsi="仿宋" w:eastAsia="仿宋" w:cs="仿宋"/>
          <w:color w:val="000000"/>
          <w:sz w:val="32"/>
          <w:szCs w:val="32"/>
        </w:rPr>
      </w:pPr>
      <w:r>
        <w:rPr>
          <w:rFonts w:hint="eastAsia" w:ascii="仿宋" w:hAnsi="仿宋" w:eastAsia="仿宋" w:cs="仿宋"/>
          <w:color w:val="000000"/>
          <w:sz w:val="32"/>
          <w:szCs w:val="32"/>
        </w:rPr>
        <w:t>本年度年初财政预算安排367.89万元，上年度年初财政预算安排383.63万元，同比减少4.1%。</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本年度财政调整预算数402.44万元。</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本年末财政拨款决算支出402.44万元，上年度财政拨款决算支出565.60万元，较上年度减少163.16万元，同比减少28.84%预算支出。</w:t>
      </w:r>
    </w:p>
    <w:p>
      <w:pPr>
        <w:spacing w:line="460" w:lineRule="exact"/>
        <w:ind w:firstLine="643" w:firstLineChars="200"/>
        <w:rPr>
          <w:rFonts w:ascii="仿宋" w:hAnsi="仿宋" w:eastAsia="仿宋"/>
          <w:b/>
          <w:sz w:val="32"/>
          <w:szCs w:val="32"/>
        </w:rPr>
      </w:pPr>
      <w:r>
        <w:rPr>
          <w:rFonts w:hint="eastAsia" w:ascii="仿宋" w:hAnsi="仿宋" w:eastAsia="仿宋"/>
          <w:b/>
          <w:sz w:val="32"/>
          <w:szCs w:val="32"/>
        </w:rPr>
        <w:t>（三）年末结转和结余情况</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上年末结转和结余零元。</w:t>
      </w:r>
    </w:p>
    <w:p>
      <w:pPr>
        <w:spacing w:line="460" w:lineRule="exact"/>
        <w:ind w:firstLine="643" w:firstLineChars="200"/>
        <w:rPr>
          <w:rFonts w:ascii="仿宋" w:hAnsi="仿宋" w:eastAsia="仿宋" w:cs="仿宋"/>
          <w:b/>
          <w:sz w:val="32"/>
          <w:szCs w:val="32"/>
        </w:rPr>
      </w:pPr>
      <w:bookmarkStart w:id="0" w:name="YS060103"/>
      <w:r>
        <w:rPr>
          <w:rFonts w:hint="eastAsia" w:ascii="仿宋" w:hAnsi="仿宋" w:eastAsia="仿宋" w:cs="仿宋"/>
          <w:b/>
          <w:sz w:val="32"/>
          <w:szCs w:val="32"/>
        </w:rPr>
        <w:t>三、资产负债情况</w:t>
      </w:r>
    </w:p>
    <w:bookmarkEnd w:id="0"/>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年末单位资产704.39万元，上年资产701.18万元，同比增长0.5%，其中流动资产同比减少25.70%，固定资产同比增长0.5%，固定资产原值净减34.85万元，因年初政府会计制度改革补提折旧。</w:t>
      </w:r>
    </w:p>
    <w:p>
      <w:pPr>
        <w:spacing w:line="460" w:lineRule="exact"/>
        <w:ind w:firstLine="640" w:firstLineChars="200"/>
        <w:rPr>
          <w:rFonts w:ascii="仿宋" w:hAnsi="仿宋" w:eastAsia="仿宋" w:cs="仿宋"/>
          <w:sz w:val="32"/>
          <w:szCs w:val="32"/>
        </w:rPr>
      </w:pPr>
      <w:r>
        <w:rPr>
          <w:rFonts w:hint="eastAsia" w:ascii="仿宋" w:hAnsi="仿宋" w:eastAsia="仿宋" w:cs="仿宋"/>
          <w:sz w:val="32"/>
          <w:szCs w:val="32"/>
        </w:rPr>
        <w:t>年末负债10.11万元，上年负债9.76万元，同比增加3.46%，负债增加为应付账款的增加。</w:t>
      </w:r>
    </w:p>
    <w:p>
      <w:pPr>
        <w:spacing w:line="460" w:lineRule="exact"/>
        <w:ind w:firstLine="643" w:firstLineChars="200"/>
        <w:rPr>
          <w:rFonts w:ascii="仿宋" w:hAnsi="仿宋" w:eastAsia="仿宋"/>
          <w:b/>
          <w:sz w:val="32"/>
          <w:szCs w:val="32"/>
        </w:rPr>
      </w:pPr>
      <w:r>
        <w:rPr>
          <w:rFonts w:hint="eastAsia" w:ascii="仿宋" w:hAnsi="仿宋" w:eastAsia="仿宋"/>
          <w:b/>
          <w:sz w:val="32"/>
          <w:szCs w:val="32"/>
        </w:rPr>
        <w:t>四、部门整体支出绩效情况</w:t>
      </w:r>
    </w:p>
    <w:p>
      <w:pPr>
        <w:spacing w:line="460" w:lineRule="exact"/>
        <w:ind w:firstLine="640" w:firstLineChars="200"/>
        <w:rPr>
          <w:rFonts w:ascii="仿宋" w:hAnsi="仿宋" w:eastAsia="仿宋"/>
          <w:sz w:val="32"/>
          <w:szCs w:val="32"/>
        </w:rPr>
      </w:pPr>
      <w:r>
        <w:rPr>
          <w:rFonts w:hint="eastAsia" w:ascii="仿宋" w:hAnsi="仿宋" w:eastAsia="仿宋"/>
          <w:sz w:val="32"/>
          <w:szCs w:val="32"/>
        </w:rPr>
        <w:t>2019年，根据我校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spacing w:line="460" w:lineRule="exact"/>
        <w:ind w:firstLine="640" w:firstLineChars="200"/>
        <w:rPr>
          <w:rFonts w:ascii="仿宋" w:hAnsi="仿宋" w:eastAsia="仿宋"/>
          <w:sz w:val="32"/>
          <w:szCs w:val="32"/>
        </w:rPr>
      </w:pPr>
      <w:r>
        <w:rPr>
          <w:rFonts w:hint="eastAsia" w:ascii="仿宋" w:hAnsi="仿宋" w:eastAsia="仿宋"/>
          <w:sz w:val="32"/>
          <w:szCs w:val="32"/>
        </w:rPr>
        <w:t>1、在职人员控制率：100%。</w:t>
      </w:r>
    </w:p>
    <w:p>
      <w:pPr>
        <w:spacing w:line="460" w:lineRule="exact"/>
        <w:ind w:firstLine="640" w:firstLineChars="200"/>
        <w:rPr>
          <w:rFonts w:ascii="仿宋" w:hAnsi="仿宋" w:eastAsia="仿宋"/>
          <w:sz w:val="32"/>
          <w:szCs w:val="32"/>
        </w:rPr>
      </w:pPr>
      <w:r>
        <w:rPr>
          <w:rFonts w:hint="eastAsia" w:ascii="仿宋" w:hAnsi="仿宋" w:eastAsia="仿宋"/>
          <w:sz w:val="32"/>
          <w:szCs w:val="32"/>
        </w:rPr>
        <w:t>2、“三公经费”控制率：100%。严格控制“三公经费”支出，开源节流。</w:t>
      </w:r>
    </w:p>
    <w:p>
      <w:pPr>
        <w:spacing w:line="460" w:lineRule="exact"/>
        <w:ind w:firstLine="640" w:firstLineChars="200"/>
        <w:rPr>
          <w:rFonts w:ascii="仿宋" w:hAnsi="仿宋" w:eastAsia="仿宋"/>
          <w:sz w:val="32"/>
          <w:szCs w:val="32"/>
        </w:rPr>
      </w:pPr>
      <w:r>
        <w:rPr>
          <w:rFonts w:hint="eastAsia" w:ascii="仿宋" w:hAnsi="仿宋" w:eastAsia="仿宋"/>
          <w:sz w:val="32"/>
          <w:szCs w:val="32"/>
        </w:rPr>
        <w:t>3、预算完成率：100%。</w:t>
      </w:r>
    </w:p>
    <w:p>
      <w:pPr>
        <w:spacing w:line="460" w:lineRule="exact"/>
        <w:ind w:firstLine="640" w:firstLineChars="200"/>
        <w:rPr>
          <w:rFonts w:ascii="仿宋" w:hAnsi="仿宋" w:eastAsia="仿宋"/>
          <w:sz w:val="32"/>
          <w:szCs w:val="32"/>
        </w:rPr>
      </w:pPr>
      <w:r>
        <w:rPr>
          <w:rFonts w:hint="eastAsia" w:ascii="仿宋" w:hAnsi="仿宋" w:eastAsia="仿宋"/>
          <w:sz w:val="32"/>
          <w:szCs w:val="32"/>
        </w:rPr>
        <w:t>4、政府采购执行率：100%。</w:t>
      </w:r>
    </w:p>
    <w:p>
      <w:pPr>
        <w:spacing w:line="460" w:lineRule="exact"/>
        <w:ind w:firstLine="640" w:firstLineChars="200"/>
        <w:rPr>
          <w:rFonts w:ascii="仿宋" w:hAnsi="仿宋" w:eastAsia="仿宋"/>
          <w:sz w:val="32"/>
          <w:szCs w:val="32"/>
        </w:rPr>
      </w:pPr>
      <w:r>
        <w:rPr>
          <w:rFonts w:hint="eastAsia" w:ascii="仿宋" w:hAnsi="仿宋" w:eastAsia="仿宋"/>
          <w:sz w:val="32"/>
          <w:szCs w:val="32"/>
        </w:rPr>
        <w:t>5、在资金管理上，我校制定了一系列的财务管理制度。</w:t>
      </w:r>
    </w:p>
    <w:p>
      <w:pPr>
        <w:spacing w:line="460" w:lineRule="exact"/>
        <w:ind w:firstLine="643" w:firstLineChars="200"/>
        <w:rPr>
          <w:rFonts w:ascii="仿宋" w:hAnsi="仿宋" w:eastAsia="仿宋"/>
          <w:b/>
          <w:sz w:val="32"/>
          <w:szCs w:val="32"/>
        </w:rPr>
      </w:pPr>
      <w:r>
        <w:rPr>
          <w:rFonts w:hint="eastAsia" w:ascii="仿宋" w:hAnsi="仿宋" w:eastAsia="仿宋"/>
          <w:b/>
          <w:sz w:val="32"/>
          <w:szCs w:val="32"/>
        </w:rPr>
        <w:t>五、存在的主要问题</w:t>
      </w:r>
    </w:p>
    <w:p>
      <w:pPr>
        <w:spacing w:line="460" w:lineRule="exact"/>
        <w:ind w:firstLine="640" w:firstLineChars="200"/>
        <w:rPr>
          <w:rFonts w:ascii="仿宋" w:hAnsi="仿宋" w:eastAsia="仿宋"/>
          <w:sz w:val="32"/>
          <w:szCs w:val="32"/>
        </w:rPr>
      </w:pPr>
      <w:r>
        <w:rPr>
          <w:rFonts w:hint="eastAsia" w:ascii="仿宋" w:hAnsi="仿宋" w:eastAsia="仿宋"/>
          <w:sz w:val="32"/>
          <w:szCs w:val="32"/>
        </w:rPr>
        <w:t>1、年初预算的编制较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pPr>
        <w:spacing w:line="460" w:lineRule="exact"/>
        <w:ind w:firstLine="640" w:firstLineChars="200"/>
        <w:rPr>
          <w:rFonts w:ascii="仿宋" w:hAnsi="仿宋" w:eastAsia="仿宋"/>
          <w:sz w:val="32"/>
          <w:szCs w:val="32"/>
        </w:rPr>
      </w:pPr>
      <w:r>
        <w:rPr>
          <w:rFonts w:hint="eastAsia" w:ascii="仿宋" w:hAnsi="仿宋" w:eastAsia="仿宋"/>
          <w:sz w:val="32"/>
          <w:szCs w:val="32"/>
        </w:rPr>
        <w:t>2、预算执行情况还有待加强，增加专款专用的执行力。</w:t>
      </w:r>
    </w:p>
    <w:p>
      <w:pPr>
        <w:spacing w:line="460" w:lineRule="exact"/>
        <w:ind w:firstLine="640" w:firstLineChars="200"/>
        <w:rPr>
          <w:rFonts w:ascii="仿宋" w:hAnsi="仿宋" w:eastAsia="仿宋"/>
          <w:sz w:val="32"/>
          <w:szCs w:val="32"/>
        </w:rPr>
      </w:pPr>
      <w:r>
        <w:rPr>
          <w:rFonts w:hint="eastAsia" w:ascii="仿宋" w:hAnsi="仿宋" w:eastAsia="仿宋"/>
          <w:sz w:val="32"/>
          <w:szCs w:val="32"/>
        </w:rPr>
        <w:t>3、公务卡使用力度还应加强，减少现金支付。</w:t>
      </w:r>
    </w:p>
    <w:p>
      <w:pPr>
        <w:spacing w:line="460" w:lineRule="exact"/>
        <w:ind w:firstLine="643" w:firstLineChars="200"/>
        <w:rPr>
          <w:rFonts w:ascii="仿宋" w:hAnsi="仿宋" w:eastAsia="仿宋"/>
          <w:b/>
          <w:sz w:val="32"/>
          <w:szCs w:val="32"/>
        </w:rPr>
      </w:pPr>
      <w:r>
        <w:rPr>
          <w:rFonts w:hint="eastAsia" w:ascii="仿宋" w:hAnsi="仿宋" w:eastAsia="仿宋"/>
          <w:b/>
          <w:sz w:val="32"/>
          <w:szCs w:val="32"/>
        </w:rPr>
        <w:t>六、改进措施和建议</w:t>
      </w:r>
    </w:p>
    <w:p>
      <w:pPr>
        <w:spacing w:line="460" w:lineRule="exact"/>
        <w:ind w:firstLine="640" w:firstLineChars="200"/>
        <w:rPr>
          <w:rFonts w:ascii="仿宋" w:hAnsi="仿宋" w:eastAsia="仿宋"/>
          <w:sz w:val="32"/>
          <w:szCs w:val="32"/>
        </w:rPr>
      </w:pPr>
      <w:r>
        <w:rPr>
          <w:rFonts w:hint="eastAsia" w:ascii="仿宋" w:hAnsi="仿宋" w:eastAsia="仿宋"/>
          <w:sz w:val="32"/>
          <w:szCs w:val="32"/>
        </w:rPr>
        <w:t>一是建议加强政策学习，提高思想认识。组织单位人员认真学习《预算法》等相关法规、制度，提高单位领导对全面预算管理的重视程度，增强财务人员的预算意识，坚持先有预算、后有支出，没有预算不得支出的支出理念。</w:t>
      </w:r>
    </w:p>
    <w:p>
      <w:pPr>
        <w:spacing w:line="460" w:lineRule="exact"/>
        <w:ind w:firstLine="640" w:firstLineChars="200"/>
        <w:rPr>
          <w:rFonts w:ascii="仿宋" w:hAnsi="仿宋" w:eastAsia="仿宋"/>
          <w:sz w:val="32"/>
          <w:szCs w:val="32"/>
        </w:rPr>
      </w:pPr>
      <w:r>
        <w:rPr>
          <w:rFonts w:hint="eastAsia" w:ascii="仿宋" w:hAnsi="仿宋" w:eastAsia="仿宋"/>
          <w:sz w:val="32"/>
          <w:szCs w:val="32"/>
        </w:rPr>
        <w:t>二是建议细化预算指标，提高预算科学性。预算编制前根据年度内单位可预见的工作任务，确定单位年度预算目标，细化预算指标，科学合理编制部门预算，推进预算编制科学化准确化。</w:t>
      </w:r>
    </w:p>
    <w:p>
      <w:pPr>
        <w:spacing w:line="460" w:lineRule="exact"/>
        <w:ind w:firstLine="640" w:firstLineChars="200"/>
        <w:rPr>
          <w:rFonts w:ascii="仿宋" w:hAnsi="仿宋" w:eastAsia="仿宋"/>
          <w:sz w:val="32"/>
          <w:szCs w:val="32"/>
        </w:rPr>
      </w:pPr>
      <w:r>
        <w:rPr>
          <w:rFonts w:hint="eastAsia" w:ascii="仿宋" w:hAnsi="仿宋" w:eastAsia="仿宋"/>
          <w:sz w:val="32"/>
          <w:szCs w:val="32"/>
        </w:rPr>
        <w:t>三是建议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spacing w:line="460" w:lineRule="exact"/>
        <w:rPr>
          <w:rFonts w:ascii="仿宋" w:hAnsi="仿宋" w:eastAsia="仿宋"/>
          <w:sz w:val="32"/>
          <w:szCs w:val="32"/>
        </w:rPr>
      </w:pPr>
    </w:p>
    <w:p>
      <w:pPr>
        <w:spacing w:line="460" w:lineRule="exact"/>
        <w:rPr>
          <w:rFonts w:ascii="仿宋" w:hAnsi="仿宋" w:eastAsia="仿宋"/>
          <w:sz w:val="32"/>
          <w:szCs w:val="32"/>
        </w:rPr>
      </w:pPr>
    </w:p>
    <w:p>
      <w:pPr>
        <w:spacing w:line="460" w:lineRule="exact"/>
        <w:rPr>
          <w:rFonts w:ascii="仿宋" w:hAnsi="仿宋" w:eastAsia="仿宋"/>
          <w:sz w:val="32"/>
          <w:szCs w:val="32"/>
        </w:rPr>
      </w:pPr>
    </w:p>
    <w:p>
      <w:pPr>
        <w:spacing w:line="460" w:lineRule="exact"/>
        <w:ind w:firstLine="4960" w:firstLineChars="1550"/>
        <w:rPr>
          <w:rFonts w:ascii="仿宋" w:hAnsi="仿宋" w:eastAsia="仿宋"/>
          <w:sz w:val="32"/>
          <w:szCs w:val="32"/>
        </w:rPr>
      </w:pPr>
      <w:r>
        <w:rPr>
          <w:rFonts w:hint="eastAsia" w:ascii="仿宋" w:hAnsi="仿宋" w:eastAsia="仿宋"/>
          <w:sz w:val="32"/>
          <w:szCs w:val="32"/>
        </w:rPr>
        <w:t>中共衡南县委党校</w:t>
      </w:r>
    </w:p>
    <w:p>
      <w:pPr>
        <w:widowControl/>
        <w:shd w:val="clear" w:color="auto" w:fill="FFFFFF"/>
        <w:spacing w:before="100" w:beforeAutospacing="1" w:after="100" w:afterAutospacing="1" w:line="450" w:lineRule="atLeast"/>
        <w:ind w:firstLine="5120" w:firstLineChars="1600"/>
        <w:jc w:val="left"/>
        <w:rPr>
          <w:rFonts w:ascii="宋体" w:hAnsi="宋体"/>
          <w:sz w:val="28"/>
          <w:szCs w:val="28"/>
        </w:rPr>
      </w:pPr>
      <w:r>
        <w:rPr>
          <w:rFonts w:hint="eastAsia" w:ascii="仿宋" w:hAnsi="仿宋" w:eastAsia="仿宋"/>
          <w:sz w:val="32"/>
          <w:szCs w:val="32"/>
        </w:rPr>
        <w:t>2020年6月19日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华文楷体">
    <w:altName w:val="宋体"/>
    <w:panose1 w:val="00000000000000000000"/>
    <w:charset w:val="86"/>
    <w:family w:val="auto"/>
    <w:pitch w:val="default"/>
    <w:sig w:usb0="00000000" w:usb1="00000000" w:usb2="00000000" w:usb3="00000000" w:csb0="0004009F" w:csb1="DFD70000"/>
  </w:font>
  <w:font w:name="方正大标宋简体">
    <w:altName w:val="微软雅黑"/>
    <w:panose1 w:val="00000000000000000000"/>
    <w:charset w:val="86"/>
    <w:family w:val="auto"/>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10" w:usb3="00000000" w:csb0="0004009F"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3D5C80D"/>
    <w:multiLevelType w:val="singleLevel"/>
    <w:tmpl w:val="93D5C80D"/>
    <w:lvl w:ilvl="0" w:tentative="0">
      <w:start w:val="9"/>
      <w:numFmt w:val="chineseCounting"/>
      <w:suff w:val="nothing"/>
      <w:lvlText w:val="%1、"/>
      <w:lvlJc w:val="left"/>
      <w:pPr>
        <w:ind w:left="640" w:firstLine="0"/>
      </w:pPr>
      <w:rPr>
        <w:rFonts w:hint="eastAsia"/>
      </w:rPr>
    </w:lvl>
  </w:abstractNum>
  <w:abstractNum w:abstractNumId="1">
    <w:nsid w:val="9B1EEDAE"/>
    <w:multiLevelType w:val="singleLevel"/>
    <w:tmpl w:val="9B1EEDAE"/>
    <w:lvl w:ilvl="0" w:tentative="0">
      <w:start w:val="1"/>
      <w:numFmt w:val="chineseCounting"/>
      <w:suff w:val="nothing"/>
      <w:lvlText w:val="%1、"/>
      <w:lvlJc w:val="left"/>
      <w:rPr>
        <w:rFonts w:hint="eastAsia"/>
      </w:rPr>
    </w:lvl>
  </w:abstractNum>
  <w:abstractNum w:abstractNumId="2">
    <w:nsid w:val="DC433898"/>
    <w:multiLevelType w:val="singleLevel"/>
    <w:tmpl w:val="DC433898"/>
    <w:lvl w:ilvl="0" w:tentative="0">
      <w:start w:val="1"/>
      <w:numFmt w:val="chineseCounting"/>
      <w:suff w:val="nothing"/>
      <w:lvlText w:val="（%1）"/>
      <w:lvlJc w:val="left"/>
      <w:rPr>
        <w:rFonts w:hint="eastAsia"/>
      </w:rPr>
    </w:lvl>
  </w:abstractNum>
  <w:abstractNum w:abstractNumId="3">
    <w:nsid w:val="01287B56"/>
    <w:multiLevelType w:val="singleLevel"/>
    <w:tmpl w:val="01287B56"/>
    <w:lvl w:ilvl="0" w:tentative="0">
      <w:start w:val="3"/>
      <w:numFmt w:val="chineseCounting"/>
      <w:suff w:val="nothing"/>
      <w:lvlText w:val="（%1）"/>
      <w:lvlJc w:val="left"/>
      <w:rPr>
        <w:rFonts w:hint="eastAsia"/>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9506A8"/>
    <w:rsid w:val="000601A6"/>
    <w:rsid w:val="000C3F65"/>
    <w:rsid w:val="001F623F"/>
    <w:rsid w:val="00232A9A"/>
    <w:rsid w:val="002517A1"/>
    <w:rsid w:val="00270D1D"/>
    <w:rsid w:val="002C1CFB"/>
    <w:rsid w:val="002D4CF5"/>
    <w:rsid w:val="0040023F"/>
    <w:rsid w:val="004069FE"/>
    <w:rsid w:val="00584EB4"/>
    <w:rsid w:val="00642CAE"/>
    <w:rsid w:val="00665832"/>
    <w:rsid w:val="00667973"/>
    <w:rsid w:val="00834B1F"/>
    <w:rsid w:val="008E5A09"/>
    <w:rsid w:val="008E7237"/>
    <w:rsid w:val="0092659F"/>
    <w:rsid w:val="009506A8"/>
    <w:rsid w:val="009631F1"/>
    <w:rsid w:val="00965A4C"/>
    <w:rsid w:val="00BD0952"/>
    <w:rsid w:val="00C00987"/>
    <w:rsid w:val="00C321EC"/>
    <w:rsid w:val="00F67CA4"/>
    <w:rsid w:val="00FF195D"/>
    <w:rsid w:val="2A1263BE"/>
    <w:rsid w:val="32C72085"/>
    <w:rsid w:val="3CB7640E"/>
    <w:rsid w:val="3F0932C3"/>
    <w:rsid w:val="478C63F2"/>
    <w:rsid w:val="4D2875A1"/>
    <w:rsid w:val="554C0E23"/>
    <w:rsid w:val="641C22FE"/>
    <w:rsid w:val="6FC16B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nhideWhenUsed/>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Normal (Web)"/>
    <w:basedOn w:val="1"/>
    <w:unhideWhenUsed/>
    <w:qFormat/>
    <w:uiPriority w:val="0"/>
    <w:pPr>
      <w:widowControl/>
      <w:spacing w:before="100" w:beforeAutospacing="1" w:after="100" w:afterAutospacing="1"/>
      <w:jc w:val="left"/>
    </w:pPr>
    <w:rPr>
      <w:rFonts w:ascii="宋体" w:hAnsi="宋体" w:cs="宋体"/>
      <w:kern w:val="0"/>
      <w:sz w:val="24"/>
      <w:szCs w:val="24"/>
    </w:rPr>
  </w:style>
  <w:style w:type="paragraph" w:customStyle="1" w:styleId="5">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873</Words>
  <Characters>4979</Characters>
  <Lines>41</Lines>
  <Paragraphs>11</Paragraphs>
  <TotalTime>6</TotalTime>
  <ScaleCrop>false</ScaleCrop>
  <LinksUpToDate>false</LinksUpToDate>
  <CharactersWithSpaces>5841</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2020-10-07T11:19:00Z</dcterms:created>
  <dc:creator>Administrator</dc:creator>
  <cp:lastModifiedBy>xiemi</cp:lastModifiedBy>
  <dcterms:modified xsi:type="dcterms:W3CDTF">2021-06-23T14:43:12Z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