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jc w:val="center"/>
        <w:rPr>
          <w:sz w:val="56"/>
          <w:szCs w:val="56"/>
        </w:rPr>
      </w:pPr>
    </w:p>
    <w:p>
      <w:pPr>
        <w:pStyle w:val="10"/>
        <w:jc w:val="center"/>
        <w:rPr>
          <w:sz w:val="56"/>
          <w:szCs w:val="56"/>
        </w:rPr>
      </w:pPr>
    </w:p>
    <w:p>
      <w:pPr>
        <w:pStyle w:val="10"/>
        <w:jc w:val="center"/>
        <w:rPr>
          <w:sz w:val="84"/>
          <w:szCs w:val="84"/>
        </w:rPr>
      </w:pPr>
    </w:p>
    <w:p>
      <w:pPr>
        <w:pStyle w:val="10"/>
        <w:jc w:val="center"/>
        <w:rPr>
          <w:sz w:val="84"/>
          <w:szCs w:val="84"/>
        </w:rPr>
      </w:pP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衡南县文化旅游广电体育局</w:t>
      </w: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2019年度部门决算公开材料</w:t>
      </w: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jc w:val="center"/>
        <w:rPr>
          <w:sz w:val="56"/>
          <w:szCs w:val="56"/>
        </w:rPr>
      </w:pPr>
    </w:p>
    <w:p>
      <w:pPr>
        <w:pStyle w:val="10"/>
        <w:spacing w:line="540" w:lineRule="exact"/>
        <w:jc w:val="center"/>
        <w:rPr>
          <w:sz w:val="56"/>
          <w:szCs w:val="56"/>
        </w:rPr>
      </w:pPr>
    </w:p>
    <w:p>
      <w:pPr>
        <w:widowControl/>
        <w:jc w:val="left"/>
        <w:rPr>
          <w:rFonts w:ascii="黑体" w:eastAsia="黑体" w:cs="黑体"/>
          <w:color w:val="000000"/>
          <w:kern w:val="0"/>
          <w:sz w:val="56"/>
          <w:szCs w:val="56"/>
        </w:rPr>
      </w:pPr>
      <w:r>
        <w:rPr>
          <w:sz w:val="56"/>
          <w:szCs w:val="56"/>
        </w:rPr>
        <w:br w:type="page"/>
      </w:r>
    </w:p>
    <w:p>
      <w:pPr>
        <w:pStyle w:val="10"/>
        <w:spacing w:line="520" w:lineRule="exact"/>
        <w:jc w:val="center"/>
        <w:rPr>
          <w:sz w:val="56"/>
          <w:szCs w:val="56"/>
        </w:rPr>
      </w:pPr>
      <w:r>
        <w:rPr>
          <w:rFonts w:hint="eastAsia"/>
          <w:sz w:val="56"/>
          <w:szCs w:val="56"/>
        </w:rPr>
        <w:t>目录</w:t>
      </w:r>
    </w:p>
    <w:p>
      <w:pPr>
        <w:pStyle w:val="10"/>
        <w:spacing w:line="520" w:lineRule="exact"/>
        <w:rPr>
          <w:rFonts w:ascii="仿宋_GB2312" w:hAnsi="仿宋_GB2312" w:cs="仿宋_GB2312"/>
          <w:b/>
          <w:sz w:val="28"/>
          <w:szCs w:val="28"/>
        </w:rPr>
      </w:pPr>
      <w:r>
        <w:rPr>
          <w:rFonts w:hint="eastAsia"/>
          <w:b/>
          <w:sz w:val="28"/>
          <w:szCs w:val="28"/>
        </w:rPr>
        <w:t>第一部分衡南县文化旅游广电体育局单位概况</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一、部门职责</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二、机构设置</w:t>
      </w:r>
    </w:p>
    <w:p>
      <w:pPr>
        <w:pStyle w:val="10"/>
        <w:spacing w:line="520" w:lineRule="exact"/>
        <w:rPr>
          <w:rFonts w:ascii="仿宋_GB2312" w:hAnsi="仿宋_GB2312" w:cs="仿宋_GB2312"/>
          <w:b/>
          <w:sz w:val="28"/>
          <w:szCs w:val="28"/>
        </w:rPr>
      </w:pPr>
      <w:r>
        <w:rPr>
          <w:rFonts w:hint="eastAsia" w:hAnsi="仿宋_GB2312"/>
          <w:b/>
          <w:sz w:val="28"/>
          <w:szCs w:val="28"/>
        </w:rPr>
        <w:t>第二部分</w:t>
      </w:r>
      <w:r>
        <w:rPr>
          <w:rFonts w:hAnsi="仿宋_GB2312"/>
          <w:b/>
          <w:sz w:val="28"/>
          <w:szCs w:val="28"/>
        </w:rPr>
        <w:t>2019</w:t>
      </w:r>
      <w:r>
        <w:rPr>
          <w:rFonts w:hint="eastAsia" w:hAnsi="仿宋_GB2312"/>
          <w:b/>
          <w:sz w:val="28"/>
          <w:szCs w:val="28"/>
        </w:rPr>
        <w:t>年度部门决算表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二、收入决算表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三、支出决算表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四、财政拨款收入支出决算总表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五、一般公共预算财政拨款支出决算表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六、一般公共预算财政拨款基本支出决算表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七、一般公共预算财政拨款“三公”经费支出决算表</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八、政府性基金预算财政拨款收入支出决算表</w:t>
      </w:r>
    </w:p>
    <w:p>
      <w:pPr>
        <w:pStyle w:val="10"/>
        <w:spacing w:line="520" w:lineRule="exact"/>
        <w:rPr>
          <w:rFonts w:ascii="仿宋_GB2312" w:hAnsi="仿宋_GB2312" w:cs="仿宋_GB2312"/>
          <w:b/>
          <w:sz w:val="28"/>
          <w:szCs w:val="28"/>
        </w:rPr>
      </w:pPr>
      <w:r>
        <w:rPr>
          <w:rFonts w:hint="eastAsia" w:hAnsi="仿宋_GB2312"/>
          <w:b/>
          <w:sz w:val="28"/>
          <w:szCs w:val="28"/>
        </w:rPr>
        <w:t>第三部分</w:t>
      </w:r>
      <w:r>
        <w:rPr>
          <w:rFonts w:hAnsi="仿宋_GB2312"/>
          <w:b/>
          <w:sz w:val="28"/>
          <w:szCs w:val="28"/>
        </w:rPr>
        <w:t>2019</w:t>
      </w:r>
      <w:r>
        <w:rPr>
          <w:rFonts w:hint="eastAsia" w:hAnsi="仿宋_GB2312"/>
          <w:b/>
          <w:sz w:val="28"/>
          <w:szCs w:val="28"/>
        </w:rPr>
        <w:t>年度部门决算情况说明</w:t>
      </w:r>
    </w:p>
    <w:p>
      <w:pPr>
        <w:pStyle w:val="10"/>
        <w:spacing w:line="520" w:lineRule="exact"/>
        <w:ind w:firstLine="700" w:firstLineChars="250"/>
        <w:rPr>
          <w:rFonts w:cs="仿宋_GB2312" w:asciiTheme="minorEastAsia" w:hAnsiTheme="minorEastAsia" w:eastAsiaTheme="minorEastAsia"/>
          <w:sz w:val="28"/>
          <w:szCs w:val="28"/>
        </w:rPr>
      </w:pPr>
      <w:r>
        <w:rPr>
          <w:rFonts w:cs="仿宋_GB2312" w:asciiTheme="minorEastAsia" w:hAnsiTheme="minorEastAsia" w:eastAsiaTheme="minorEastAsia"/>
          <w:sz w:val="28"/>
          <w:szCs w:val="28"/>
        </w:rPr>
        <w:t>一、收入支出决算总体情况说明</w:t>
      </w:r>
    </w:p>
    <w:p>
      <w:pPr>
        <w:spacing w:line="520" w:lineRule="exact"/>
        <w:ind w:firstLine="700" w:firstLineChars="250"/>
        <w:jc w:val="left"/>
        <w:rPr>
          <w:rFonts w:ascii="仿宋_GB2312" w:hAnsi="仿宋_GB2312" w:cs="仿宋_GB2312"/>
          <w:sz w:val="28"/>
          <w:szCs w:val="28"/>
        </w:rPr>
      </w:pPr>
      <w:r>
        <w:rPr>
          <w:rFonts w:ascii="仿宋_GB2312" w:hAnsi="仿宋_GB2312" w:cs="仿宋_GB2312"/>
          <w:sz w:val="28"/>
          <w:szCs w:val="28"/>
        </w:rPr>
        <w:t>二、收入决算情况说明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三、支出决算情况说明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四、财政拨款收入支出决算总体情况说明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五、一般公共预算财政拨款支出决算情况说明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六、一般公共预算财政拨款基本支出决算情况说明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ascii="仿宋_GB2312" w:hAnsi="仿宋_GB2312" w:cs="仿宋_GB2312"/>
          <w:color w:val="000000"/>
          <w:kern w:val="0"/>
          <w:sz w:val="28"/>
          <w:szCs w:val="28"/>
        </w:rPr>
        <w:t>七、一般公共预算财政拨款三公经费支出决算情况说明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八</w:t>
      </w:r>
      <w:r>
        <w:rPr>
          <w:rFonts w:ascii="仿宋_GB2312" w:hAnsi="仿宋_GB2312" w:cs="仿宋_GB2312"/>
          <w:color w:val="000000"/>
          <w:kern w:val="0"/>
          <w:sz w:val="28"/>
          <w:szCs w:val="28"/>
        </w:rPr>
        <w:t>、</w:t>
      </w:r>
      <w:r>
        <w:rPr>
          <w:rFonts w:hint="eastAsia" w:ascii="仿宋_GB2312" w:hAnsi="仿宋_GB2312" w:cs="仿宋_GB2312"/>
          <w:color w:val="000000"/>
          <w:kern w:val="0"/>
          <w:sz w:val="28"/>
          <w:szCs w:val="28"/>
        </w:rPr>
        <w:t>政府性基金预算收入支出决算情况</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九</w:t>
      </w:r>
      <w:r>
        <w:rPr>
          <w:rFonts w:ascii="仿宋_GB2312" w:hAnsi="仿宋_GB2312" w:cs="仿宋_GB2312"/>
          <w:color w:val="000000"/>
          <w:kern w:val="0"/>
          <w:sz w:val="28"/>
          <w:szCs w:val="28"/>
        </w:rPr>
        <w:t>、预算绩效情况说明</w:t>
      </w:r>
    </w:p>
    <w:p>
      <w:pPr>
        <w:autoSpaceDE w:val="0"/>
        <w:autoSpaceDN w:val="0"/>
        <w:adjustRightInd w:val="0"/>
        <w:spacing w:line="520" w:lineRule="exact"/>
        <w:ind w:firstLine="700" w:firstLineChars="250"/>
        <w:jc w:val="left"/>
        <w:rPr>
          <w:rFonts w:ascii="仿宋_GB2312" w:hAnsi="仿宋_GB2312" w:cs="仿宋_GB2312"/>
          <w:color w:val="000000"/>
          <w:kern w:val="0"/>
          <w:sz w:val="28"/>
          <w:szCs w:val="28"/>
        </w:rPr>
      </w:pPr>
      <w:r>
        <w:rPr>
          <w:rFonts w:hint="eastAsia" w:ascii="仿宋_GB2312" w:hAnsi="仿宋_GB2312" w:cs="仿宋_GB2312"/>
          <w:color w:val="000000"/>
          <w:kern w:val="0"/>
          <w:sz w:val="28"/>
          <w:szCs w:val="28"/>
        </w:rPr>
        <w:t>十</w:t>
      </w:r>
      <w:r>
        <w:rPr>
          <w:rFonts w:ascii="仿宋_GB2312" w:hAnsi="仿宋_GB2312" w:cs="仿宋_GB2312"/>
          <w:color w:val="000000"/>
          <w:kern w:val="0"/>
          <w:sz w:val="28"/>
          <w:szCs w:val="28"/>
        </w:rPr>
        <w:t>、其他重要事项情况说明</w:t>
      </w:r>
    </w:p>
    <w:p>
      <w:pPr>
        <w:autoSpaceDE w:val="0"/>
        <w:autoSpaceDN w:val="0"/>
        <w:adjustRightInd w:val="0"/>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第四部分名词解释</w:t>
      </w:r>
    </w:p>
    <w:p>
      <w:pPr>
        <w:spacing w:line="520" w:lineRule="exact"/>
        <w:jc w:val="left"/>
        <w:rPr>
          <w:rFonts w:ascii="黑体" w:hAnsi="黑体" w:eastAsia="黑体" w:cs="仿宋_GB2312"/>
          <w:b/>
          <w:color w:val="000000"/>
          <w:kern w:val="0"/>
          <w:sz w:val="28"/>
          <w:szCs w:val="28"/>
        </w:rPr>
      </w:pPr>
      <w:r>
        <w:rPr>
          <w:rFonts w:ascii="黑体" w:hAnsi="黑体" w:eastAsia="黑体" w:cs="黑体"/>
          <w:b/>
          <w:color w:val="000000"/>
          <w:kern w:val="0"/>
          <w:sz w:val="28"/>
          <w:szCs w:val="28"/>
        </w:rPr>
        <w:t>第五部分附件</w:t>
      </w:r>
    </w:p>
    <w:p>
      <w:pPr>
        <w:jc w:val="center"/>
        <w:rPr>
          <w:sz w:val="72"/>
          <w:szCs w:val="72"/>
        </w:rPr>
      </w:pPr>
    </w:p>
    <w:p>
      <w:pPr>
        <w:jc w:val="center"/>
        <w:rPr>
          <w:sz w:val="72"/>
          <w:szCs w:val="72"/>
        </w:rPr>
      </w:pPr>
    </w:p>
    <w:p>
      <w:pPr>
        <w:jc w:val="center"/>
        <w:rPr>
          <w:sz w:val="72"/>
          <w:szCs w:val="72"/>
        </w:rPr>
      </w:pPr>
    </w:p>
    <w:p>
      <w:pPr>
        <w:jc w:val="center"/>
        <w:rPr>
          <w:sz w:val="72"/>
          <w:szCs w:val="72"/>
        </w:rPr>
      </w:pPr>
    </w:p>
    <w:p>
      <w:pPr>
        <w:rPr>
          <w:sz w:val="72"/>
          <w:szCs w:val="72"/>
        </w:rPr>
      </w:pPr>
    </w:p>
    <w:p>
      <w:pPr>
        <w:widowControl/>
        <w:jc w:val="center"/>
        <w:rPr>
          <w:rFonts w:ascii="方正小标宋_GBK" w:hAnsi="方正小标宋_GBK" w:eastAsia="方正小标宋_GBK" w:cs="方正小标宋_GBK"/>
          <w:kern w:val="0"/>
          <w:sz w:val="52"/>
          <w:szCs w:val="52"/>
        </w:rPr>
      </w:pPr>
      <w:r>
        <w:rPr>
          <w:rFonts w:hint="eastAsia" w:ascii="方正小标宋_GBK" w:hAnsi="方正小标宋_GBK" w:eastAsia="方正小标宋_GBK" w:cs="方正小标宋_GBK"/>
          <w:kern w:val="0"/>
          <w:sz w:val="52"/>
          <w:szCs w:val="52"/>
        </w:rPr>
        <w:t>第一部分   单位概况</w:t>
      </w: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jc w:val="center"/>
        <w:rPr>
          <w:sz w:val="72"/>
          <w:szCs w:val="72"/>
        </w:rPr>
      </w:pPr>
    </w:p>
    <w:p>
      <w:pPr>
        <w:widowControl/>
        <w:jc w:val="left"/>
        <w:rPr>
          <w:rFonts w:ascii="方正仿宋_GBK" w:hAnsi="方正仿宋_GBK" w:eastAsia="方正仿宋_GBK" w:cs="方正仿宋_GBK"/>
          <w:b/>
          <w:kern w:val="0"/>
          <w:sz w:val="34"/>
          <w:szCs w:val="34"/>
        </w:rPr>
      </w:pPr>
      <w:r>
        <w:rPr>
          <w:rFonts w:ascii="方正仿宋_GBK" w:hAnsi="方正仿宋_GBK" w:eastAsia="方正仿宋_GBK" w:cs="方正仿宋_GBK"/>
          <w:b/>
          <w:kern w:val="0"/>
          <w:sz w:val="34"/>
          <w:szCs w:val="34"/>
        </w:rPr>
        <w:br w:type="page"/>
      </w:r>
    </w:p>
    <w:p>
      <w:pPr>
        <w:pStyle w:val="14"/>
        <w:spacing w:before="0" w:beforeAutospacing="0" w:afterAutospacing="0" w:line="600" w:lineRule="exact"/>
        <w:ind w:firstLine="680" w:firstLineChars="200"/>
        <w:jc w:val="both"/>
        <w:rPr>
          <w:rFonts w:hint="default" w:ascii="方正黑体_GBK" w:hAnsi="方正黑体_GBK" w:eastAsia="方正黑体_GBK" w:cs="方正黑体_GBK"/>
          <w:sz w:val="34"/>
          <w:szCs w:val="34"/>
        </w:rPr>
      </w:pPr>
      <w:r>
        <w:rPr>
          <w:rFonts w:ascii="方正黑体_GBK" w:hAnsi="方正黑体_GBK" w:eastAsia="方正黑体_GBK" w:cs="方正黑体_GBK"/>
          <w:sz w:val="34"/>
          <w:szCs w:val="34"/>
        </w:rPr>
        <w:t>一、部门职责</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　　１．贯彻执行党和国家有关文化（文物）、旅游、广播电视、体育工作的方针、政策和法律、法规，拟订全县文化（文物）、旅游、广播电视、体育事业发展战略、规划并组织实施；推进文化旅游广电体育领域体制机制改革。</w:t>
      </w:r>
      <w:r>
        <w:rPr>
          <w:rFonts w:hint="eastAsia" w:ascii="方正仿宋_GBK" w:hAnsi="方正仿宋_GBK" w:eastAsia="方正仿宋_GBK" w:cs="方正仿宋_GBK"/>
          <w:kern w:val="0"/>
          <w:sz w:val="34"/>
          <w:szCs w:val="34"/>
        </w:rPr>
        <w:br w:type="textWrapping"/>
      </w:r>
      <w:r>
        <w:rPr>
          <w:rFonts w:hint="eastAsia" w:ascii="方正仿宋_GBK" w:hAnsi="方正仿宋_GBK" w:eastAsia="方正仿宋_GBK" w:cs="方正仿宋_GBK"/>
          <w:kern w:val="0"/>
          <w:sz w:val="34"/>
          <w:szCs w:val="34"/>
        </w:rPr>
        <w:t>　　２．管理全县性重大文体活动，指导重点文体设施建设，统筹规划文化产业、旅游、广电、体育产业，组织实施文化、旅游、广电、体育资源普查、挖掘、保护和利用工作，促进文化、旅游、广电、体育产业发展。</w:t>
      </w:r>
      <w:r>
        <w:rPr>
          <w:rFonts w:hint="eastAsia" w:ascii="方正仿宋_GBK" w:hAnsi="方正仿宋_GBK" w:eastAsia="方正仿宋_GBK" w:cs="方正仿宋_GBK"/>
          <w:kern w:val="0"/>
          <w:sz w:val="34"/>
          <w:szCs w:val="34"/>
        </w:rPr>
        <w:br w:type="textWrapping"/>
      </w:r>
      <w:r>
        <w:rPr>
          <w:rFonts w:hint="eastAsia" w:ascii="方正仿宋_GBK" w:hAnsi="方正仿宋_GBK" w:eastAsia="方正仿宋_GBK" w:cs="方正仿宋_GBK"/>
          <w:kern w:val="0"/>
          <w:sz w:val="34"/>
          <w:szCs w:val="34"/>
        </w:rPr>
        <w:t>　　３．指导文化、旅游、广电、体育市场发展，对文化（文物）、旅游、广电、体育、新闻出版（版权）市场经营进行行业监管，推进行业信用体系建设，依法规范文化、文物、旅游、广电、体育市场。</w:t>
      </w:r>
      <w:r>
        <w:rPr>
          <w:rFonts w:hint="eastAsia" w:ascii="方正仿宋_GBK" w:hAnsi="方正仿宋_GBK" w:eastAsia="方正仿宋_GBK" w:cs="方正仿宋_GBK"/>
          <w:kern w:val="0"/>
          <w:sz w:val="34"/>
          <w:szCs w:val="34"/>
        </w:rPr>
        <w:br w:type="textWrapping"/>
      </w:r>
      <w:r>
        <w:rPr>
          <w:rFonts w:hint="eastAsia" w:ascii="方正仿宋_GBK" w:hAnsi="方正仿宋_GBK" w:eastAsia="方正仿宋_GBK" w:cs="方正仿宋_GBK"/>
          <w:kern w:val="0"/>
          <w:sz w:val="34"/>
          <w:szCs w:val="34"/>
        </w:rPr>
        <w:t>　　４．指导、推进文化（文物）、旅游、广电、体育科技创新发展，推进文化、旅游、广电、体育行业信息化、标准化建设。</w:t>
      </w:r>
      <w:r>
        <w:rPr>
          <w:rFonts w:hint="eastAsia" w:ascii="方正仿宋_GBK" w:hAnsi="方正仿宋_GBK" w:eastAsia="方正仿宋_GBK" w:cs="方正仿宋_GBK"/>
          <w:kern w:val="0"/>
          <w:sz w:val="34"/>
          <w:szCs w:val="34"/>
        </w:rPr>
        <w:br w:type="textWrapping"/>
      </w:r>
      <w:r>
        <w:rPr>
          <w:rFonts w:hint="eastAsia" w:ascii="方正仿宋_GBK" w:hAnsi="方正仿宋_GBK" w:eastAsia="方正仿宋_GBK" w:cs="方正仿宋_GBK"/>
          <w:kern w:val="0"/>
          <w:sz w:val="34"/>
          <w:szCs w:val="34"/>
        </w:rPr>
        <w:t>　　５．推进文化（文物）、旅游、广电、体育领域的公共服务，会同有关部门统筹安排文旅广体相关事业经费；规划、指导全县文化旅游广电体育产品生产；组织、指导、协调全县重点公共文化、旅游、广电、体育设施建设和基层公共文化、体育设施建设；负责指导公共图书馆、文化馆（站）、美术馆、博物馆、纪念馆、 体育场（馆）等基层公共文化体育事业建设。</w:t>
      </w:r>
      <w:r>
        <w:rPr>
          <w:rFonts w:hint="eastAsia" w:ascii="方正仿宋_GBK" w:hAnsi="方正仿宋_GBK" w:eastAsia="方正仿宋_GBK" w:cs="方正仿宋_GBK"/>
          <w:kern w:val="0"/>
          <w:sz w:val="34"/>
          <w:szCs w:val="34"/>
        </w:rPr>
        <w:br w:type="textWrapping"/>
      </w:r>
      <w:r>
        <w:rPr>
          <w:rFonts w:hint="eastAsia" w:ascii="方正仿宋_GBK" w:hAnsi="方正仿宋_GBK" w:eastAsia="方正仿宋_GBK" w:cs="方正仿宋_GBK"/>
          <w:kern w:val="0"/>
          <w:sz w:val="34"/>
          <w:szCs w:val="34"/>
        </w:rPr>
        <w:t>　　６．管理全县文化（文物）、旅游、体育、艺术事业；指导、协调艺术创作与艺术生产；扶持地方性、代表性、示范性、实验性文化艺术品种和体育项目，推动各门类艺术的发展；管理、指导艺术教育事业；指导、组织、协调全县性重大文化和体育活动。负责监测全县文化、旅游、广电、体育经济运行和全县文化、旅游、广电、体育统计及行业信息发布。</w:t>
      </w:r>
      <w:r>
        <w:rPr>
          <w:rFonts w:hint="eastAsia" w:ascii="方正仿宋_GBK" w:hAnsi="方正仿宋_GBK" w:eastAsia="方正仿宋_GBK" w:cs="方正仿宋_GBK"/>
          <w:kern w:val="0"/>
          <w:sz w:val="34"/>
          <w:szCs w:val="34"/>
        </w:rPr>
        <w:br w:type="textWrapping"/>
      </w:r>
      <w:r>
        <w:rPr>
          <w:rFonts w:hint="eastAsia" w:ascii="方正仿宋_GBK" w:hAnsi="方正仿宋_GBK" w:eastAsia="方正仿宋_GBK" w:cs="方正仿宋_GBK"/>
          <w:kern w:val="0"/>
          <w:sz w:val="34"/>
          <w:szCs w:val="34"/>
        </w:rPr>
        <w:t>　　７．指导、监督管理全县文化市场综合执法和文物、旅游、体育、新闻出版（版权）行政执法工作；负责对从事演艺活动的民办机构和网络游戏服务进行监管（不含网络游戏的网上出版前置审批）。</w:t>
      </w:r>
      <w:r>
        <w:rPr>
          <w:rFonts w:hint="eastAsia" w:ascii="方正仿宋_GBK" w:hAnsi="方正仿宋_GBK" w:eastAsia="方正仿宋_GBK" w:cs="方正仿宋_GBK"/>
          <w:kern w:val="0"/>
          <w:sz w:val="34"/>
          <w:szCs w:val="34"/>
        </w:rPr>
        <w:br w:type="textWrapping"/>
      </w:r>
      <w:r>
        <w:rPr>
          <w:rFonts w:hint="eastAsia" w:ascii="方正仿宋_GBK" w:hAnsi="方正仿宋_GBK" w:eastAsia="方正仿宋_GBK" w:cs="方正仿宋_GBK"/>
          <w:kern w:val="0"/>
          <w:sz w:val="34"/>
          <w:szCs w:val="34"/>
        </w:rPr>
        <w:t>　　８．统筹规划指导全县群众体育发展及活动开展；负责推行全民健身计划，监督实施国家体育锻炼标准；推动国民体质监测和社会体育指导工作队伍制度建设。</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9. 组织管理体育训练、体育竞赛、运动队伍建设，协调运动员社会保障工作；统筹规划青少年体育发展，加强体育后备人才建设，指导和推进青少年体育工作。</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10. 指导和监督全县广播电视事业，实施准入和退出管理；拟订发展规划；负责对广播电视播出机构所播出的节目内容、质量及传输、监测、播出、覆盖等进行监管；指导、协调电信网、广播电视网、互联网融合中的相关工作。</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11. 协调和指导全县文物的保护、管理和利用工作。履行文物行政执法督察职责，依法组织协调重大文物违法案件的查处，协同有关部门查处文物犯罪的重大案件；负责文化遗产申报及保护、管理的监督工作，协同有关部门负责历史文化名城（镇、村）保护和监督管理工作。</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12. 管理全县非物质文化遗产保护工作，拟订非物质文化遗产保护规划并组织实施；负责优秀民族文化的传承普及工作。</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13. 拟订全县文旅广体系统人才教育、培训规划并组织实施；负责相关系列专业技术职称申报工作。</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14. 承办县委、县政府交办的其他事项。</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（二）机构设置</w:t>
      </w:r>
      <w:r>
        <w:rPr>
          <w:rFonts w:hint="eastAsia" w:ascii="方正仿宋_GBK" w:hAnsi="方正仿宋_GBK" w:eastAsia="方正仿宋_GBK" w:cs="方正仿宋_GBK"/>
          <w:kern w:val="0"/>
          <w:sz w:val="34"/>
          <w:szCs w:val="34"/>
        </w:rPr>
        <w:br w:type="textWrapping"/>
      </w:r>
      <w:r>
        <w:rPr>
          <w:rFonts w:hint="eastAsia" w:ascii="方正仿宋_GBK" w:hAnsi="方正仿宋_GBK" w:eastAsia="方正仿宋_GBK" w:cs="方正仿宋_GBK"/>
          <w:kern w:val="0"/>
          <w:sz w:val="34"/>
          <w:szCs w:val="34"/>
        </w:rPr>
        <w:t>　　局机关设办公室、政策法规与组织人事股、行政审批服务股与市场监管股、公共文化艺术服务股、旅游与文化遗产管理股、广播电视与科技规划发展股、群众体育竞训股（挂体育总会秘书处牌子）、审计与财务股共8个股室，二级机构有文化馆、图书馆、文化市场综合执法大队、文化遗产事务中心、全民健身服务中心、业余体校等六个。</w:t>
      </w:r>
    </w:p>
    <w:p>
      <w:pPr>
        <w:pStyle w:val="14"/>
        <w:spacing w:before="0" w:beforeAutospacing="0" w:afterAutospacing="0" w:line="600" w:lineRule="exact"/>
        <w:ind w:firstLine="680" w:firstLineChars="200"/>
        <w:jc w:val="both"/>
        <w:rPr>
          <w:rFonts w:hint="default" w:ascii="方正黑体_GBK" w:hAnsi="方正黑体_GBK" w:eastAsia="方正黑体_GBK" w:cs="方正黑体_GBK"/>
          <w:sz w:val="34"/>
          <w:szCs w:val="34"/>
        </w:rPr>
      </w:pPr>
      <w:r>
        <w:rPr>
          <w:rFonts w:ascii="方正黑体_GBK" w:hAnsi="方正黑体_GBK" w:eastAsia="方正黑体_GBK" w:cs="方正黑体_GBK"/>
          <w:sz w:val="34"/>
          <w:szCs w:val="34"/>
        </w:rPr>
        <w:t>二、机构设置及决算单位构成</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一）内设机构设置。衡南县文化旅游广电体育局内设机构包括：办公室、政策法规与组织人事股、行政审批服务股与市场监管股、公共文化艺术服务股、旅游与文化遗产管理股、广播电视与科技规划发展股、群众体育竞训股（挂体育总会秘书处牌子）、审计与财务股共8个股室</w:t>
      </w:r>
    </w:p>
    <w:p>
      <w:pPr>
        <w:widowControl/>
        <w:autoSpaceDE w:val="0"/>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（二）决算单位构成。衡南县文化旅游广电体育局</w:t>
      </w:r>
      <w:r>
        <w:rPr>
          <w:rFonts w:ascii="方正仿宋_GBK" w:hAnsi="方正仿宋_GBK" w:eastAsia="方正仿宋_GBK" w:cs="方正仿宋_GBK"/>
          <w:kern w:val="0"/>
          <w:sz w:val="34"/>
          <w:szCs w:val="34"/>
        </w:rPr>
        <w:t>2019</w:t>
      </w:r>
      <w:r>
        <w:rPr>
          <w:rFonts w:hint="eastAsia" w:ascii="方正仿宋_GBK" w:hAnsi="方正仿宋_GBK" w:eastAsia="方正仿宋_GBK" w:cs="方正仿宋_GBK"/>
          <w:kern w:val="0"/>
          <w:sz w:val="34"/>
          <w:szCs w:val="34"/>
        </w:rPr>
        <w:t>年部门决算汇总公开单位构成包括：衡南县文化旅游广电体育局本级以及非独立核算的事业单位27个乡镇（片区、办事处）综合文化站。</w:t>
      </w:r>
    </w:p>
    <w:p>
      <w:pPr>
        <w:ind w:firstLine="680" w:firstLineChars="200"/>
        <w:rPr>
          <w:rFonts w:ascii="方正仿宋_GBK" w:hAnsi="方正仿宋_GBK" w:eastAsia="方正仿宋_GBK" w:cs="方正仿宋_GBK"/>
          <w:b/>
          <w:kern w:val="0"/>
          <w:sz w:val="34"/>
          <w:szCs w:val="34"/>
        </w:rPr>
      </w:pPr>
    </w:p>
    <w:p>
      <w:pPr>
        <w:widowControl/>
        <w:autoSpaceDE w:val="0"/>
        <w:spacing w:line="600" w:lineRule="exact"/>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b/>
          <w:kern w:val="0"/>
          <w:sz w:val="34"/>
          <w:szCs w:val="34"/>
        </w:rPr>
      </w:pPr>
    </w:p>
    <w:p>
      <w:pPr>
        <w:widowControl/>
        <w:jc w:val="left"/>
        <w:rPr>
          <w:rFonts w:ascii="方正仿宋_GBK" w:hAnsi="方正仿宋_GBK" w:eastAsia="方正仿宋_GBK" w:cs="方正仿宋_GBK"/>
          <w:b/>
          <w:kern w:val="0"/>
          <w:sz w:val="34"/>
          <w:szCs w:val="34"/>
        </w:rPr>
      </w:pPr>
      <w:r>
        <w:rPr>
          <w:rFonts w:ascii="方正仿宋_GBK" w:hAnsi="方正仿宋_GBK" w:eastAsia="方正仿宋_GBK" w:cs="方正仿宋_GBK"/>
          <w:b/>
          <w:kern w:val="0"/>
          <w:sz w:val="34"/>
          <w:szCs w:val="34"/>
        </w:rPr>
        <w:br w:type="page"/>
      </w:r>
    </w:p>
    <w:p>
      <w:pPr>
        <w:ind w:firstLine="680" w:firstLineChars="200"/>
        <w:rPr>
          <w:rFonts w:ascii="方正仿宋_GBK" w:hAnsi="方正仿宋_GBK" w:eastAsia="方正仿宋_GBK" w:cs="方正仿宋_GBK"/>
          <w:b/>
          <w:kern w:val="0"/>
          <w:sz w:val="34"/>
          <w:szCs w:val="34"/>
        </w:rPr>
      </w:pPr>
    </w:p>
    <w:p>
      <w:pPr>
        <w:jc w:val="center"/>
        <w:rPr>
          <w:rFonts w:ascii="黑体" w:hAnsi="黑体" w:eastAsia="黑体"/>
          <w:sz w:val="28"/>
          <w:szCs w:val="28"/>
        </w:rPr>
      </w:pPr>
    </w:p>
    <w:p>
      <w:pPr>
        <w:jc w:val="center"/>
        <w:rPr>
          <w:rFonts w:ascii="黑体" w:hAnsi="黑体" w:eastAsia="黑体"/>
          <w:sz w:val="28"/>
          <w:szCs w:val="28"/>
        </w:rPr>
      </w:pPr>
    </w:p>
    <w:p>
      <w:pPr>
        <w:jc w:val="center"/>
        <w:rPr>
          <w:rFonts w:ascii="方正小标宋_GBK" w:hAnsi="方正小标宋_GBK" w:eastAsia="方正小标宋_GBK" w:cs="方正小标宋_GBK"/>
          <w:kern w:val="0"/>
          <w:sz w:val="40"/>
          <w:szCs w:val="40"/>
        </w:rPr>
      </w:pPr>
      <w:r>
        <w:rPr>
          <w:rFonts w:hint="eastAsia" w:ascii="方正小标宋_GBK" w:hAnsi="方正小标宋_GBK" w:eastAsia="方正小标宋_GBK" w:cs="方正小标宋_GBK"/>
          <w:kern w:val="0"/>
          <w:sz w:val="40"/>
          <w:szCs w:val="40"/>
        </w:rPr>
        <w:t>第二部分   2019年部门决算表</w:t>
      </w:r>
    </w:p>
    <w:p>
      <w:pPr>
        <w:jc w:val="center"/>
        <w:rPr>
          <w:rFonts w:ascii="黑体" w:hAnsi="黑体" w:eastAsia="黑体"/>
          <w:sz w:val="72"/>
          <w:szCs w:val="72"/>
        </w:rPr>
      </w:pPr>
    </w:p>
    <w:p>
      <w:pPr>
        <w:jc w:val="center"/>
        <w:rPr>
          <w:sz w:val="72"/>
          <w:szCs w:val="72"/>
        </w:rPr>
      </w:pPr>
      <w:r>
        <w:rPr>
          <w:sz w:val="72"/>
          <w:szCs w:val="72"/>
        </w:rPr>
        <w:drawing>
          <wp:inline distT="0" distB="0" distL="0" distR="0">
            <wp:extent cx="5780405" cy="6534150"/>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4" cstate="print"/>
                    <a:srcRect/>
                    <a:stretch>
                      <a:fillRect/>
                    </a:stretch>
                  </pic:blipFill>
                  <pic:spPr>
                    <a:xfrm>
                      <a:off x="0" y="0"/>
                      <a:ext cx="5785805" cy="6540167"/>
                    </a:xfrm>
                    <a:prstGeom prst="rect">
                      <a:avLst/>
                    </a:prstGeom>
                    <a:noFill/>
                    <a:ln w="9525">
                      <a:noFill/>
                      <a:miter lim="800000"/>
                      <a:headEnd/>
                      <a:tailEnd/>
                    </a:ln>
                  </pic:spPr>
                </pic:pic>
              </a:graphicData>
            </a:graphic>
          </wp:inline>
        </w:drawing>
      </w:r>
    </w:p>
    <w:p>
      <w:pPr>
        <w:jc w:val="left"/>
        <w:rPr>
          <w:sz w:val="32"/>
          <w:szCs w:val="32"/>
        </w:rPr>
      </w:pPr>
    </w:p>
    <w:p>
      <w:pPr>
        <w:jc w:val="left"/>
        <w:rPr>
          <w:rFonts w:asciiTheme="minorEastAsia" w:hAnsiTheme="minorEastAsia"/>
          <w:sz w:val="32"/>
          <w:szCs w:val="32"/>
        </w:rPr>
      </w:pPr>
      <w:r>
        <w:rPr>
          <w:rFonts w:asciiTheme="minorEastAsia" w:hAnsiTheme="minorEastAsia"/>
          <w:sz w:val="32"/>
          <w:szCs w:val="32"/>
        </w:rPr>
        <w:drawing>
          <wp:inline distT="0" distB="0" distL="0" distR="0">
            <wp:extent cx="5334000" cy="7448550"/>
            <wp:effectExtent l="1905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5" cstate="print"/>
                    <a:srcRect/>
                    <a:stretch>
                      <a:fillRect/>
                    </a:stretch>
                  </pic:blipFill>
                  <pic:spPr>
                    <a:xfrm>
                      <a:off x="0" y="0"/>
                      <a:ext cx="5337810" cy="7453870"/>
                    </a:xfrm>
                    <a:prstGeom prst="rect">
                      <a:avLst/>
                    </a:prstGeom>
                    <a:noFill/>
                    <a:ln w="9525">
                      <a:noFill/>
                      <a:miter lim="800000"/>
                      <a:headEnd/>
                      <a:tailEnd/>
                    </a:ln>
                  </pic:spPr>
                </pic:pic>
              </a:graphicData>
            </a:graphic>
          </wp:inline>
        </w:drawing>
      </w:r>
      <w:r>
        <w:rPr>
          <w:rFonts w:asciiTheme="minorEastAsia" w:hAnsiTheme="minorEastAsia"/>
          <w:sz w:val="32"/>
          <w:szCs w:val="32"/>
        </w:rPr>
        <w:drawing>
          <wp:inline distT="0" distB="0" distL="0" distR="0">
            <wp:extent cx="5334000" cy="7734300"/>
            <wp:effectExtent l="1905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noChangeArrowheads="1"/>
                    </pic:cNvPicPr>
                  </pic:nvPicPr>
                  <pic:blipFill>
                    <a:blip r:embed="rId6" cstate="print"/>
                    <a:srcRect/>
                    <a:stretch>
                      <a:fillRect/>
                    </a:stretch>
                  </pic:blipFill>
                  <pic:spPr>
                    <a:xfrm>
                      <a:off x="0" y="0"/>
                      <a:ext cx="5337810" cy="7739825"/>
                    </a:xfrm>
                    <a:prstGeom prst="rect">
                      <a:avLst/>
                    </a:prstGeom>
                    <a:noFill/>
                    <a:ln w="9525">
                      <a:noFill/>
                      <a:miter lim="800000"/>
                      <a:headEnd/>
                      <a:tailEnd/>
                    </a:ln>
                  </pic:spPr>
                </pic:pic>
              </a:graphicData>
            </a:graphic>
          </wp:inline>
        </w:drawing>
      </w:r>
      <w:r>
        <w:rPr>
          <w:rFonts w:asciiTheme="minorEastAsia" w:hAnsiTheme="minorEastAsia"/>
          <w:sz w:val="32"/>
          <w:szCs w:val="32"/>
        </w:rPr>
        <w:drawing>
          <wp:inline distT="0" distB="0" distL="0" distR="0">
            <wp:extent cx="5334000" cy="7943850"/>
            <wp:effectExtent l="19050" t="0" r="0" b="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noChangeArrowheads="1"/>
                    </pic:cNvPicPr>
                  </pic:nvPicPr>
                  <pic:blipFill>
                    <a:blip r:embed="rId7" cstate="print"/>
                    <a:srcRect/>
                    <a:stretch>
                      <a:fillRect/>
                    </a:stretch>
                  </pic:blipFill>
                  <pic:spPr>
                    <a:xfrm>
                      <a:off x="0" y="0"/>
                      <a:ext cx="5337810" cy="7949524"/>
                    </a:xfrm>
                    <a:prstGeom prst="rect">
                      <a:avLst/>
                    </a:prstGeom>
                    <a:noFill/>
                    <a:ln w="9525">
                      <a:noFill/>
                      <a:miter lim="800000"/>
                      <a:headEnd/>
                      <a:tailEnd/>
                    </a:ln>
                  </pic:spPr>
                </pic:pic>
              </a:graphicData>
            </a:graphic>
          </wp:inline>
        </w:drawing>
      </w:r>
      <w:r>
        <w:rPr>
          <w:rFonts w:asciiTheme="minorEastAsia" w:hAnsiTheme="minorEastAsia"/>
          <w:sz w:val="32"/>
          <w:szCs w:val="32"/>
        </w:rPr>
        <w:drawing>
          <wp:inline distT="0" distB="0" distL="0" distR="0">
            <wp:extent cx="5334000" cy="8353425"/>
            <wp:effectExtent l="1905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8" cstate="print"/>
                    <a:srcRect/>
                    <a:stretch>
                      <a:fillRect/>
                    </a:stretch>
                  </pic:blipFill>
                  <pic:spPr>
                    <a:xfrm>
                      <a:off x="0" y="0"/>
                      <a:ext cx="5337810" cy="8359392"/>
                    </a:xfrm>
                    <a:prstGeom prst="rect">
                      <a:avLst/>
                    </a:prstGeom>
                    <a:noFill/>
                    <a:ln w="9525">
                      <a:noFill/>
                      <a:miter lim="800000"/>
                      <a:headEnd/>
                      <a:tailEnd/>
                    </a:ln>
                  </pic:spPr>
                </pic:pic>
              </a:graphicData>
            </a:graphic>
          </wp:inline>
        </w:drawing>
      </w:r>
      <w:r>
        <w:rPr>
          <w:rFonts w:asciiTheme="minorEastAsia" w:hAnsiTheme="minorEastAsia"/>
          <w:sz w:val="32"/>
          <w:szCs w:val="32"/>
        </w:rPr>
        <w:drawing>
          <wp:inline distT="0" distB="0" distL="0" distR="0">
            <wp:extent cx="5610225" cy="7820025"/>
            <wp:effectExtent l="19050" t="0" r="9525" b="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6"/>
                    <pic:cNvPicPr>
                      <a:picLocks noChangeAspect="1" noChangeArrowheads="1"/>
                    </pic:cNvPicPr>
                  </pic:nvPicPr>
                  <pic:blipFill>
                    <a:blip r:embed="rId9" cstate="print"/>
                    <a:srcRect/>
                    <a:stretch>
                      <a:fillRect/>
                    </a:stretch>
                  </pic:blipFill>
                  <pic:spPr>
                    <a:xfrm>
                      <a:off x="0" y="0"/>
                      <a:ext cx="5614233" cy="7825612"/>
                    </a:xfrm>
                    <a:prstGeom prst="rect">
                      <a:avLst/>
                    </a:prstGeom>
                    <a:noFill/>
                    <a:ln w="9525">
                      <a:noFill/>
                      <a:miter lim="800000"/>
                      <a:headEnd/>
                      <a:tailEnd/>
                    </a:ln>
                  </pic:spPr>
                </pic:pic>
              </a:graphicData>
            </a:graphic>
          </wp:inline>
        </w:drawing>
      </w:r>
      <w:r>
        <w:rPr>
          <w:rFonts w:asciiTheme="minorEastAsia" w:hAnsiTheme="minorEastAsia"/>
          <w:sz w:val="32"/>
          <w:szCs w:val="32"/>
        </w:rPr>
        <w:drawing>
          <wp:inline distT="0" distB="0" distL="0" distR="0">
            <wp:extent cx="5334000" cy="2028825"/>
            <wp:effectExtent l="19050" t="0" r="0" b="0"/>
            <wp:docPr id="19"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pic:cNvPicPr>
                      <a:picLocks noChangeAspect="1" noChangeArrowheads="1"/>
                    </pic:cNvPicPr>
                  </pic:nvPicPr>
                  <pic:blipFill>
                    <a:blip r:embed="rId10" cstate="print"/>
                    <a:srcRect/>
                    <a:stretch>
                      <a:fillRect/>
                    </a:stretch>
                  </pic:blipFill>
                  <pic:spPr>
                    <a:xfrm>
                      <a:off x="0" y="0"/>
                      <a:ext cx="5337810" cy="2030274"/>
                    </a:xfrm>
                    <a:prstGeom prst="rect">
                      <a:avLst/>
                    </a:prstGeom>
                    <a:noFill/>
                    <a:ln w="9525">
                      <a:noFill/>
                      <a:miter lim="800000"/>
                      <a:headEnd/>
                      <a:tailEnd/>
                    </a:ln>
                  </pic:spPr>
                </pic:pic>
              </a:graphicData>
            </a:graphic>
          </wp:inline>
        </w:drawing>
      </w:r>
    </w:p>
    <w:p>
      <w:pPr>
        <w:jc w:val="left"/>
        <w:rPr>
          <w:rFonts w:asciiTheme="minorEastAsia" w:hAnsiTheme="minorEastAsia"/>
          <w:sz w:val="32"/>
          <w:szCs w:val="32"/>
        </w:rPr>
      </w:pPr>
    </w:p>
    <w:p>
      <w:pPr>
        <w:jc w:val="left"/>
        <w:rPr>
          <w:rFonts w:asciiTheme="minorEastAsia" w:hAnsiTheme="minorEastAsia"/>
          <w:sz w:val="32"/>
          <w:szCs w:val="32"/>
        </w:rPr>
      </w:pPr>
    </w:p>
    <w:p>
      <w:pPr>
        <w:jc w:val="left"/>
        <w:rPr>
          <w:rFonts w:asciiTheme="minorEastAsia" w:hAnsiTheme="minorEastAsia"/>
          <w:sz w:val="32"/>
          <w:szCs w:val="32"/>
        </w:rPr>
      </w:pPr>
    </w:p>
    <w:p>
      <w:pPr>
        <w:jc w:val="left"/>
        <w:rPr>
          <w:rFonts w:asciiTheme="minorEastAsia" w:hAnsiTheme="minorEastAsia"/>
          <w:sz w:val="32"/>
          <w:szCs w:val="32"/>
        </w:rPr>
        <w:sectPr>
          <w:pgSz w:w="11906" w:h="16838"/>
          <w:pgMar w:top="1440" w:right="1700" w:bottom="1440" w:left="1800" w:header="851" w:footer="992" w:gutter="0"/>
          <w:cols w:space="425" w:num="1"/>
          <w:docGrid w:type="lines" w:linePitch="312" w:charSpace="0"/>
        </w:sectPr>
      </w:pPr>
      <w:r>
        <w:rPr>
          <w:rFonts w:asciiTheme="minorEastAsia" w:hAnsiTheme="minorEastAsia"/>
          <w:sz w:val="32"/>
          <w:szCs w:val="32"/>
        </w:rPr>
        <w:drawing>
          <wp:inline distT="0" distB="0" distL="0" distR="0">
            <wp:extent cx="5325745" cy="3676650"/>
            <wp:effectExtent l="19050" t="0" r="7942" b="0"/>
            <wp:docPr id="2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pic:cNvPicPr>
                      <a:picLocks noChangeAspect="1" noChangeArrowheads="1"/>
                    </pic:cNvPicPr>
                  </pic:nvPicPr>
                  <pic:blipFill>
                    <a:blip r:embed="rId11" cstate="print"/>
                    <a:srcRect/>
                    <a:stretch>
                      <a:fillRect/>
                    </a:stretch>
                  </pic:blipFill>
                  <pic:spPr>
                    <a:xfrm>
                      <a:off x="0" y="0"/>
                      <a:ext cx="5337810" cy="3684763"/>
                    </a:xfrm>
                    <a:prstGeom prst="rect">
                      <a:avLst/>
                    </a:prstGeom>
                    <a:noFill/>
                    <a:ln w="9525">
                      <a:noFill/>
                      <a:miter lim="800000"/>
                      <a:headEnd/>
                      <a:tailEnd/>
                    </a:ln>
                  </pic:spPr>
                </pic:pic>
              </a:graphicData>
            </a:graphic>
          </wp:inline>
        </w:drawing>
      </w:r>
    </w:p>
    <w:p>
      <w:pPr>
        <w:pStyle w:val="10"/>
        <w:rPr>
          <w:sz w:val="72"/>
          <w:szCs w:val="72"/>
        </w:rPr>
      </w:pPr>
    </w:p>
    <w:p>
      <w:pPr>
        <w:pStyle w:val="10"/>
        <w:rPr>
          <w:sz w:val="72"/>
          <w:szCs w:val="72"/>
        </w:rPr>
      </w:pPr>
    </w:p>
    <w:p>
      <w:pPr>
        <w:pStyle w:val="10"/>
        <w:rPr>
          <w:sz w:val="72"/>
          <w:szCs w:val="72"/>
        </w:rPr>
      </w:pPr>
    </w:p>
    <w:p>
      <w:pPr>
        <w:pStyle w:val="10"/>
        <w:rPr>
          <w:sz w:val="72"/>
          <w:szCs w:val="72"/>
        </w:rPr>
      </w:pPr>
    </w:p>
    <w:p>
      <w:pPr>
        <w:pStyle w:val="10"/>
        <w:jc w:val="center"/>
        <w:rPr>
          <w:sz w:val="72"/>
          <w:szCs w:val="72"/>
        </w:rPr>
      </w:pPr>
    </w:p>
    <w:p>
      <w:pPr>
        <w:pStyle w:val="10"/>
        <w:jc w:val="center"/>
        <w:rPr>
          <w:sz w:val="72"/>
          <w:szCs w:val="72"/>
        </w:rPr>
      </w:pPr>
    </w:p>
    <w:p>
      <w:pPr>
        <w:jc w:val="center"/>
        <w:rPr>
          <w:rFonts w:ascii="方正小标宋_GBK" w:hAnsi="方正小标宋_GBK" w:eastAsia="方正小标宋_GBK" w:cs="方正小标宋_GBK"/>
          <w:kern w:val="0"/>
          <w:sz w:val="40"/>
          <w:szCs w:val="40"/>
        </w:rPr>
      </w:pPr>
      <w:r>
        <w:rPr>
          <w:rFonts w:hint="eastAsia" w:ascii="方正小标宋_GBK" w:hAnsi="方正小标宋_GBK" w:eastAsia="方正小标宋_GBK" w:cs="方正小标宋_GBK"/>
          <w:kern w:val="0"/>
          <w:sz w:val="40"/>
          <w:szCs w:val="40"/>
        </w:rPr>
        <w:t xml:space="preserve">第三部分   </w:t>
      </w:r>
      <w:r>
        <w:rPr>
          <w:rFonts w:ascii="方正小标宋_GBK" w:hAnsi="方正小标宋_GBK" w:eastAsia="方正小标宋_GBK" w:cs="方正小标宋_GBK"/>
          <w:kern w:val="0"/>
          <w:sz w:val="40"/>
          <w:szCs w:val="40"/>
        </w:rPr>
        <w:t>2019</w:t>
      </w:r>
      <w:r>
        <w:rPr>
          <w:rFonts w:hint="eastAsia" w:ascii="方正小标宋_GBK" w:hAnsi="方正小标宋_GBK" w:eastAsia="方正小标宋_GBK" w:cs="方正小标宋_GBK"/>
          <w:kern w:val="0"/>
          <w:sz w:val="40"/>
          <w:szCs w:val="40"/>
        </w:rPr>
        <w:t>年度部门决算情况说明</w:t>
      </w:r>
    </w:p>
    <w:p>
      <w:pPr>
        <w:widowControl/>
        <w:jc w:val="left"/>
        <w:rPr>
          <w:rFonts w:ascii="黑体" w:eastAsia="黑体" w:cs="黑体"/>
          <w:color w:val="000000"/>
          <w:kern w:val="0"/>
          <w:sz w:val="70"/>
          <w:szCs w:val="70"/>
        </w:rPr>
      </w:pPr>
      <w:r>
        <w:rPr>
          <w:sz w:val="70"/>
          <w:szCs w:val="70"/>
        </w:rPr>
        <w:br w:type="page"/>
      </w:r>
    </w:p>
    <w:p>
      <w:pPr>
        <w:pStyle w:val="14"/>
        <w:spacing w:before="0" w:beforeAutospacing="0" w:afterAutospacing="0" w:line="600" w:lineRule="exact"/>
        <w:jc w:val="center"/>
        <w:rPr>
          <w:rFonts w:hint="default" w:ascii="方正小标宋_GBK" w:hAnsi="方正小标宋_GBK" w:eastAsia="方正小标宋_GBK" w:cs="方正小标宋_GBK"/>
          <w:sz w:val="40"/>
          <w:szCs w:val="40"/>
        </w:rPr>
      </w:pPr>
    </w:p>
    <w:p>
      <w:pPr>
        <w:pStyle w:val="14"/>
        <w:spacing w:before="0" w:beforeAutospacing="0" w:afterAutospacing="0" w:line="600" w:lineRule="exact"/>
        <w:jc w:val="center"/>
        <w:rPr>
          <w:rFonts w:hint="default" w:ascii="方正小标宋_GBK" w:hAnsi="方正小标宋_GBK" w:eastAsia="方正小标宋_GBK" w:cs="方正小标宋_GBK"/>
          <w:sz w:val="40"/>
          <w:szCs w:val="40"/>
        </w:rPr>
      </w:pPr>
      <w:r>
        <w:rPr>
          <w:rFonts w:ascii="方正小标宋_GBK" w:hAnsi="方正小标宋_GBK" w:eastAsia="方正小标宋_GBK" w:cs="方正小标宋_GBK"/>
          <w:sz w:val="40"/>
          <w:szCs w:val="40"/>
        </w:rPr>
        <w:t>第三部分  2019年度部门决算情况说明</w:t>
      </w:r>
    </w:p>
    <w:p>
      <w:pPr>
        <w:pStyle w:val="10"/>
        <w:rPr>
          <w:rFonts w:asciiTheme="minorEastAsia" w:hAnsiTheme="minorEastAsia" w:eastAsiaTheme="minorEastAsia"/>
          <w:sz w:val="32"/>
          <w:szCs w:val="32"/>
        </w:rPr>
      </w:pP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一、收入支出决算总体情况说明</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 年度收、支总计2012.88万元。与2018年相比，增加195万元，增长（减少）10.73%，主要是因为本年财政拨款收入较上年增加195万元。</w:t>
      </w:r>
    </w:p>
    <w:p>
      <w:pPr>
        <w:widowControl/>
        <w:spacing w:line="600" w:lineRule="exact"/>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kern w:val="0"/>
          <w:sz w:val="34"/>
          <w:szCs w:val="34"/>
        </w:rPr>
        <w:t>2019年度支出总计2012.88万元，较上年决算数增加195万元，增加10.73%，主要原因是一般公共服务支出较上年减少16万元、文化旅游体育与传媒支出较上年减少250.25万元、卫生健康支出减少0.92万元、住房保障支出减少1.22万元、社会保障和就业支出较上年增加0.8万元、城乡社区支出较上年增加30万元、其他支出较上年增加432.6万元</w:t>
      </w:r>
      <w:r>
        <w:rPr>
          <w:rFonts w:hint="eastAsia" w:ascii="方正仿宋_GBK" w:hAnsi="方正仿宋_GBK" w:eastAsia="方正仿宋_GBK" w:cs="方正仿宋_GBK"/>
          <w:b/>
          <w:kern w:val="0"/>
          <w:sz w:val="34"/>
          <w:szCs w:val="34"/>
        </w:rPr>
        <w:t>。</w:t>
      </w:r>
    </w:p>
    <w:p>
      <w:pPr>
        <w:ind w:firstLine="680" w:firstLineChars="200"/>
        <w:rPr>
          <w:rFonts w:ascii="方正仿宋_GBK" w:hAnsi="方正仿宋_GBK" w:eastAsia="方正仿宋_GBK" w:cs="方正仿宋_GBK"/>
          <w:b/>
          <w:kern w:val="0"/>
          <w:sz w:val="34"/>
          <w:szCs w:val="34"/>
        </w:rPr>
      </w:pP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二、收入决算情况说明</w:t>
      </w:r>
    </w:p>
    <w:p>
      <w:pPr>
        <w:widowControl/>
        <w:spacing w:line="600" w:lineRule="exact"/>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kern w:val="0"/>
          <w:sz w:val="34"/>
          <w:szCs w:val="34"/>
        </w:rPr>
        <w:t>2019年度本年收入合计2002.05万元，较上年决算数增加195万元，增长10.73%。本年收入决算各项构成及占比情况如下：</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（一）财政拨款收入1417.92万元，占本年收入合计的70.82%。</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（二）政府性基金预算收入财政拨款收入584.13万元，占本年收入合计的29.18%。</w:t>
      </w: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三、支出决算情况说明</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度本年支出合计2002.05万元，较上年决算数增加195万元，增长10.73%。本年支出按支出性质和经济分类：基本支出1053.42万元，占比52.62%；项目支出948.63万元，占比47.38%。本年支出按功能分类各项构成及占比情况如下：</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b/>
          <w:kern w:val="0"/>
          <w:sz w:val="34"/>
          <w:szCs w:val="34"/>
        </w:rPr>
        <w:t>（</w:t>
      </w:r>
      <w:r>
        <w:rPr>
          <w:rFonts w:hint="eastAsia" w:ascii="方正仿宋_GBK" w:hAnsi="方正仿宋_GBK" w:eastAsia="方正仿宋_GBK" w:cs="方正仿宋_GBK"/>
          <w:kern w:val="0"/>
          <w:sz w:val="34"/>
          <w:szCs w:val="34"/>
        </w:rPr>
        <w:t>一）一般公共服务支出2万元，占本年支出合计的0.1%。</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（二）文化旅游体育与传媒支出1226.47万元，占本年支出合计的61.26%。</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（三）社会保障和就业支出166.59万元，占本年支出合计的8.32%。</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（四）卫生健康支出14.5万元，占本年支出合计的0.72%。</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（五）城乡社区支出30万元，占本年支出合计的1.5%。</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（六）住房保障支出8.35万元，占本年支出合计的0.42%。</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（七）其他支出554.13万元，占本年支出合计的27.68%。</w:t>
      </w: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四、财政拨款收入支出决算总体情况说明</w:t>
      </w:r>
    </w:p>
    <w:p>
      <w:pPr>
        <w:widowControl/>
        <w:spacing w:line="600" w:lineRule="exact"/>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 xml:space="preserve">  </w:t>
      </w:r>
      <w:r>
        <w:rPr>
          <w:rFonts w:hint="eastAsia" w:ascii="方正仿宋_GBK" w:hAnsi="方正仿宋_GBK" w:eastAsia="方正仿宋_GBK" w:cs="方正仿宋_GBK"/>
          <w:kern w:val="0"/>
          <w:sz w:val="34"/>
          <w:szCs w:val="34"/>
        </w:rPr>
        <w:t>2019年度财政拨款收入总计、支出总计均为2012.88万元，较上年决算数1817.88万元增加195万元，增长10.73%，主要原因是根据工作任务，县财政厅年中追加了业务工作经费。</w:t>
      </w: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五、一般公共预算财政拨款支出决算情况说明</w:t>
      </w:r>
    </w:p>
    <w:p>
      <w:pPr>
        <w:widowControl/>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（一）财政拨款支出决算总体情况</w:t>
      </w:r>
    </w:p>
    <w:p>
      <w:pPr>
        <w:widowControl/>
        <w:spacing w:line="600" w:lineRule="exact"/>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kern w:val="0"/>
          <w:sz w:val="34"/>
          <w:szCs w:val="34"/>
        </w:rPr>
        <w:t>2019年度财政拨款支出总计2002.05万元，其中财政拨款收入本年支出合计2002.05万元，较上年决算数增加195万元，增长10.73%，主要原因是根据工作任务，县财政厅年中追加了项目经费。</w:t>
      </w:r>
    </w:p>
    <w:p>
      <w:pPr>
        <w:pStyle w:val="10"/>
        <w:rPr>
          <w:rFonts w:ascii="方正楷体_GBK" w:hAnsi="方正楷体_GBK" w:eastAsia="方正楷体_GBK" w:cs="方正楷体_GBK"/>
          <w:color w:val="auto"/>
          <w:sz w:val="34"/>
          <w:szCs w:val="34"/>
        </w:rPr>
      </w:pPr>
      <w:r>
        <w:rPr>
          <w:rFonts w:hint="eastAsia" w:ascii="方正楷体_GBK" w:hAnsi="方正楷体_GBK" w:eastAsia="方正楷体_GBK" w:cs="方正楷体_GBK"/>
          <w:color w:val="auto"/>
          <w:sz w:val="34"/>
          <w:szCs w:val="34"/>
        </w:rPr>
        <w:t>（二）财政拨款支出决算结构情况</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度财政拨款支出合计2002.05万元，为一般公共预算财政拨款支出和政府性基金预算财政拨款支出。一般公共预算财政拨款支出，其中基本支出1053.42万元，占比74.29%；项目支出364.5万元，占比25.71%。政府性基金预算财政拨款支出，其中城乡社区支出30万元，占比5.41%；其他支出554.13占比94.59%；按照功能分类各项构成及占比情况如下：</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1.一般公共服务支出（类）2万元，占财政拨款本年支出合计的0.1%。</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2.文化旅游体育与传媒支出1226.48万元，占财政拨款本年支出合计的61.26%。</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3.社会保障和就业支出（类）166.6万元，占财政拨款本年支出合计的8.32%。</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4.卫生健康支出（类）14.5万元，占财政拨款本年支出合计的0.72%。</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5.城乡社区支出30万元，占财政拨款本年支出合计的1.5%。</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6.住房保障支出（类）8.35万元，占财政拨款本年支出合计的0.42%。</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6.其他支出（类）554.13万元，占财政拨款本年支出合计的27.68%。</w:t>
      </w:r>
    </w:p>
    <w:p>
      <w:pPr>
        <w:ind w:firstLine="680" w:firstLineChars="200"/>
        <w:rPr>
          <w:rFonts w:ascii="方正仿宋_GBK" w:hAnsi="方正仿宋_GBK" w:eastAsia="方正仿宋_GBK" w:cs="方正仿宋_GBK"/>
          <w:b/>
          <w:kern w:val="0"/>
          <w:sz w:val="34"/>
          <w:szCs w:val="34"/>
        </w:rPr>
      </w:pPr>
    </w:p>
    <w:p>
      <w:pPr>
        <w:widowControl/>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（三）财政拨款支出决算具体情况</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2019年度财政拨款支出年初预算数1005.6万元，支出决算数2002.05万元，预决算差额原因主要是财政根据政策及实际工作需要在年中追加了部分工作经费。2019年度一般公共预算财政拨款支出具体情况如下：</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1.一般公共服务支出（类）支出决算数2万元，年初无预算，主要为财政国库业务。</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2.文化旅游体育与传媒支出（类）年初预算数797.12万元，决算数1226.47万元，完成年初预算的153.86%。其中：</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文化旅游体育与传媒支出（类）——文化和旅游（款）——行政运行（项）支出决算数848.17万元。年初预算数678.3，财政年中追加业务经费169.87万元，为旅游局转隶人员和广播站转隶人员增加经费。</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文化旅游体育与传媒支出（类）——文化和旅游（款）——一般行政管理事务（项）支出决算数13.8万元，该科目与年初预算数持平。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文化旅游体育与传媒支出（类）——文化和旅游（款）——文化活动（项）支出决算数10万元，该科目与年初预算数持平。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文化旅游体育与传媒支出（类）——文化和旅游（款）——群众文化（项）支出决算数8万元，该科目与年初预算数持平。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文化旅游体育与传媒支出（类）——文化和旅游（款）——文化创作与保护（项）支出决算数2万元，该科目与年初预算数持平。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文化旅游体育与传媒支出（类）——文化和旅游（款）——文化和旅游市场管理（项）支出决算数4万元，该科目与年初预算数持平。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文化旅游体育与传媒支出（类）——文化和旅游（款）——其他文化和旅游支出（项）支出决算数126.5万元，年初预算数46万元，财政年中追加业务经费80.5万元。完成年初预算275%。</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文化旅游体育与传媒支出（类）——体育（款）——体育训练（项）支出决算数9万元，该科目与年初预算数持平。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文化旅游体育与传媒支出（类）——体育（款）——群众体育（项）支出决算数25万元，该科目与年初预算数持平。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文化旅游体育与传媒支出（类）——新闻出版电影（款）——其他新闻出版电影（项）支出决算数80万元，年初无预算，主要为财政年中追加经费。</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文化旅游体育与传媒支出（类）——其他文化体育与传媒（款）——其他文化体育与传媒（项）支出决算数100万元，年初无预算，主要为财政年中追加经费。</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3.社会保障和就业支出（类）年初预算数134.88万元，支出决算数166.59万元，完成年初预算的123.51%，其中：</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 xml:space="preserve">    （1）行政事业单位离退休（款）——机关事业单位基本养老保险缴费支出（项）决算数124.87万元，年初预算数132.29万元，完成年初预算的94.39%。</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（2）抚恤（款）——死亡抚恤支出（项）40.7万元，年初无预算，为财政年中追加。</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（3）抚恤（款）——其他抚恤支出（项）1.02万元，与年初预算数持平。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4.卫生健康支出（类）2019年度支出14.5万元，年初预算数13.03万元，完成年初预算的111.28%。</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（1）行政事业单位医疗（款）——行政单位医疗（项）支出决算数8.6万元，年初预算数7.13万元，决算数超过预算的原因为增加转隶人员经费。</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（2）行政事业单位医疗（款）——事业单位医疗（项）支出决算数5.9万元，与年初预算数持平。</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5.城乡社区支出（款）——其他国有土地使用权出让收入安排支出（项）决算数30万元，年初无预算，为财政年中追加经费。</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6.住房保障支出（类）——住房公积金（项）决算数8.35万元，年初预算数8.7万元，完成年初预算的95.98%。其中：</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7.其他支出（类）——彩票公益金安排的支出（款）——用于社会福利的彩票公益金支出（项）年初无预算数，2019年度决算数554.13万元，根据工作实际财政年中追加业务工作经费。</w:t>
      </w: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六、一般公共预算财政拨款基本支出决算情况说明</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度一般公共预算财政拨款基本支出决算合计1053.42万元。其中：人员经费合计1039.62万元，占比98.67%，主要包括：基本工资、津贴补贴、奖金、伙食补助费、绩效工资、机关事业单位基本养老保险缴费、职工基本医疗保险缴费、公务员医疗补助缴费、其他社会保障缴费、住房公积金、医疗费、其他工资福利支出、离休费、退休费、抚恤金、生活补助、医疗费补助、奖励金、其他对个人和家庭的补助支出。公用经费合计13.8万元，占比1.31%，主要包括：办公费、印刷费、水费、电费、邮电费、取暖费、物业管理费、差旅费、维修（护）费、租赁费、会议费、培训费、公务接待费、专用材料费、劳务费、工会经费、福利费、公务用车运行维护费、其他交通费用、其他商品和服务支出、办公设备购置、专用设备购置、信息网络及软件购置更新、其他资本性支出。</w:t>
      </w: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七、一般公共预算财政拨款三公经费支出决算情况说明</w:t>
      </w:r>
    </w:p>
    <w:p>
      <w:pPr>
        <w:widowControl/>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（一）“三公”经费财政拨款支出决算总体情况说明</w:t>
      </w:r>
    </w:p>
    <w:p>
      <w:pPr>
        <w:widowControl/>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“三公经费”合计是1.184万元（公务招待费1.184万元，公务用车运行费0元，公车已移交县公车办，因公出国出境费0元），</w:t>
      </w:r>
      <w:r>
        <w:rPr>
          <w:rFonts w:hint="eastAsia" w:ascii="方正仿宋_GBK" w:hAnsi="方正仿宋_GBK" w:eastAsia="方正仿宋_GBK" w:cs="方正仿宋_GBK"/>
          <w:sz w:val="34"/>
          <w:szCs w:val="34"/>
        </w:rPr>
        <w:t>与上年2.07万元相比减少0.886万元，减少42.8%，主要是厉行节约，严控公务接待费。</w:t>
      </w:r>
    </w:p>
    <w:p>
      <w:pPr>
        <w:widowControl/>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（二）“三公”经费财政拨款支出决算具体情况说明</w:t>
      </w:r>
    </w:p>
    <w:p>
      <w:pPr>
        <w:widowControl/>
        <w:spacing w:line="600" w:lineRule="exact"/>
        <w:ind w:firstLine="680" w:firstLineChars="200"/>
        <w:rPr>
          <w:rFonts w:hint="default" w:ascii="方正仿宋_GBK" w:hAnsi="方正仿宋_GBK" w:eastAsia="方正仿宋_GBK" w:cs="方正仿宋_GBK"/>
          <w:kern w:val="0"/>
          <w:sz w:val="34"/>
          <w:szCs w:val="34"/>
          <w:lang w:val="en-US" w:eastAsia="zh-CN"/>
        </w:rPr>
      </w:pPr>
      <w:r>
        <w:rPr>
          <w:rFonts w:hint="eastAsia" w:ascii="方正仿宋_GBK" w:hAnsi="方正仿宋_GBK" w:eastAsia="方正仿宋_GBK" w:cs="方正仿宋_GBK"/>
          <w:kern w:val="0"/>
          <w:sz w:val="34"/>
          <w:szCs w:val="34"/>
        </w:rPr>
        <w:t>2019年度“三公”经费财政拨款支出决算中，公务接待费支出决算1.184万元，主要为地、市、州单位业务工作交流发生的就餐支出全年共接待来访59批次、来宾295人次。</w:t>
      </w:r>
      <w:r>
        <w:rPr>
          <w:rFonts w:hint="eastAsia" w:ascii="方正楷体_GBK" w:hAnsi="方正楷体_GBK" w:eastAsia="方正楷体_GBK" w:cs="方正楷体_GBK"/>
          <w:kern w:val="0"/>
          <w:sz w:val="34"/>
          <w:szCs w:val="34"/>
        </w:rPr>
        <w:t>公务用车运行费</w:t>
      </w:r>
      <w:r>
        <w:rPr>
          <w:rFonts w:hint="eastAsia" w:ascii="方正楷体_GBK" w:hAnsi="方正楷体_GBK" w:eastAsia="方正楷体_GBK" w:cs="方正楷体_GBK"/>
          <w:kern w:val="0"/>
          <w:sz w:val="34"/>
          <w:szCs w:val="34"/>
          <w:lang w:eastAsia="zh-CN"/>
        </w:rPr>
        <w:t>无发生额，</w:t>
      </w:r>
      <w:r>
        <w:rPr>
          <w:rFonts w:ascii="方正仿宋_GBK" w:hAnsi="方正仿宋_GBK" w:eastAsia="方正仿宋_GBK" w:cs="方正仿宋_GBK"/>
          <w:kern w:val="0"/>
          <w:sz w:val="34"/>
          <w:szCs w:val="34"/>
        </w:rPr>
        <w:t>本部门共有公务用车</w:t>
      </w:r>
      <w:r>
        <w:rPr>
          <w:rFonts w:hint="eastAsia" w:ascii="方正仿宋_GBK" w:hAnsi="方正仿宋_GBK" w:eastAsia="方正仿宋_GBK" w:cs="方正仿宋_GBK"/>
          <w:kern w:val="0"/>
          <w:sz w:val="34"/>
          <w:szCs w:val="34"/>
          <w:lang w:eastAsia="zh-CN"/>
        </w:rPr>
        <w:t>保有量</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w:t>
      </w:r>
      <w:r>
        <w:rPr>
          <w:rFonts w:hint="eastAsia" w:ascii="方正仿宋_GBK" w:hAnsi="方正仿宋_GBK" w:eastAsia="方正仿宋_GBK" w:cs="方正仿宋_GBK"/>
          <w:kern w:val="0"/>
          <w:sz w:val="34"/>
          <w:szCs w:val="34"/>
          <w:lang w:eastAsia="zh-CN"/>
        </w:rPr>
        <w:t>，本年新增车辆</w:t>
      </w:r>
      <w:r>
        <w:rPr>
          <w:rFonts w:hint="eastAsia" w:ascii="方正仿宋_GBK" w:hAnsi="方正仿宋_GBK" w:eastAsia="方正仿宋_GBK" w:cs="方正仿宋_GBK"/>
          <w:kern w:val="0"/>
          <w:sz w:val="34"/>
          <w:szCs w:val="34"/>
          <w:lang w:val="en-US" w:eastAsia="zh-CN"/>
        </w:rPr>
        <w:t>0辆。</w:t>
      </w: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八、</w:t>
      </w:r>
      <w:r>
        <w:rPr>
          <w:rFonts w:hint="eastAsia" w:ascii="方正仿宋_GBK" w:hAnsi="方正仿宋_GBK" w:eastAsia="方正仿宋_GBK" w:cs="方正仿宋_GBK"/>
          <w:kern w:val="0"/>
          <w:sz w:val="34"/>
          <w:szCs w:val="34"/>
        </w:rPr>
        <w:t>政府性基金预算收入支出决算情况</w:t>
      </w:r>
    </w:p>
    <w:p>
      <w:pPr>
        <w:widowControl/>
        <w:spacing w:line="600" w:lineRule="exact"/>
        <w:ind w:firstLine="640" w:firstLineChars="200"/>
        <w:rPr>
          <w:rFonts w:ascii="方正仿宋_GBK" w:hAnsi="方正仿宋_GBK" w:eastAsia="方正仿宋_GBK" w:cs="方正仿宋_GBK"/>
          <w:b/>
          <w:sz w:val="34"/>
          <w:szCs w:val="34"/>
        </w:rPr>
      </w:pPr>
      <w:r>
        <w:rPr>
          <w:rFonts w:hint="eastAsia" w:asciiTheme="minorEastAsia" w:hAnsiTheme="minorEastAsia"/>
          <w:sz w:val="32"/>
          <w:szCs w:val="32"/>
        </w:rPr>
        <w:t xml:space="preserve">    </w:t>
      </w:r>
      <w:r>
        <w:rPr>
          <w:rFonts w:hint="eastAsia" w:ascii="方正仿宋_GBK" w:hAnsi="方正仿宋_GBK" w:eastAsia="方正仿宋_GBK" w:cs="方正仿宋_GBK"/>
          <w:b/>
          <w:sz w:val="34"/>
          <w:szCs w:val="34"/>
        </w:rPr>
        <w:t xml:space="preserve"> </w:t>
      </w:r>
      <w:r>
        <w:rPr>
          <w:rFonts w:hint="eastAsia" w:ascii="方正仿宋_GBK" w:hAnsi="方正仿宋_GBK" w:eastAsia="方正仿宋_GBK" w:cs="方正仿宋_GBK"/>
          <w:kern w:val="0"/>
          <w:sz w:val="34"/>
          <w:szCs w:val="34"/>
        </w:rPr>
        <w:t>2019年度政府性基金预算财政拨款收入584.13万元；年初无结转和结余，均为项目支出，严格按照体彩公益金专项资金使用办法使用；年末无结转和结余。</w:t>
      </w: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九、关于2019年度预算绩效情况说明</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为进一步规范财政资金管理、强化绩效和责任意识，切实提高财政资金使用效益，根据财政预算管理要求及省财政厅的统一部署，我局对2019年度部门整体支出认真开展绩效自评，按财政要求及时报送了《衡南县文化旅游广电体育局2019年度部门整体支出绩效评价报告》、《部门整体支出绩效评价基础数据表》等表格及佐证资料，并在门户网站上进行了公开。</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我厅严格贯彻落实县委、县政府关于党政机关厉行节约的有关要求，牢固树立“过紧日子”思想，坚持精打细算、勤俭节约，优化支出结构，大力压减一般性支出，保障重点支出，严格审核把关，加强“三公”经费管理，优化资产配置，切实规范有关资产管理，严格政府采购，强化国有资产信息化管理和动态监控，完善内控制度，切实严肃财经纪律，圆满完成了全年各项工作任务，得到了县委、县政府的充分肯定以及社会各界的普遍好评。我局连续多年保持县政府绩效评估优秀等次、文明标兵单位和综合治理先进单位等荣誉。</w:t>
      </w:r>
    </w:p>
    <w:p>
      <w:pPr>
        <w:widowControl/>
        <w:spacing w:line="600" w:lineRule="exact"/>
        <w:ind w:firstLine="680" w:firstLineChars="200"/>
        <w:rPr>
          <w:rFonts w:ascii="方正仿宋_GBK" w:hAnsi="方正仿宋_GBK" w:eastAsia="方正仿宋_GBK" w:cs="方正仿宋_GBK"/>
          <w:kern w:val="0"/>
          <w:sz w:val="34"/>
          <w:szCs w:val="34"/>
        </w:rPr>
      </w:pPr>
    </w:p>
    <w:p>
      <w:pPr>
        <w:widowControl/>
        <w:spacing w:line="600" w:lineRule="exact"/>
        <w:ind w:firstLine="680" w:firstLineChars="200"/>
        <w:jc w:val="left"/>
        <w:rPr>
          <w:rFonts w:ascii="方正黑体_GBK" w:hAnsi="方正黑体_GBK" w:eastAsia="方正黑体_GBK" w:cs="方正黑体_GBK"/>
          <w:kern w:val="0"/>
          <w:sz w:val="34"/>
          <w:szCs w:val="34"/>
        </w:rPr>
      </w:pPr>
      <w:r>
        <w:rPr>
          <w:rFonts w:hint="eastAsia" w:ascii="方正黑体_GBK" w:hAnsi="方正黑体_GBK" w:eastAsia="方正黑体_GBK" w:cs="方正黑体_GBK"/>
          <w:kern w:val="0"/>
          <w:sz w:val="34"/>
          <w:szCs w:val="34"/>
        </w:rPr>
        <w:t>十、其他重要事项情况说明</w:t>
      </w:r>
    </w:p>
    <w:p>
      <w:pPr>
        <w:widowControl/>
        <w:autoSpaceDE w:val="0"/>
        <w:autoSpaceDN w:val="0"/>
        <w:adjustRightInd w:val="0"/>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（一）机关运行经费支出情况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本部门2019 年度机关运行经费支出13.8万元，与2018年18.6万元相比，减少4.8万元，减少25.8%，主要是人员减少经费减少。</w:t>
      </w:r>
    </w:p>
    <w:p>
      <w:pPr>
        <w:widowControl/>
        <w:autoSpaceDE w:val="0"/>
        <w:autoSpaceDN w:val="0"/>
        <w:adjustRightInd w:val="0"/>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（二）一般性支出情况</w:t>
      </w:r>
    </w:p>
    <w:p>
      <w:pPr>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kern w:val="0"/>
          <w:sz w:val="34"/>
          <w:szCs w:val="34"/>
        </w:rPr>
        <w:t>2019年本部门开支会议费0.13万元，用于召开安全生产、“扫黄打非”等会议，开支培训费0.35万元，用于开展体彩、安全生产培训。</w:t>
      </w:r>
    </w:p>
    <w:p>
      <w:pPr>
        <w:widowControl/>
        <w:autoSpaceDE w:val="0"/>
        <w:autoSpaceDN w:val="0"/>
        <w:adjustRightInd w:val="0"/>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（三）政府采购支出情况</w:t>
      </w:r>
    </w:p>
    <w:p>
      <w:pPr>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kern w:val="0"/>
          <w:sz w:val="34"/>
          <w:szCs w:val="34"/>
        </w:rPr>
        <w:t>本部门2019年度政府采购支出总额546万元，其中：政府采购货物支出358万元、政府采购服务支出188万元。</w:t>
      </w:r>
      <w:r>
        <w:rPr>
          <w:rFonts w:ascii="方正仿宋_GBK" w:hAnsi="方正仿宋_GBK" w:eastAsia="方正仿宋_GBK" w:cs="方正仿宋_GBK"/>
          <w:kern w:val="0"/>
          <w:sz w:val="34"/>
          <w:szCs w:val="34"/>
        </w:rPr>
        <w:t>授予中小企业合同金额</w:t>
      </w:r>
      <w:r>
        <w:rPr>
          <w:rFonts w:hint="eastAsia" w:ascii="方正仿宋_GBK" w:hAnsi="方正仿宋_GBK" w:eastAsia="方正仿宋_GBK" w:cs="方正仿宋_GBK"/>
          <w:kern w:val="0"/>
          <w:sz w:val="34"/>
          <w:szCs w:val="34"/>
        </w:rPr>
        <w:t>462</w:t>
      </w:r>
      <w:r>
        <w:rPr>
          <w:rFonts w:ascii="方正仿宋_GBK" w:hAnsi="方正仿宋_GBK" w:eastAsia="方正仿宋_GBK" w:cs="方正仿宋_GBK"/>
          <w:kern w:val="0"/>
          <w:sz w:val="34"/>
          <w:szCs w:val="34"/>
        </w:rPr>
        <w:t>万元，占政府采</w:t>
      </w:r>
      <w:bookmarkStart w:id="0" w:name="_GoBack"/>
      <w:bookmarkEnd w:id="0"/>
      <w:r>
        <w:rPr>
          <w:rFonts w:ascii="方正仿宋_GBK" w:hAnsi="方正仿宋_GBK" w:eastAsia="方正仿宋_GBK" w:cs="方正仿宋_GBK"/>
          <w:kern w:val="0"/>
          <w:sz w:val="34"/>
          <w:szCs w:val="34"/>
        </w:rPr>
        <w:t>购支出总额的</w:t>
      </w:r>
      <w:r>
        <w:rPr>
          <w:rFonts w:hint="eastAsia" w:ascii="方正仿宋_GBK" w:hAnsi="方正仿宋_GBK" w:eastAsia="方正仿宋_GBK" w:cs="方正仿宋_GBK"/>
          <w:kern w:val="0"/>
          <w:sz w:val="34"/>
          <w:szCs w:val="34"/>
        </w:rPr>
        <w:t>84.6</w:t>
      </w:r>
      <w:r>
        <w:rPr>
          <w:rFonts w:ascii="方正仿宋_GBK" w:hAnsi="方正仿宋_GBK" w:eastAsia="方正仿宋_GBK" w:cs="方正仿宋_GBK"/>
          <w:kern w:val="0"/>
          <w:sz w:val="34"/>
          <w:szCs w:val="34"/>
        </w:rPr>
        <w:t xml:space="preserve"> %，其中：授予小微企业合同金额</w:t>
      </w:r>
      <w:r>
        <w:rPr>
          <w:rFonts w:hint="eastAsia" w:ascii="方正仿宋_GBK" w:hAnsi="方正仿宋_GBK" w:eastAsia="方正仿宋_GBK" w:cs="方正仿宋_GBK"/>
          <w:kern w:val="0"/>
          <w:sz w:val="34"/>
          <w:szCs w:val="34"/>
        </w:rPr>
        <w:t>84</w:t>
      </w:r>
      <w:r>
        <w:rPr>
          <w:rFonts w:ascii="方正仿宋_GBK" w:hAnsi="方正仿宋_GBK" w:eastAsia="方正仿宋_GBK" w:cs="方正仿宋_GBK"/>
          <w:kern w:val="0"/>
          <w:sz w:val="34"/>
          <w:szCs w:val="34"/>
        </w:rPr>
        <w:t>万元，占政府采购支出总额的</w:t>
      </w:r>
      <w:r>
        <w:rPr>
          <w:rFonts w:hint="eastAsia" w:ascii="方正仿宋_GBK" w:hAnsi="方正仿宋_GBK" w:eastAsia="方正仿宋_GBK" w:cs="方正仿宋_GBK"/>
          <w:kern w:val="0"/>
          <w:sz w:val="34"/>
          <w:szCs w:val="34"/>
        </w:rPr>
        <w:t>15.4</w:t>
      </w:r>
      <w:r>
        <w:rPr>
          <w:rFonts w:ascii="方正仿宋_GBK" w:hAnsi="方正仿宋_GBK" w:eastAsia="方正仿宋_GBK" w:cs="方正仿宋_GBK"/>
          <w:kern w:val="0"/>
          <w:sz w:val="34"/>
          <w:szCs w:val="34"/>
        </w:rPr>
        <w:t xml:space="preserve"> %。（政府采购金额的计算口径为：本部门纳入</w:t>
      </w:r>
      <w:r>
        <w:rPr>
          <w:rFonts w:hint="eastAsia" w:ascii="方正仿宋_GBK" w:hAnsi="方正仿宋_GBK" w:eastAsia="方正仿宋_GBK" w:cs="方正仿宋_GBK"/>
          <w:kern w:val="0"/>
          <w:sz w:val="34"/>
          <w:szCs w:val="34"/>
        </w:rPr>
        <w:t>2019</w:t>
      </w:r>
      <w:r>
        <w:rPr>
          <w:rFonts w:ascii="方正仿宋_GBK" w:hAnsi="方正仿宋_GBK" w:eastAsia="方正仿宋_GBK" w:cs="方正仿宋_GBK"/>
          <w:kern w:val="0"/>
          <w:sz w:val="34"/>
          <w:szCs w:val="34"/>
        </w:rPr>
        <w:t>年 度部门预算范围的各项政府采购支出金额之和，不包括涉密采购项目的支出金额）</w:t>
      </w:r>
    </w:p>
    <w:p>
      <w:pPr>
        <w:widowControl/>
        <w:autoSpaceDE w:val="0"/>
        <w:autoSpaceDN w:val="0"/>
        <w:adjustRightInd w:val="0"/>
        <w:spacing w:line="600" w:lineRule="exact"/>
        <w:ind w:firstLine="680" w:firstLineChars="200"/>
        <w:rPr>
          <w:rFonts w:ascii="方正楷体_GBK" w:hAnsi="方正楷体_GBK" w:eastAsia="方正楷体_GBK" w:cs="方正楷体_GBK"/>
          <w:kern w:val="0"/>
          <w:sz w:val="34"/>
          <w:szCs w:val="34"/>
        </w:rPr>
      </w:pPr>
      <w:r>
        <w:rPr>
          <w:rFonts w:hint="eastAsia" w:ascii="方正楷体_GBK" w:hAnsi="方正楷体_GBK" w:eastAsia="方正楷体_GBK" w:cs="方正楷体_GBK"/>
          <w:kern w:val="0"/>
          <w:sz w:val="34"/>
          <w:szCs w:val="34"/>
        </w:rPr>
        <w:t>（四）国有资产占用情况</w:t>
      </w:r>
    </w:p>
    <w:p>
      <w:pPr>
        <w:widowControl/>
        <w:spacing w:line="600" w:lineRule="exact"/>
        <w:ind w:firstLine="660"/>
        <w:jc w:val="left"/>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截至2019年12月31日，</w:t>
      </w:r>
      <w:r>
        <w:rPr>
          <w:rFonts w:ascii="方正仿宋_GBK" w:hAnsi="方正仿宋_GBK" w:eastAsia="方正仿宋_GBK" w:cs="方正仿宋_GBK"/>
          <w:kern w:val="0"/>
          <w:sz w:val="34"/>
          <w:szCs w:val="34"/>
        </w:rPr>
        <w:t>本部门共有公务用车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辆，其中，机要通信用车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辆，应急保障用车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 xml:space="preserve"> 辆，执法执勤用车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辆，特种专业技术用车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辆，其他按照规定配备的公务用车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辆；单位价值50万元以上通用设备</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台，单位价值100万元以上专用设备</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台。</w:t>
      </w:r>
      <w:r>
        <w:rPr>
          <w:rFonts w:hint="eastAsia" w:ascii="方正仿宋_GBK" w:hAnsi="方正仿宋_GBK" w:eastAsia="方正仿宋_GBK" w:cs="方正仿宋_GBK"/>
          <w:kern w:val="0"/>
          <w:sz w:val="34"/>
          <w:szCs w:val="34"/>
        </w:rPr>
        <w:t>2020</w:t>
      </w:r>
      <w:r>
        <w:rPr>
          <w:rFonts w:ascii="方正仿宋_GBK" w:hAnsi="方正仿宋_GBK" w:eastAsia="方正仿宋_GBK" w:cs="方正仿宋_GBK"/>
          <w:kern w:val="0"/>
          <w:sz w:val="34"/>
          <w:szCs w:val="34"/>
        </w:rPr>
        <w:t>年拟新增配置公务用车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辆，其中，机要通信用车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 xml:space="preserve"> 辆，应急保障用车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辆，执法执勤用车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辆，特种专业技术用车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辆，其他按照规定配备的公务用车</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辆；新增配备单位价值50万元以上通用设备</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 xml:space="preserve">台，单位价值100万元以上专用设备 </w:t>
      </w:r>
      <w:r>
        <w:rPr>
          <w:rFonts w:hint="eastAsia" w:ascii="方正仿宋_GBK" w:hAnsi="方正仿宋_GBK" w:eastAsia="方正仿宋_GBK" w:cs="方正仿宋_GBK"/>
          <w:kern w:val="0"/>
          <w:sz w:val="34"/>
          <w:szCs w:val="34"/>
        </w:rPr>
        <w:t>0</w:t>
      </w:r>
      <w:r>
        <w:rPr>
          <w:rFonts w:ascii="方正仿宋_GBK" w:hAnsi="方正仿宋_GBK" w:eastAsia="方正仿宋_GBK" w:cs="方正仿宋_GBK"/>
          <w:kern w:val="0"/>
          <w:sz w:val="34"/>
          <w:szCs w:val="34"/>
        </w:rPr>
        <w:t xml:space="preserve"> 台。</w:t>
      </w:r>
    </w:p>
    <w:p>
      <w:pPr>
        <w:widowControl/>
        <w:jc w:val="left"/>
        <w:rPr>
          <w:rFonts w:cs="黑体" w:asciiTheme="minorEastAsia" w:hAnsiTheme="minorEastAsia"/>
          <w:color w:val="000000"/>
          <w:kern w:val="0"/>
          <w:sz w:val="32"/>
          <w:szCs w:val="32"/>
        </w:rPr>
      </w:pPr>
      <w:r>
        <w:rPr>
          <w:rFonts w:cs="黑体" w:asciiTheme="minorEastAsia" w:hAnsiTheme="minorEastAsia"/>
          <w:color w:val="000000"/>
          <w:kern w:val="0"/>
          <w:sz w:val="32"/>
          <w:szCs w:val="32"/>
        </w:rPr>
        <w:br w:type="page"/>
      </w:r>
    </w:p>
    <w:p>
      <w:pPr>
        <w:ind w:firstLine="640" w:firstLineChars="200"/>
        <w:rPr>
          <w:rFonts w:cs="黑体" w:asciiTheme="minorEastAsia" w:hAnsiTheme="minorEastAsia"/>
          <w:color w:val="000000"/>
          <w:kern w:val="0"/>
          <w:sz w:val="32"/>
          <w:szCs w:val="3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4"/>
        <w:spacing w:before="0" w:beforeAutospacing="0"/>
        <w:jc w:val="center"/>
        <w:rPr>
          <w:rFonts w:hint="default" w:ascii="方正小标宋_GBK" w:hAnsi="方正小标宋_GBK" w:eastAsia="方正小标宋_GBK" w:cs="方正小标宋_GBK"/>
          <w:sz w:val="40"/>
          <w:szCs w:val="40"/>
          <w:shd w:val="clear" w:color="auto" w:fill="FFFFFF"/>
        </w:rPr>
      </w:pPr>
      <w:r>
        <w:rPr>
          <w:rFonts w:ascii="方正小标宋_GBK" w:hAnsi="方正小标宋_GBK" w:eastAsia="方正小标宋_GBK" w:cs="方正小标宋_GBK"/>
          <w:sz w:val="40"/>
          <w:szCs w:val="40"/>
          <w:shd w:val="clear" w:color="auto" w:fill="FFFFFF"/>
        </w:rPr>
        <w:t>第四部分    名词解释</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ind w:firstLine="680" w:firstLineChars="200"/>
        <w:jc w:val="left"/>
        <w:rPr>
          <w:rFonts w:ascii="方正仿宋_GBK" w:hAnsi="方正仿宋_GBK" w:eastAsia="方正仿宋_GBK" w:cs="方正仿宋_GBK"/>
          <w:b/>
          <w:kern w:val="0"/>
          <w:sz w:val="34"/>
          <w:szCs w:val="34"/>
        </w:rPr>
      </w:pPr>
    </w:p>
    <w:p>
      <w:pPr>
        <w:widowControl/>
        <w:spacing w:line="600" w:lineRule="exact"/>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一、财政拨款收入：</w:t>
      </w:r>
      <w:r>
        <w:rPr>
          <w:rFonts w:hint="eastAsia" w:ascii="方正仿宋_GBK" w:hAnsi="方正仿宋_GBK" w:eastAsia="方正仿宋_GBK" w:cs="方正仿宋_GBK"/>
          <w:kern w:val="0"/>
          <w:sz w:val="34"/>
          <w:szCs w:val="34"/>
        </w:rPr>
        <w:t>指财政部门核拨给单位的财政预算资金。</w:t>
      </w:r>
    </w:p>
    <w:p>
      <w:pPr>
        <w:ind w:firstLine="680" w:firstLineChars="200"/>
        <w:jc w:val="left"/>
        <w:rPr>
          <w:rFonts w:ascii="方正仿宋_GBK" w:hAnsi="方正仿宋_GBK" w:eastAsia="方正仿宋_GBK" w:cs="方正仿宋_GBK"/>
          <w:kern w:val="0"/>
          <w:sz w:val="34"/>
          <w:szCs w:val="34"/>
        </w:rPr>
      </w:pPr>
      <w:r>
        <w:rPr>
          <w:rFonts w:hint="eastAsia" w:ascii="方正仿宋_GBK" w:hAnsi="方正仿宋_GBK" w:eastAsia="方正仿宋_GBK" w:cs="方正仿宋_GBK"/>
          <w:b/>
          <w:kern w:val="0"/>
          <w:sz w:val="34"/>
          <w:szCs w:val="34"/>
        </w:rPr>
        <w:t>二、一般公共服务支出（类）财政事务（款）财政国库业务项:</w:t>
      </w:r>
      <w:r>
        <w:rPr>
          <w:rFonts w:hint="eastAsia" w:ascii="方正仿宋_GBK" w:hAnsi="方正仿宋_GBK" w:eastAsia="方正仿宋_GBK" w:cs="方正仿宋_GBK"/>
          <w:kern w:val="0"/>
          <w:sz w:val="34"/>
          <w:szCs w:val="34"/>
        </w:rPr>
        <w:t>指国库业务经费。</w:t>
      </w:r>
    </w:p>
    <w:p>
      <w:pPr>
        <w:ind w:firstLine="680" w:firstLineChars="200"/>
        <w:jc w:val="left"/>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三、文化旅游体育与传媒支出（类）文化和旅游（款）行政运行（项）：</w:t>
      </w:r>
      <w:r>
        <w:rPr>
          <w:rFonts w:hint="eastAsia" w:ascii="方正仿宋_GBK" w:hAnsi="方正仿宋_GBK" w:eastAsia="方正仿宋_GBK" w:cs="方正仿宋_GBK"/>
          <w:kern w:val="0"/>
          <w:sz w:val="34"/>
          <w:szCs w:val="34"/>
        </w:rPr>
        <w:t>指指财政部门核拨给单位的基本工资和津贴。</w:t>
      </w:r>
    </w:p>
    <w:p>
      <w:pPr>
        <w:ind w:firstLine="680" w:firstLineChars="200"/>
        <w:jc w:val="left"/>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四、文化旅游体育与传媒支出（类）文化和旅游（款）一般行政管理事务（项）：</w:t>
      </w:r>
      <w:r>
        <w:rPr>
          <w:rFonts w:hint="eastAsia" w:ascii="方正仿宋_GBK" w:hAnsi="方正仿宋_GBK" w:eastAsia="方正仿宋_GBK" w:cs="方正仿宋_GBK"/>
          <w:kern w:val="0"/>
          <w:sz w:val="34"/>
          <w:szCs w:val="34"/>
        </w:rPr>
        <w:t>指指财政部门核拨给单位的公用经费。</w:t>
      </w:r>
    </w:p>
    <w:p>
      <w:pPr>
        <w:ind w:firstLine="680" w:firstLineChars="200"/>
        <w:jc w:val="left"/>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五、文化旅游体育与传媒支出（类）文化和旅游（款）（文化活动、群众文化、文化创作与保护、文化和旅游市场管理、其他文化和旅游支出）（项）：</w:t>
      </w:r>
      <w:r>
        <w:rPr>
          <w:rFonts w:hint="eastAsia" w:ascii="方正仿宋_GBK" w:hAnsi="方正仿宋_GBK" w:eastAsia="方正仿宋_GBK" w:cs="方正仿宋_GBK"/>
          <w:kern w:val="0"/>
          <w:sz w:val="34"/>
          <w:szCs w:val="34"/>
        </w:rPr>
        <w:t>指财政部门核拨给单位的专项经费。</w:t>
      </w:r>
    </w:p>
    <w:p>
      <w:pPr>
        <w:ind w:firstLine="680" w:firstLineChars="200"/>
        <w:jc w:val="left"/>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六、文化旅游体育与传媒支出（类）体育（款）（体育训练、群众体育）项：</w:t>
      </w:r>
      <w:r>
        <w:rPr>
          <w:rFonts w:hint="eastAsia" w:ascii="方正仿宋_GBK" w:hAnsi="方正仿宋_GBK" w:eastAsia="方正仿宋_GBK" w:cs="方正仿宋_GBK"/>
          <w:kern w:val="0"/>
          <w:sz w:val="34"/>
          <w:szCs w:val="34"/>
        </w:rPr>
        <w:t>指财政部门核拨给单位的专项经费。</w:t>
      </w:r>
    </w:p>
    <w:p>
      <w:pPr>
        <w:ind w:firstLine="680" w:firstLineChars="200"/>
        <w:jc w:val="left"/>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七、文化旅游体育与传媒支出（类）新闻出版电影（款）其他新闻出版电影支出（项）：</w:t>
      </w:r>
      <w:r>
        <w:rPr>
          <w:rFonts w:hint="eastAsia" w:ascii="方正仿宋_GBK" w:hAnsi="方正仿宋_GBK" w:eastAsia="方正仿宋_GBK" w:cs="方正仿宋_GBK"/>
          <w:kern w:val="0"/>
          <w:sz w:val="34"/>
          <w:szCs w:val="34"/>
        </w:rPr>
        <w:t>指财政部门核拨给单位的专项经费。</w:t>
      </w:r>
    </w:p>
    <w:p>
      <w:pPr>
        <w:ind w:firstLine="680" w:firstLineChars="200"/>
        <w:jc w:val="left"/>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八、文化旅游体育与传媒支出（类）其他文化体育与传媒支出（项）：</w:t>
      </w:r>
      <w:r>
        <w:rPr>
          <w:rFonts w:hint="eastAsia" w:ascii="方正仿宋_GBK" w:hAnsi="方正仿宋_GBK" w:eastAsia="方正仿宋_GBK" w:cs="方正仿宋_GBK"/>
          <w:kern w:val="0"/>
          <w:sz w:val="34"/>
          <w:szCs w:val="34"/>
        </w:rPr>
        <w:t>指财政部门核拨给单位的专项经费。</w:t>
      </w:r>
    </w:p>
    <w:p>
      <w:pPr>
        <w:ind w:firstLine="680" w:firstLineChars="200"/>
        <w:jc w:val="left"/>
        <w:rPr>
          <w:rFonts w:ascii="方正仿宋_GBK" w:hAnsi="方正仿宋_GBK" w:eastAsia="方正仿宋_GBK" w:cs="方正仿宋_GBK"/>
          <w:kern w:val="0"/>
          <w:sz w:val="34"/>
          <w:szCs w:val="34"/>
        </w:rPr>
      </w:pPr>
      <w:r>
        <w:rPr>
          <w:rFonts w:hint="eastAsia" w:ascii="方正仿宋_GBK" w:hAnsi="方正仿宋_GBK" w:eastAsia="方正仿宋_GBK" w:cs="方正仿宋_GBK"/>
          <w:b/>
          <w:kern w:val="0"/>
          <w:sz w:val="34"/>
          <w:szCs w:val="34"/>
        </w:rPr>
        <w:t>九、社会保障和就业支出（类）行政事业单位离退休（款）机关事业单位基本养老保险缴费支出（项）：</w:t>
      </w:r>
      <w:r>
        <w:rPr>
          <w:rFonts w:hint="eastAsia" w:ascii="方正仿宋_GBK" w:hAnsi="方正仿宋_GBK" w:eastAsia="方正仿宋_GBK" w:cs="方正仿宋_GBK"/>
          <w:kern w:val="0"/>
          <w:sz w:val="34"/>
          <w:szCs w:val="34"/>
        </w:rPr>
        <w:t>指本级及文化站基本养老保险缴费支出。</w:t>
      </w:r>
    </w:p>
    <w:p>
      <w:pPr>
        <w:ind w:firstLine="680" w:firstLineChars="200"/>
        <w:jc w:val="left"/>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十、社会保障和就业支出（类）抚恤（款）死亡抚恤、其他优抚支出（项）：</w:t>
      </w:r>
      <w:r>
        <w:rPr>
          <w:rFonts w:hint="eastAsia" w:ascii="方正仿宋_GBK" w:hAnsi="方正仿宋_GBK" w:eastAsia="方正仿宋_GBK" w:cs="方正仿宋_GBK"/>
          <w:kern w:val="0"/>
          <w:sz w:val="34"/>
          <w:szCs w:val="34"/>
        </w:rPr>
        <w:t>指本级及文化站抚恤支出。</w:t>
      </w:r>
    </w:p>
    <w:p>
      <w:pPr>
        <w:ind w:firstLine="680" w:firstLineChars="200"/>
        <w:jc w:val="left"/>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十一、卫生健康支出（类）行政事业单位医疗（款）行政单位医疗（项）：</w:t>
      </w:r>
      <w:r>
        <w:rPr>
          <w:rFonts w:hint="eastAsia" w:ascii="方正仿宋_GBK" w:hAnsi="方正仿宋_GBK" w:eastAsia="方正仿宋_GBK" w:cs="方正仿宋_GBK"/>
          <w:kern w:val="0"/>
          <w:sz w:val="34"/>
          <w:szCs w:val="34"/>
        </w:rPr>
        <w:t>指本级医疗保障经费。</w:t>
      </w:r>
    </w:p>
    <w:p>
      <w:pPr>
        <w:widowControl/>
        <w:spacing w:line="600" w:lineRule="exact"/>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十二、卫生健康支出（类）行政事业单位医疗（款）事业单位医疗（项）：</w:t>
      </w:r>
      <w:r>
        <w:rPr>
          <w:rFonts w:hint="eastAsia" w:ascii="方正仿宋_GBK" w:hAnsi="方正仿宋_GBK" w:eastAsia="方正仿宋_GBK" w:cs="方正仿宋_GBK"/>
          <w:kern w:val="0"/>
          <w:sz w:val="34"/>
          <w:szCs w:val="34"/>
        </w:rPr>
        <w:t>指文化站医疗保障经费。</w:t>
      </w:r>
    </w:p>
    <w:p>
      <w:pPr>
        <w:widowControl/>
        <w:spacing w:line="600" w:lineRule="exact"/>
        <w:ind w:firstLine="680" w:firstLineChars="200"/>
        <w:rPr>
          <w:rFonts w:ascii="方正仿宋_GBK" w:hAnsi="方正仿宋_GBK" w:eastAsia="方正仿宋_GBK" w:cs="方正仿宋_GBK"/>
          <w:b/>
          <w:kern w:val="0"/>
          <w:sz w:val="34"/>
          <w:szCs w:val="34"/>
        </w:rPr>
      </w:pPr>
      <w:r>
        <w:rPr>
          <w:rFonts w:hint="eastAsia" w:ascii="方正仿宋_GBK" w:hAnsi="方正仿宋_GBK" w:eastAsia="方正仿宋_GBK" w:cs="方正仿宋_GBK"/>
          <w:b/>
          <w:kern w:val="0"/>
          <w:sz w:val="34"/>
          <w:szCs w:val="34"/>
        </w:rPr>
        <w:t>十三、住房保障支出（类）住房改革支出（款）住房公积金（项）：</w:t>
      </w:r>
      <w:r>
        <w:rPr>
          <w:rFonts w:hint="eastAsia" w:ascii="方正仿宋_GBK" w:hAnsi="方正仿宋_GBK" w:eastAsia="方正仿宋_GBK" w:cs="方正仿宋_GBK"/>
          <w:kern w:val="0"/>
          <w:sz w:val="34"/>
          <w:szCs w:val="34"/>
        </w:rPr>
        <w:t>指本级住房公积金。</w:t>
      </w:r>
    </w:p>
    <w:p>
      <w:pPr>
        <w:widowControl/>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b/>
          <w:kern w:val="0"/>
          <w:sz w:val="34"/>
          <w:szCs w:val="34"/>
        </w:rPr>
        <w:t>十四、其他支出（类）彩票公益安排的支出（款）用于社会福利的彩票公益金支出（项）：</w:t>
      </w:r>
      <w:r>
        <w:rPr>
          <w:rFonts w:hint="eastAsia" w:ascii="方正仿宋_GBK" w:hAnsi="方正仿宋_GBK" w:eastAsia="方正仿宋_GBK" w:cs="方正仿宋_GBK"/>
          <w:kern w:val="0"/>
          <w:sz w:val="34"/>
          <w:szCs w:val="34"/>
        </w:rPr>
        <w:t>指体彩公益金专项经费。</w:t>
      </w:r>
    </w:p>
    <w:p>
      <w:pPr>
        <w:widowControl/>
        <w:jc w:val="left"/>
        <w:rPr>
          <w:rFonts w:asciiTheme="minorEastAsia" w:hAnsiTheme="minorEastAsia"/>
          <w:i/>
          <w:color w:val="FF0000"/>
          <w:sz w:val="32"/>
          <w:szCs w:val="32"/>
        </w:rPr>
      </w:pPr>
      <w:r>
        <w:rPr>
          <w:rFonts w:asciiTheme="minorEastAsia" w:hAnsiTheme="minorEastAsia"/>
          <w:i/>
          <w:color w:val="FF0000"/>
          <w:sz w:val="32"/>
          <w:szCs w:val="32"/>
        </w:rPr>
        <w:br w:type="page"/>
      </w: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0"/>
        <w:jc w:val="center"/>
        <w:rPr>
          <w:sz w:val="72"/>
          <w:szCs w:val="72"/>
        </w:rPr>
      </w:pPr>
    </w:p>
    <w:p>
      <w:pPr>
        <w:pStyle w:val="14"/>
        <w:spacing w:before="0" w:beforeAutospacing="0"/>
        <w:jc w:val="center"/>
        <w:rPr>
          <w:rFonts w:hint="default" w:ascii="方正小标宋_GBK" w:hAnsi="方正小标宋_GBK" w:eastAsia="方正小标宋_GBK" w:cs="方正小标宋_GBK"/>
          <w:sz w:val="40"/>
          <w:szCs w:val="40"/>
          <w:shd w:val="clear" w:color="auto" w:fill="FFFFFF"/>
        </w:rPr>
      </w:pPr>
      <w:r>
        <w:rPr>
          <w:rFonts w:ascii="方正小标宋_GBK" w:hAnsi="方正小标宋_GBK" w:eastAsia="方正小标宋_GBK" w:cs="方正小标宋_GBK"/>
          <w:sz w:val="40"/>
          <w:szCs w:val="40"/>
          <w:shd w:val="clear" w:color="auto" w:fill="FFFFFF"/>
        </w:rPr>
        <w:t>第五部分  附件</w:t>
      </w:r>
    </w:p>
    <w:p>
      <w:pPr>
        <w:widowControl/>
        <w:spacing w:line="600" w:lineRule="exact"/>
        <w:jc w:val="center"/>
        <w:rPr>
          <w:rFonts w:ascii="方正仿宋_GBK" w:hAnsi="方正仿宋_GBK" w:eastAsia="方正仿宋_GBK" w:cs="方正仿宋_GBK"/>
          <w:b/>
          <w:bCs/>
          <w:kern w:val="0"/>
          <w:sz w:val="34"/>
          <w:szCs w:val="34"/>
        </w:rPr>
      </w:pPr>
      <w:r>
        <w:rPr>
          <w:rFonts w:hint="eastAsia" w:ascii="方正仿宋_GBK" w:hAnsi="方正仿宋_GBK" w:eastAsia="方正仿宋_GBK" w:cs="方正仿宋_GBK"/>
          <w:b/>
          <w:bCs/>
          <w:kern w:val="0"/>
          <w:sz w:val="34"/>
          <w:szCs w:val="34"/>
        </w:rPr>
        <w:t>衡南县文化旅游广电体育局</w:t>
      </w:r>
    </w:p>
    <w:p>
      <w:pPr>
        <w:widowControl/>
        <w:spacing w:line="600" w:lineRule="exact"/>
        <w:jc w:val="center"/>
        <w:rPr>
          <w:rFonts w:ascii="方正仿宋_GBK" w:hAnsi="方正仿宋_GBK" w:eastAsia="方正仿宋_GBK" w:cs="方正仿宋_GBK"/>
          <w:b/>
          <w:bCs/>
          <w:kern w:val="0"/>
          <w:sz w:val="34"/>
          <w:szCs w:val="34"/>
        </w:rPr>
      </w:pPr>
      <w:r>
        <w:rPr>
          <w:rFonts w:ascii="方正仿宋_GBK" w:hAnsi="方正仿宋_GBK" w:eastAsia="方正仿宋_GBK" w:cs="方正仿宋_GBK"/>
          <w:b/>
          <w:bCs/>
          <w:kern w:val="0"/>
          <w:sz w:val="34"/>
          <w:szCs w:val="34"/>
        </w:rPr>
        <w:t>201</w:t>
      </w:r>
      <w:r>
        <w:rPr>
          <w:rFonts w:hint="eastAsia" w:ascii="方正仿宋_GBK" w:hAnsi="方正仿宋_GBK" w:eastAsia="方正仿宋_GBK" w:cs="方正仿宋_GBK"/>
          <w:b/>
          <w:bCs/>
          <w:kern w:val="0"/>
          <w:sz w:val="34"/>
          <w:szCs w:val="34"/>
        </w:rPr>
        <w:t>9年</w:t>
      </w:r>
      <w:r>
        <w:rPr>
          <w:rFonts w:ascii="方正仿宋_GBK" w:hAnsi="方正仿宋_GBK" w:eastAsia="方正仿宋_GBK" w:cs="方正仿宋_GBK"/>
          <w:b/>
          <w:bCs/>
          <w:kern w:val="0"/>
          <w:sz w:val="34"/>
          <w:szCs w:val="34"/>
        </w:rPr>
        <w:t>整体支出绩效评价报告</w:t>
      </w:r>
    </w:p>
    <w:p>
      <w:pPr>
        <w:pStyle w:val="14"/>
        <w:spacing w:before="0" w:beforeAutospacing="0"/>
        <w:jc w:val="center"/>
        <w:rPr>
          <w:rFonts w:hint="default" w:ascii="方正小标宋_GBK" w:hAnsi="方正小标宋_GBK" w:eastAsia="方正小标宋_GBK" w:cs="方正小标宋_GBK"/>
          <w:sz w:val="40"/>
          <w:szCs w:val="40"/>
          <w:shd w:val="clear" w:color="auto" w:fill="FFFFFF"/>
        </w:rPr>
      </w:pPr>
    </w:p>
    <w:p>
      <w:pPr>
        <w:widowControl/>
        <w:spacing w:line="600" w:lineRule="exact"/>
        <w:jc w:val="center"/>
        <w:rPr>
          <w:rFonts w:ascii="黑体" w:eastAsia="黑体" w:cs="黑体"/>
          <w:color w:val="000000"/>
          <w:kern w:val="0"/>
          <w:sz w:val="70"/>
          <w:szCs w:val="70"/>
        </w:rPr>
      </w:pPr>
      <w:r>
        <w:rPr>
          <w:rFonts w:ascii="黑体" w:eastAsia="黑体" w:cs="黑体"/>
          <w:color w:val="000000"/>
          <w:kern w:val="0"/>
          <w:sz w:val="70"/>
          <w:szCs w:val="70"/>
        </w:rPr>
        <w:br w:type="page"/>
      </w:r>
    </w:p>
    <w:p>
      <w:pPr>
        <w:jc w:val="center"/>
        <w:rPr>
          <w:rFonts w:eastAsia="方正小标宋_GBK"/>
          <w:sz w:val="48"/>
          <w:szCs w:val="48"/>
        </w:rPr>
      </w:pPr>
    </w:p>
    <w:p>
      <w:pPr>
        <w:jc w:val="center"/>
        <w:rPr>
          <w:rFonts w:eastAsia="方正小标宋_GBK"/>
          <w:sz w:val="48"/>
          <w:szCs w:val="48"/>
        </w:rPr>
      </w:pPr>
    </w:p>
    <w:p>
      <w:pPr>
        <w:jc w:val="center"/>
        <w:rPr>
          <w:rFonts w:eastAsia="方正小标宋_GBK"/>
          <w:sz w:val="48"/>
          <w:szCs w:val="48"/>
        </w:rPr>
      </w:pPr>
      <w:r>
        <w:rPr>
          <w:rFonts w:hint="eastAsia" w:eastAsia="方正小标宋_GBK"/>
          <w:sz w:val="48"/>
          <w:szCs w:val="48"/>
        </w:rPr>
        <w:t>衡南县文化旅游广电体育局</w:t>
      </w:r>
    </w:p>
    <w:p>
      <w:pPr>
        <w:jc w:val="center"/>
        <w:rPr>
          <w:rFonts w:eastAsia="方正小标宋_GBK"/>
          <w:sz w:val="48"/>
          <w:szCs w:val="48"/>
        </w:rPr>
      </w:pPr>
      <w:r>
        <w:rPr>
          <w:rFonts w:hint="eastAsia" w:eastAsia="方正小标宋_GBK"/>
          <w:sz w:val="48"/>
          <w:szCs w:val="48"/>
        </w:rPr>
        <w:t>2019</w:t>
      </w:r>
      <w:r>
        <w:rPr>
          <w:rFonts w:eastAsia="方正小标宋_GBK"/>
          <w:sz w:val="48"/>
          <w:szCs w:val="48"/>
        </w:rPr>
        <w:t>年度部门整体支出绩效自评报告</w:t>
      </w:r>
    </w:p>
    <w:p>
      <w:pPr>
        <w:jc w:val="center"/>
        <w:rPr>
          <w:rFonts w:eastAsia="黑体"/>
          <w:sz w:val="32"/>
          <w:szCs w:val="32"/>
        </w:rPr>
      </w:pPr>
    </w:p>
    <w:p>
      <w:pPr>
        <w:jc w:val="center"/>
        <w:rPr>
          <w:rFonts w:eastAsia="黑体"/>
          <w:sz w:val="32"/>
          <w:szCs w:val="32"/>
        </w:rPr>
      </w:pPr>
    </w:p>
    <w:p>
      <w:pP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黑体"/>
          <w:sz w:val="32"/>
          <w:szCs w:val="32"/>
        </w:rPr>
      </w:pPr>
    </w:p>
    <w:p>
      <w:pPr>
        <w:rPr>
          <w:rFonts w:eastAsia="黑体"/>
          <w:sz w:val="32"/>
          <w:szCs w:val="32"/>
        </w:rPr>
      </w:pPr>
    </w:p>
    <w:p>
      <w:pPr>
        <w:jc w:val="center"/>
        <w:rPr>
          <w:rFonts w:eastAsia="黑体"/>
          <w:sz w:val="32"/>
          <w:szCs w:val="32"/>
        </w:rPr>
      </w:pPr>
    </w:p>
    <w:p>
      <w:pPr>
        <w:jc w:val="center"/>
        <w:rPr>
          <w:rFonts w:eastAsia="黑体"/>
          <w:sz w:val="32"/>
          <w:szCs w:val="32"/>
        </w:rPr>
      </w:pPr>
    </w:p>
    <w:p>
      <w:pPr>
        <w:jc w:val="center"/>
        <w:rPr>
          <w:rFonts w:eastAsia="方正小标宋_GBK"/>
          <w:sz w:val="48"/>
          <w:szCs w:val="48"/>
        </w:rPr>
      </w:pPr>
      <w:r>
        <w:rPr>
          <w:rFonts w:hint="eastAsia" w:eastAsia="方正小标宋_GBK"/>
          <w:sz w:val="48"/>
          <w:szCs w:val="48"/>
        </w:rPr>
        <w:t>衡南县文化旅游广电体育局</w:t>
      </w:r>
    </w:p>
    <w:p>
      <w:pPr>
        <w:jc w:val="center"/>
        <w:rPr>
          <w:rFonts w:ascii="方正楷体_GBK" w:hAnsi="方正楷体_GBK" w:eastAsia="方正楷体_GBK" w:cs="方正楷体_GBK"/>
          <w:sz w:val="40"/>
          <w:szCs w:val="40"/>
        </w:rPr>
      </w:pPr>
      <w:r>
        <w:rPr>
          <w:rFonts w:hint="eastAsia" w:ascii="方正楷体_GBK" w:hAnsi="方正楷体_GBK" w:eastAsia="方正楷体_GBK" w:cs="方正楷体_GBK"/>
          <w:sz w:val="40"/>
          <w:szCs w:val="40"/>
        </w:rPr>
        <w:t xml:space="preserve">                   2020年6月</w:t>
      </w:r>
    </w:p>
    <w:p>
      <w:pPr>
        <w:widowControl/>
        <w:jc w:val="left"/>
        <w:rPr>
          <w:rFonts w:ascii="黑体" w:eastAsia="黑体" w:cs="黑体"/>
          <w:color w:val="000000"/>
          <w:kern w:val="0"/>
          <w:sz w:val="70"/>
          <w:szCs w:val="70"/>
        </w:rPr>
      </w:pPr>
      <w:r>
        <w:rPr>
          <w:rFonts w:ascii="黑体" w:eastAsia="黑体" w:cs="黑体"/>
          <w:color w:val="000000"/>
          <w:kern w:val="0"/>
          <w:sz w:val="70"/>
          <w:szCs w:val="70"/>
        </w:rPr>
        <w:br w:type="page"/>
      </w:r>
    </w:p>
    <w:p>
      <w:pPr>
        <w:widowControl/>
        <w:spacing w:line="600" w:lineRule="exact"/>
        <w:jc w:val="center"/>
        <w:rPr>
          <w:rFonts w:ascii="黑体" w:eastAsia="黑体" w:cs="黑体"/>
          <w:color w:val="000000"/>
          <w:kern w:val="0"/>
          <w:sz w:val="70"/>
          <w:szCs w:val="70"/>
        </w:rPr>
      </w:pPr>
    </w:p>
    <w:p>
      <w:pPr>
        <w:jc w:val="center"/>
        <w:rPr>
          <w:rFonts w:ascii="方正小标宋_GBK" w:hAnsi="方正小标宋_GBK" w:eastAsia="方正小标宋_GBK" w:cs="方正小标宋_GBK"/>
          <w:kern w:val="0"/>
          <w:sz w:val="36"/>
          <w:szCs w:val="36"/>
        </w:rPr>
      </w:pPr>
      <w:r>
        <w:rPr>
          <w:rFonts w:hint="eastAsia" w:ascii="方正小标宋_GBK" w:hAnsi="方正小标宋_GBK" w:eastAsia="方正小标宋_GBK" w:cs="方正小标宋_GBK"/>
          <w:kern w:val="0"/>
          <w:sz w:val="36"/>
          <w:szCs w:val="36"/>
        </w:rPr>
        <w:t>衡南县文化旅游广电体育局</w:t>
      </w:r>
    </w:p>
    <w:p>
      <w:pPr>
        <w:spacing w:line="600" w:lineRule="exact"/>
        <w:jc w:val="center"/>
        <w:rPr>
          <w:rFonts w:ascii="方正小标宋_GBK" w:hAnsi="方正小标宋_GBK" w:eastAsia="方正小标宋_GBK" w:cs="方正小标宋_GBK"/>
          <w:kern w:val="0"/>
          <w:sz w:val="36"/>
          <w:szCs w:val="36"/>
        </w:rPr>
      </w:pPr>
      <w:r>
        <w:rPr>
          <w:rFonts w:ascii="方正小标宋_GBK" w:hAnsi="方正小标宋_GBK" w:eastAsia="方正小标宋_GBK" w:cs="方正小标宋_GBK"/>
          <w:kern w:val="0"/>
          <w:sz w:val="36"/>
          <w:szCs w:val="36"/>
        </w:rPr>
        <w:t>201</w:t>
      </w:r>
      <w:r>
        <w:rPr>
          <w:rFonts w:hint="eastAsia" w:ascii="方正小标宋_GBK" w:hAnsi="方正小标宋_GBK" w:eastAsia="方正小标宋_GBK" w:cs="方正小标宋_GBK"/>
          <w:kern w:val="0"/>
          <w:sz w:val="36"/>
          <w:szCs w:val="36"/>
        </w:rPr>
        <w:t>9年</w:t>
      </w:r>
      <w:r>
        <w:rPr>
          <w:rFonts w:ascii="方正小标宋_GBK" w:hAnsi="方正小标宋_GBK" w:eastAsia="方正小标宋_GBK" w:cs="方正小标宋_GBK"/>
          <w:kern w:val="0"/>
          <w:sz w:val="36"/>
          <w:szCs w:val="36"/>
        </w:rPr>
        <w:t>整体支出绩效评价报告</w:t>
      </w:r>
    </w:p>
    <w:p>
      <w:pPr>
        <w:spacing w:line="600" w:lineRule="exact"/>
        <w:jc w:val="left"/>
        <w:rPr>
          <w:rFonts w:ascii="仿宋" w:hAnsi="仿宋" w:eastAsia="仿宋" w:cs="仿宋_GB2312"/>
          <w:sz w:val="32"/>
          <w:szCs w:val="32"/>
        </w:rPr>
      </w:pPr>
    </w:p>
    <w:p>
      <w:pPr>
        <w:pStyle w:val="5"/>
        <w:spacing w:line="360" w:lineRule="atLeast"/>
        <w:ind w:firstLine="680" w:firstLineChars="200"/>
        <w:rPr>
          <w:rFonts w:ascii="方正仿宋_GBK" w:hAnsi="方正仿宋_GBK" w:eastAsia="方正仿宋_GBK" w:cs="方正仿宋_GBK"/>
          <w:sz w:val="34"/>
          <w:szCs w:val="34"/>
        </w:rPr>
      </w:pPr>
      <w:r>
        <w:rPr>
          <w:rFonts w:hint="eastAsia" w:ascii="方正仿宋_GBK" w:hAnsi="方正仿宋_GBK" w:eastAsia="方正仿宋_GBK" w:cs="方正仿宋_GBK"/>
          <w:sz w:val="34"/>
          <w:szCs w:val="34"/>
        </w:rPr>
        <w:t>我局认真按照《预算法》和《衡南县财政局关于开展2019年度财政资金绩效自评工作的通知》有关精神，稳步推进预算绩效管理工作，不断提高预算绩效管理工作的质量和水平提高财政资金使用效益，预算绩效管理工作取得较好成效。现将衡南县文化旅游广电体育局2019年部门整体支出绩效自评整理如下：</w:t>
      </w:r>
    </w:p>
    <w:p>
      <w:pPr>
        <w:pStyle w:val="5"/>
        <w:spacing w:line="360" w:lineRule="atLeast"/>
        <w:ind w:firstLine="480"/>
        <w:rPr>
          <w:rFonts w:ascii="方正仿宋_GBK" w:hAnsi="方正仿宋_GBK" w:eastAsia="方正仿宋_GBK" w:cs="方正仿宋_GBK"/>
          <w:sz w:val="34"/>
          <w:szCs w:val="34"/>
        </w:rPr>
      </w:pPr>
      <w:r>
        <w:rPr>
          <w:rFonts w:hint="eastAsia" w:ascii="方正仿宋_GBK" w:hAnsi="方正仿宋_GBK" w:eastAsia="方正仿宋_GBK" w:cs="方正仿宋_GBK"/>
          <w:sz w:val="34"/>
          <w:szCs w:val="34"/>
        </w:rPr>
        <w:t>一、 部门概况</w:t>
      </w:r>
    </w:p>
    <w:p>
      <w:pPr>
        <w:pStyle w:val="5"/>
        <w:spacing w:line="360" w:lineRule="atLeast"/>
        <w:ind w:firstLine="480"/>
        <w:rPr>
          <w:rFonts w:ascii="方正仿宋_GBK" w:hAnsi="方正仿宋_GBK" w:eastAsia="方正仿宋_GBK" w:cs="方正仿宋_GBK"/>
          <w:sz w:val="34"/>
          <w:szCs w:val="34"/>
        </w:rPr>
      </w:pPr>
      <w:r>
        <w:rPr>
          <w:rFonts w:hint="eastAsia" w:ascii="方正仿宋_GBK" w:hAnsi="方正仿宋_GBK" w:eastAsia="方正仿宋_GBK" w:cs="方正仿宋_GBK"/>
          <w:sz w:val="34"/>
          <w:szCs w:val="34"/>
        </w:rPr>
        <w:t>（一）部门主要职能</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衡南县文化旅游广电体育局于2019年4月由原文旅广体育局、旅游局组合而成，属全额财政拨款的行政机关单位。我局现设有办公室、政策法规与组织人事股、行政审批服务股、公共文化艺术服务股、旅游与文化遗产管理股、广播电视与科技规划发展肥、群体竞争训股、审计与财务股8个股室。有文化馆、图书馆、全民健身服务中心、旅游服务中心、文化综合市场执大队等6个二级机构。主要工作职责：</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贯彻执行党和国家有关文化（文物）、旅游、）播电视、体育工作的方针、政策和法律、法规，拟订全县文化（文物）、旅游、广播电视、体育事业发展战略、规划并组织实施；推进文化旅游广电体育领域体制机制改革。</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管理全县性重大文体</w:t>
      </w:r>
      <w:r>
        <w:rPr>
          <w:rFonts w:hint="eastAsia" w:ascii="方正仿宋_GBK" w:hAnsi="方正仿宋_GBK" w:eastAsia="方正仿宋_GBK" w:cs="方正仿宋_GBK"/>
          <w:kern w:val="0"/>
          <w:sz w:val="34"/>
          <w:szCs w:val="34"/>
        </w:rPr>
        <w:t>旅游</w:t>
      </w:r>
      <w:r>
        <w:rPr>
          <w:rFonts w:ascii="方正仿宋_GBK" w:hAnsi="方正仿宋_GBK" w:eastAsia="方正仿宋_GBK" w:cs="方正仿宋_GBK"/>
          <w:kern w:val="0"/>
          <w:sz w:val="34"/>
          <w:szCs w:val="34"/>
        </w:rPr>
        <w:t>活动，指导重点文体设施建设，统筹规划文化产业、旅游、广电、体育产业，组织实施文化、旅游、广电、体育资源普查、挖掘、保护和利用工作，促进文化、旅游、广电、体育产业发展。</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指导文化、旅游、广电、体育市场发展，对文化（文物）、旅游、广电、体育、新闻出版（版权）市场经营进行行业监管，推进行业信用体系建设，依法规范文化、文物、旅游、广电、体育市场。</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指导、推进文化（文物）、旅游、广电、体育科 技创新发展，推进文化、旅游、广电、体育行业信息化、标 准化建设。</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推进文化（文物）、旅游、广电、体育领域的公 共服务，会同有关部门统筹安排文旅广体相关事业经费：规 划、指导全县文化旅游广电体育产品生产；组织、指导、协调全县重点公共文化、旅游、广电、体育设施建设和基层公共文化、体育设施建设：负责指导公共图书馆、文化馆（站）、美术馆、博物馆、纪念馆、体育场（馆）等基层公共文化 体育事业建设。</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管理全县文化（文物）、旅游、体育、艺术事业；指导、协调艺术创作与艺术生产：扶持地方性、代表性、示 范性、实验性文化艺术品种和体育项目，推动各门类艺术的发展；管理、指导艺术教育事业：指导、组织、协调全县性重大文化和体育活动。负责监测全县文化、旅游、广电、体有经济运行和全县文化、旅游、广电、体育统计及行业信息发布。</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指导、监督管理全县文化市场综合执法和文物、旅游、体育、新闻出版（版权）行政执法工作；负责对从事演艺活动的民办机构和网络游戏服务进行监管（不含网络游戏的网上出版前置审批）。</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统筹规划指导全县群众体育发展及活动开展：负 责推行全民健身计划，监督实施国家体育锻炼标准：推动国 民体质监测和社会体育指导工作队伍制度建设</w:t>
      </w:r>
      <w:r>
        <w:rPr>
          <w:rFonts w:hint="eastAsia" w:ascii="方正仿宋_GBK" w:hAnsi="方正仿宋_GBK" w:eastAsia="方正仿宋_GBK" w:cs="方正仿宋_GBK"/>
          <w:kern w:val="0"/>
          <w:sz w:val="34"/>
          <w:szCs w:val="34"/>
        </w:rPr>
        <w:t>。</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组织管理体育训练、体育竞赛、运动队伍建设，协调运动员社会保障工作；统筹规划青少年体育发展，加强 体育后备人才建设，指导和推进青少年体育工作。</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指导和监督全县广播电视事业，实施准入和退出管理：拟订发展规划；负责对广播电视摇出机构所播出的节目内容、质量及传输、监测、播出、覆益等进行监管；指导、协调电信网、广播电视网、互联网融合中的相关工作。</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协调和指导全县文物的保护、管理和利用工作。 照行文物行政执法督察职责，依法组织协调重大文物违法案 件的查处，协同有关部门查处文物犯罪的重大案件：负责文化遗产申报及保护、管理的监督工作，协同有关部门负责历史文化名城（镇、村）保护和监督管理工作。</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管理全县非物质文化遗产保护工作，拟订非物质文化遗产保护规划并组织实施：负责优秀民族文化的传承普及工作。</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拟订全县文旅广体系统人才教育、培训规划并组织实施：负责相关系列专业技术职称申报工作。</w:t>
      </w:r>
    </w:p>
    <w:p>
      <w:pPr>
        <w:numPr>
          <w:ilvl w:val="0"/>
          <w:numId w:val="1"/>
        </w:numPr>
        <w:ind w:firstLine="640"/>
        <w:rPr>
          <w:rFonts w:ascii="方正仿宋_GBK" w:hAnsi="方正仿宋_GBK" w:eastAsia="方正仿宋_GBK" w:cs="方正仿宋_GBK"/>
          <w:kern w:val="0"/>
          <w:sz w:val="34"/>
          <w:szCs w:val="34"/>
        </w:rPr>
      </w:pPr>
      <w:r>
        <w:rPr>
          <w:rFonts w:ascii="方正仿宋_GBK" w:hAnsi="方正仿宋_GBK" w:eastAsia="方正仿宋_GBK" w:cs="方正仿宋_GBK"/>
          <w:kern w:val="0"/>
          <w:sz w:val="34"/>
          <w:szCs w:val="34"/>
        </w:rPr>
        <w:t>承办县委、县政府交办的其他事项。</w:t>
      </w:r>
    </w:p>
    <w:p>
      <w:pPr>
        <w:ind w:firstLine="340" w:firstLineChars="1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（二）部门组织机构及人员情况</w:t>
      </w:r>
    </w:p>
    <w:p>
      <w:pPr>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1.机构设置情况</w:t>
      </w:r>
    </w:p>
    <w:p>
      <w:pPr>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我局现设有办公室、政策法规与组织人事股、行政审批服务股、公共文化艺术服务股、旅游与文化遗产管理股、广播电视与科技规划发展肥、群体竞争训股、审计与财务股8个股室。</w:t>
      </w:r>
    </w:p>
    <w:p>
      <w:pPr>
        <w:spacing w:line="600" w:lineRule="exact"/>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2.人员编制情况</w:t>
      </w:r>
    </w:p>
    <w:p>
      <w:pPr>
        <w:widowControl/>
        <w:wordWrap w:val="0"/>
        <w:spacing w:line="450" w:lineRule="atLeast"/>
        <w:ind w:firstLine="64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截止2019年末，我单位共有编制机构及人员情况：在职人员22人。乡镇文化站99人。</w:t>
      </w:r>
    </w:p>
    <w:p>
      <w:pPr>
        <w:widowControl/>
        <w:wordWrap w:val="0"/>
        <w:spacing w:line="450" w:lineRule="atLeast"/>
        <w:ind w:left="64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3.公车改革情况</w:t>
      </w:r>
    </w:p>
    <w:p>
      <w:pPr>
        <w:widowControl/>
        <w:wordWrap w:val="0"/>
        <w:spacing w:line="450" w:lineRule="atLeast"/>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 xml:space="preserve">    我局于2016年11月份纳入全县公车改革，享受车改补贴26人。</w:t>
      </w:r>
    </w:p>
    <w:p>
      <w:pPr>
        <w:ind w:firstLine="680" w:firstLineChars="200"/>
        <w:rPr>
          <w:rFonts w:ascii="方正仿宋_GBK" w:hAnsi="方正仿宋_GBK" w:eastAsia="方正仿宋_GBK" w:cs="方正仿宋_GBK"/>
          <w:b/>
          <w:kern w:val="0"/>
          <w:sz w:val="34"/>
          <w:szCs w:val="34"/>
        </w:rPr>
      </w:pP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（一）2019年部门预算收支情况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按照综合预算的原则，所有收入和支出均纳入预算管理。2019年,县文旅广体育局年初预算为1005.6万元，均为财政拨款。 (其中：财政拔款万元，纳入预算管理的非税收入万元。)，比上年1085.75万元减少80.15万元，主要原因：减少9人预算拨款。</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2019年单位预算总支出1005.6万元，其中：工资福利支出886.78万元，一般商品和服务支出13.8万元，对个人和家庭补助支出1.02万元，专项商品和服务支出104万元。</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（二）2019年部门决算情况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1.决算资金来源情况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县文旅广体育局2019年决算资金来源共2012.88万元，其中：一般公共预算拔款资金1417.92万元，占收支总比70.44%。政府性基金584.13万元（来源于体育彩票县级分成、省体彩中心的全民健身赛事经费），占收支总比29.02%。年初结余10.83万元。</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2.决算资金使用情况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县文体广电新局2019年度支出合计2002.05万元。其中：基本支出1053.42万元，占总支出的52.62％；项目支出948.63万元，占总支出的47.38％。2018年度决算总支出合计为1807.04万元，2019年与上年对比总支出上升了10.79%，其中：基本支出下降25.5%（上年度基本支出1414万元），主要原因是我局、全县乡镇文化站由去年130人减为121人；项目支出上升141.34%（上年度项目支出393.04万元），主要原因是：2019年我局加大对公共文化基础设施的投入。</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（三）2019年决算支出分类情况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（1）基本支出情况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度用于保障县文旅广体育局、乡镇文化站正常运转的日常支出997.91万元。与上年对比上升1.45%（上年度为983.4万元，原因是：2019年原旅游局和广播站人员进行了转隶）。包括基本工资、津贴补贴等人员经费支出772.79万元，占基本支出的73.25％；</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2018年省级公共文化服务体系创建后续建设、正常开展的群文群体工作、文化云平台建设、总分馆建设等的商品和服务支出364.5万元，占基本支出的26.75%；</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办公费、印刷费、水电费、办公设备购置等日常公用经费支出13.8万元，占基本支出的1％；</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离休费、抚恤金、生活补助、医疗费、住房公积金等对个人和家庭的补助支出23.8万元，占基本支出的1.8%。、</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 xml:space="preserve">   （2）项目支出情况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 xml:space="preserve">    项目支出系我局为完成文化、旅游、体育、广电等工作而发生的支出， 2019年项目支出948.63万元，2018年项目支出393.04万元，较上年增加了555.59万元。2019年项目支出主要有：湖南省第三届农耕健身大赛、龙溪湖半马赛；购买体彩销量与全民健路径；对局直单位电影公司、文化馆的运转等发生的支出。</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 xml:space="preserve">   （四）“三公经费”情况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 xml:space="preserve"> 1. 因公出国（境）经费</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2019年预算安排0万元。无安排因公出国(境)经费。</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2.公务接待费</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公务接待费1.18万元。主要用于各类文化体育活动演职员、运动员餐费，省、市领导莅临县文旅广体育局指导检查接待等方面的接待活动。与上年1.75万元相比下降了0.57万元、下降了33%，严格执行国家、省、市、县的相关规定。</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3. 公务用车购置及运行费</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2019年我局从县公务用车平台费为2.72万元，与上年1.47万元相比上升了1.25万元，上升了85%。</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（五）其他事项说明</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1.日常公用经费</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2019年县文旅广体育局一般公共预算拨款安排的机关运行经费支出13.8万元，与2018年18.6万减少4.8万元。</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2.政府采购情况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2019年县文旅广体育局政府采购预算总额100万元，通过政府采购平台53.25万元，主要支出是文化云平台。</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3.国有资产占用使用情况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截止2019年底，县文旅广体育局本级现有车辆0辆。</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三、部门整体支出绩效情况</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2019年我局严格执行单位各项管理各项制度，严格财务管理，加强预算收支的管理，部门整体支出管理情况完全按要求执行。成立了内部控制领导小组，特别是对专项资金做到严格按要求统一监管，专款专用。一年来，财政资金发挥积极的效果：实现26个乡镇文化综合服务站免费开放和图书馆总分馆制、公共文化数字化建设全面铺开、实现人均拥有公共文化体育设施面积达7.48平方、成功举办湖南省第三届农耕健身大会暨“美丽乡村”环龙溪半马赛、各类文体赛事累计达25万多人次、2019年体彩销售总额突破6755万</w:t>
      </w:r>
      <w:r>
        <w:rPr>
          <w:rFonts w:ascii="方正仿宋_GBK" w:hAnsi="方正仿宋_GBK" w:eastAsia="方正仿宋_GBK" w:cs="方正仿宋_GBK"/>
          <w:kern w:val="0"/>
          <w:sz w:val="34"/>
          <w:szCs w:val="34"/>
        </w:rPr>
        <w:t>…</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1、重点支出安排率：100%</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2、在职人员控制率：100%</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3、部门整体支出支付进度：100%</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4、政府采购执行率：100%</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5、重点工作完成率：100%</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6、“三公经费”控制率：100%。</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四、存在的主要问题</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1、预算的编制是一项对政策性、技术性和时效性都很强的工作，需要预算编制人员具有较高政策水平、专业技术水平和很强预测力。为适应国家更为严格、规范、精细化的财务管理要求提高预算的科学性、合理性，提高预算与执行资金的口径基本同步。因此我们需加强业务学习。</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２、内部控制制度还待于进一步完善。</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　　五、改进措施和建议</w:t>
      </w:r>
    </w:p>
    <w:p>
      <w:pPr>
        <w:ind w:firstLine="680" w:firstLineChars="200"/>
        <w:rPr>
          <w:rFonts w:ascii="方正仿宋_GBK" w:hAnsi="方正仿宋_GBK" w:eastAsia="方正仿宋_GBK" w:cs="方正仿宋_GBK"/>
          <w:kern w:val="0"/>
          <w:sz w:val="34"/>
          <w:szCs w:val="34"/>
        </w:rPr>
      </w:pPr>
      <w:r>
        <w:rPr>
          <w:rFonts w:hint="eastAsia" w:ascii="方正仿宋_GBK" w:hAnsi="方正仿宋_GBK" w:eastAsia="方正仿宋_GBK" w:cs="方正仿宋_GBK"/>
          <w:kern w:val="0"/>
          <w:sz w:val="34"/>
          <w:szCs w:val="34"/>
        </w:rPr>
        <w:t>进一步加强内部机构的预算管理意识，严格按照预算编制的相关制度和要求，进一步提高预算编制的科学性、合理性、严谨性和可控性，在日常预算管理过程中，进一步加强预算支出的审核、跟踪及预算执行情况分析。</w:t>
      </w:r>
    </w:p>
    <w:p>
      <w:pPr>
        <w:ind w:firstLine="680" w:firstLineChars="200"/>
        <w:rPr>
          <w:rFonts w:ascii="方正仿宋_GBK" w:hAnsi="方正仿宋_GBK" w:eastAsia="方正仿宋_GBK" w:cs="方正仿宋_GBK"/>
          <w:kern w:val="0"/>
          <w:sz w:val="34"/>
          <w:szCs w:val="34"/>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仿宋_GBK">
    <w:altName w:val="微软雅黑"/>
    <w:panose1 w:val="00000000000000000000"/>
    <w:charset w:val="86"/>
    <w:family w:val="auto"/>
    <w:pitch w:val="default"/>
    <w:sig w:usb0="00000000" w:usb1="00000000" w:usb2="00000000" w:usb3="00000000" w:csb0="00040000" w:csb1="00000000"/>
  </w:font>
  <w:font w:name="方正黑体_GBK">
    <w:altName w:val="微软雅黑"/>
    <w:panose1 w:val="00000000000000000000"/>
    <w:charset w:val="86"/>
    <w:family w:val="auto"/>
    <w:pitch w:val="default"/>
    <w:sig w:usb0="00000000" w:usb1="00000000" w:usb2="00000000" w:usb3="00000000" w:csb0="00040000" w:csb1="00000000"/>
  </w:font>
  <w:font w:name="方正楷体_GBK">
    <w:altName w:val="微软雅黑"/>
    <w:panose1 w:val="00000000000000000000"/>
    <w:charset w:val="86"/>
    <w:family w:val="auto"/>
    <w:pitch w:val="default"/>
    <w:sig w:usb0="00000000" w:usb1="00000000" w:usb2="00000000" w:usb3="00000000" w:csb0="00040000" w:csb1="00000000"/>
  </w:font>
  <w:font w:name="方正仿宋_GBK">
    <w:altName w:val="微软雅黑"/>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712462"/>
    <w:multiLevelType w:val="multilevel"/>
    <w:tmpl w:val="5A712462"/>
    <w:lvl w:ilvl="0" w:tentative="0">
      <w:start w:val="1"/>
      <w:numFmt w:val="decimal"/>
      <w:lvlText w:val="%1."/>
      <w:lvlJc w:val="left"/>
      <w:pPr>
        <w:tabs>
          <w:tab w:val="left" w:pos="738"/>
        </w:tabs>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2"/>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6F9"/>
    <w:rsid w:val="00002C9E"/>
    <w:rsid w:val="0002229B"/>
    <w:rsid w:val="000273BD"/>
    <w:rsid w:val="00037401"/>
    <w:rsid w:val="000415B7"/>
    <w:rsid w:val="000658A3"/>
    <w:rsid w:val="00074155"/>
    <w:rsid w:val="000A3F69"/>
    <w:rsid w:val="00152C6D"/>
    <w:rsid w:val="00155097"/>
    <w:rsid w:val="00162D39"/>
    <w:rsid w:val="00171DD2"/>
    <w:rsid w:val="001A67DB"/>
    <w:rsid w:val="001D51E5"/>
    <w:rsid w:val="001F0C3B"/>
    <w:rsid w:val="0020240D"/>
    <w:rsid w:val="00214427"/>
    <w:rsid w:val="00265724"/>
    <w:rsid w:val="0027426B"/>
    <w:rsid w:val="002B6042"/>
    <w:rsid w:val="003479BD"/>
    <w:rsid w:val="003768D5"/>
    <w:rsid w:val="003B12B3"/>
    <w:rsid w:val="00402D32"/>
    <w:rsid w:val="004506F9"/>
    <w:rsid w:val="004717A2"/>
    <w:rsid w:val="004734CD"/>
    <w:rsid w:val="00491741"/>
    <w:rsid w:val="004F0978"/>
    <w:rsid w:val="00500E5F"/>
    <w:rsid w:val="005122EF"/>
    <w:rsid w:val="00517C33"/>
    <w:rsid w:val="00523644"/>
    <w:rsid w:val="0054069E"/>
    <w:rsid w:val="00541CD5"/>
    <w:rsid w:val="005767CC"/>
    <w:rsid w:val="00590D9F"/>
    <w:rsid w:val="00595D26"/>
    <w:rsid w:val="005A74E6"/>
    <w:rsid w:val="005D4D55"/>
    <w:rsid w:val="005E2CFB"/>
    <w:rsid w:val="0062378F"/>
    <w:rsid w:val="00651EEC"/>
    <w:rsid w:val="006A351B"/>
    <w:rsid w:val="006B0422"/>
    <w:rsid w:val="006C1B53"/>
    <w:rsid w:val="006D7730"/>
    <w:rsid w:val="006E5284"/>
    <w:rsid w:val="006F3EB5"/>
    <w:rsid w:val="00702E34"/>
    <w:rsid w:val="00704395"/>
    <w:rsid w:val="00720FF1"/>
    <w:rsid w:val="00812ED5"/>
    <w:rsid w:val="008277D9"/>
    <w:rsid w:val="0084125E"/>
    <w:rsid w:val="0088768A"/>
    <w:rsid w:val="008A3E8D"/>
    <w:rsid w:val="008D5EB3"/>
    <w:rsid w:val="009237C4"/>
    <w:rsid w:val="00924742"/>
    <w:rsid w:val="00950252"/>
    <w:rsid w:val="00967F5D"/>
    <w:rsid w:val="009A0F95"/>
    <w:rsid w:val="009B3ADF"/>
    <w:rsid w:val="009C3B52"/>
    <w:rsid w:val="009C4200"/>
    <w:rsid w:val="00A25CD3"/>
    <w:rsid w:val="00A42218"/>
    <w:rsid w:val="00A70249"/>
    <w:rsid w:val="00AD6F1C"/>
    <w:rsid w:val="00B31E0C"/>
    <w:rsid w:val="00B33BEA"/>
    <w:rsid w:val="00B57C9F"/>
    <w:rsid w:val="00B845B3"/>
    <w:rsid w:val="00B85D8B"/>
    <w:rsid w:val="00BE3674"/>
    <w:rsid w:val="00C16BA4"/>
    <w:rsid w:val="00C21008"/>
    <w:rsid w:val="00C3049A"/>
    <w:rsid w:val="00C31B1E"/>
    <w:rsid w:val="00C77645"/>
    <w:rsid w:val="00CE04C3"/>
    <w:rsid w:val="00CE76A0"/>
    <w:rsid w:val="00D148C6"/>
    <w:rsid w:val="00DC5ACE"/>
    <w:rsid w:val="00DD06FF"/>
    <w:rsid w:val="00DD5FE9"/>
    <w:rsid w:val="00DD6CF2"/>
    <w:rsid w:val="00E00C7A"/>
    <w:rsid w:val="00E2583E"/>
    <w:rsid w:val="00E4313B"/>
    <w:rsid w:val="00E55B68"/>
    <w:rsid w:val="00EC33B4"/>
    <w:rsid w:val="00EE07D2"/>
    <w:rsid w:val="00F74360"/>
    <w:rsid w:val="00F90B17"/>
    <w:rsid w:val="00FB462F"/>
    <w:rsid w:val="00FE16FA"/>
    <w:rsid w:val="00FE328A"/>
    <w:rsid w:val="00FF0DF6"/>
    <w:rsid w:val="0A733E75"/>
    <w:rsid w:val="2A2C24F5"/>
    <w:rsid w:val="4C0241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uiPriority w:val="99"/>
    <w:rPr>
      <w:sz w:val="18"/>
      <w:szCs w:val="18"/>
    </w:r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jc w:val="left"/>
    </w:pPr>
    <w:rPr>
      <w:rFonts w:ascii="宋体" w:hAnsi="宋体" w:eastAsia="宋体" w:cs="宋体"/>
      <w:kern w:val="0"/>
      <w:sz w:val="24"/>
      <w:szCs w:val="24"/>
    </w:rPr>
  </w:style>
  <w:style w:type="character" w:customStyle="1" w:styleId="8">
    <w:name w:val="页眉 Char"/>
    <w:basedOn w:val="7"/>
    <w:link w:val="4"/>
    <w:uiPriority w:val="99"/>
    <w:rPr>
      <w:sz w:val="18"/>
      <w:szCs w:val="18"/>
    </w:rPr>
  </w:style>
  <w:style w:type="character" w:customStyle="1" w:styleId="9">
    <w:name w:val="页脚 Char"/>
    <w:basedOn w:val="7"/>
    <w:link w:val="3"/>
    <w:uiPriority w:val="99"/>
    <w:rPr>
      <w:sz w:val="18"/>
      <w:szCs w:val="18"/>
    </w:rPr>
  </w:style>
  <w:style w:type="paragraph" w:customStyle="1" w:styleId="10">
    <w:name w:val="Defaul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semiHidden/>
    <w:qFormat/>
    <w:uiPriority w:val="99"/>
    <w:rPr>
      <w:sz w:val="18"/>
      <w:szCs w:val="18"/>
    </w:rPr>
  </w:style>
  <w:style w:type="character" w:customStyle="1" w:styleId="13">
    <w:name w:val="20"/>
    <w:basedOn w:val="7"/>
    <w:qFormat/>
    <w:uiPriority w:val="0"/>
    <w:rPr>
      <w:rFonts w:hint="default" w:ascii="Times New Roman" w:hAnsi="Times New Roman" w:cs="Times New Roman"/>
      <w:i/>
    </w:rPr>
  </w:style>
  <w:style w:type="paragraph" w:customStyle="1" w:styleId="14">
    <w:name w:val="普通(网站) Char"/>
    <w:basedOn w:val="1"/>
    <w:uiPriority w:val="0"/>
    <w:pPr>
      <w:widowControl/>
      <w:spacing w:before="100" w:beforeAutospacing="1" w:after="100" w:afterAutospacing="1"/>
      <w:jc w:val="left"/>
    </w:pPr>
    <w:rPr>
      <w:rFonts w:hint="eastAsia" w:ascii="宋体" w:hAnsi="宋体" w:eastAsia="宋体" w:cs="Times New Roman"/>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70884E6-5E66-40F6-88A9-C2B3FF80F3A6}">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36</Pages>
  <Words>1770</Words>
  <Characters>10094</Characters>
  <Lines>84</Lines>
  <Paragraphs>23</Paragraphs>
  <TotalTime>0</TotalTime>
  <ScaleCrop>false</ScaleCrop>
  <LinksUpToDate>false</LinksUpToDate>
  <CharactersWithSpaces>11841</CharactersWithSpaces>
  <Application>WPS Office_11.1.0.10578_F1E327BC-269C-435d-A152-05C5408002CA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2020-09-23T02:47:00Z</dcterms:created>
  <dc:creator>李航 null</dc:creator>
  <cp:lastModifiedBy>冰之剑</cp:lastModifiedBy>
  <cp:lastPrinted>2020-07-15T07:25:00Z</cp:lastPrinted>
  <dcterms:modified xsi:type="dcterms:W3CDTF">2021-06-22T07:42:24Z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2052-11.1.0.10578</vt:lpwstr>
  </property>
  <property fmtid="{D5CDD505-2E9C-101B-9397-08002B2CF9AE}" pid="3" name="ICV">
    <vt:lpwstr>10F71BB2B7D945938B33969F083EC722</vt:lpwstr>
  </property>
</Properties>
</file>