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center"/>
        <w:rPr>
          <w:rFonts w:hint="eastAsia"/>
          <w:b/>
          <w:sz w:val="72"/>
          <w:szCs w:val="72"/>
        </w:rPr>
      </w:pPr>
    </w:p>
    <w:p>
      <w:pPr>
        <w:spacing w:beforeLines="0" w:afterLines="0"/>
        <w:jc w:val="center"/>
        <w:rPr>
          <w:rFonts w:hint="eastAsia"/>
          <w:b/>
          <w:sz w:val="72"/>
          <w:szCs w:val="72"/>
        </w:rPr>
      </w:pPr>
    </w:p>
    <w:p>
      <w:pPr>
        <w:spacing w:beforeLines="0" w:afterLines="0"/>
        <w:jc w:val="center"/>
        <w:rPr>
          <w:rFonts w:hint="eastAsia"/>
          <w:b/>
          <w:sz w:val="72"/>
          <w:szCs w:val="72"/>
        </w:rPr>
      </w:pPr>
    </w:p>
    <w:p>
      <w:pPr>
        <w:spacing w:beforeLines="0" w:afterLines="0"/>
        <w:jc w:val="center"/>
        <w:rPr>
          <w:rFonts w:hint="eastAsia"/>
          <w:b/>
          <w:sz w:val="72"/>
          <w:szCs w:val="72"/>
        </w:rPr>
      </w:pPr>
    </w:p>
    <w:p>
      <w:pPr>
        <w:spacing w:beforeLines="0" w:afterLines="0"/>
        <w:jc w:val="center"/>
        <w:rPr>
          <w:rFonts w:hint="eastAsia"/>
          <w:b/>
          <w:sz w:val="72"/>
          <w:szCs w:val="72"/>
        </w:rPr>
      </w:pPr>
    </w:p>
    <w:p>
      <w:pPr>
        <w:spacing w:beforeLines="0" w:afterLines="0"/>
        <w:jc w:val="center"/>
        <w:rPr>
          <w:rFonts w:hint="eastAsia"/>
          <w:b/>
          <w:sz w:val="72"/>
          <w:szCs w:val="72"/>
        </w:rPr>
      </w:pPr>
      <w:r>
        <w:rPr>
          <w:rFonts w:hint="eastAsia"/>
          <w:b/>
          <w:sz w:val="72"/>
          <w:szCs w:val="72"/>
        </w:rPr>
        <w:t>2019年度</w:t>
      </w:r>
    </w:p>
    <w:p>
      <w:pPr>
        <w:spacing w:beforeLines="0" w:afterLines="0"/>
        <w:jc w:val="center"/>
        <w:rPr>
          <w:rFonts w:hint="eastAsia"/>
          <w:b/>
          <w:sz w:val="72"/>
          <w:szCs w:val="72"/>
        </w:rPr>
      </w:pPr>
      <w:r>
        <w:rPr>
          <w:rFonts w:hint="eastAsia"/>
          <w:b/>
          <w:sz w:val="72"/>
          <w:szCs w:val="72"/>
        </w:rPr>
        <w:t>衡南县公安局交通警察大队部门决算</w:t>
      </w:r>
    </w:p>
    <w:p>
      <w:pPr>
        <w:spacing w:beforeLines="0" w:afterLines="0"/>
        <w:rPr>
          <w:rFonts w:hint="eastAsia"/>
          <w:sz w:val="21"/>
          <w:szCs w:val="24"/>
        </w:rPr>
      </w:pPr>
      <w:r>
        <w:rPr>
          <w:rFonts w:hint="eastAsia"/>
          <w:sz w:val="21"/>
          <w:szCs w:val="24"/>
        </w:rPr>
        <w:br w:type="page"/>
      </w:r>
    </w:p>
    <w:p>
      <w:pPr>
        <w:spacing w:beforeLines="0" w:afterLines="0"/>
        <w:rPr>
          <w:rFonts w:hint="eastAsia"/>
          <w:sz w:val="21"/>
          <w:szCs w:val="24"/>
        </w:rPr>
      </w:pPr>
    </w:p>
    <w:p>
      <w:pPr>
        <w:spacing w:beforeLines="0" w:afterLines="0"/>
        <w:jc w:val="center"/>
        <w:rPr>
          <w:rFonts w:hint="eastAsia" w:ascii="黑体" w:hAnsi="黑体" w:eastAsia="黑体" w:cs="黑体"/>
          <w:b/>
          <w:sz w:val="52"/>
          <w:szCs w:val="52"/>
        </w:rPr>
      </w:pPr>
      <w:r>
        <w:rPr>
          <w:rFonts w:hint="eastAsia" w:ascii="黑体" w:hAnsi="黑体" w:eastAsia="黑体" w:cs="黑体"/>
          <w:b/>
          <w:sz w:val="52"/>
          <w:szCs w:val="52"/>
        </w:rPr>
        <w:t>目录</w:t>
      </w:r>
    </w:p>
    <w:p>
      <w:pPr>
        <w:spacing w:beforeLines="0" w:afterLines="0" w:line="480" w:lineRule="exact"/>
        <w:jc w:val="left"/>
        <w:rPr>
          <w:rFonts w:hint="eastAsia" w:ascii="黑体" w:hAnsi="黑体" w:eastAsia="黑体" w:cs="黑体"/>
          <w:b/>
          <w:sz w:val="28"/>
          <w:szCs w:val="36"/>
        </w:rPr>
      </w:pPr>
      <w:r>
        <w:rPr>
          <w:rFonts w:hint="eastAsia" w:ascii="黑体" w:hAnsi="黑体" w:eastAsia="黑体" w:cs="黑体"/>
          <w:b/>
          <w:sz w:val="28"/>
          <w:szCs w:val="36"/>
        </w:rPr>
        <w:t>第一部分衡南县公安局交通警察大队概况</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一、部门职责</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二、机构设置</w:t>
      </w:r>
    </w:p>
    <w:p>
      <w:pPr>
        <w:numPr>
          <w:ilvl w:val="0"/>
          <w:numId w:val="0"/>
        </w:numPr>
        <w:spacing w:beforeLines="0" w:afterLines="0" w:line="480" w:lineRule="exact"/>
        <w:rPr>
          <w:rFonts w:hint="eastAsia" w:ascii="黑体" w:hAnsi="黑体" w:eastAsia="黑体" w:cs="黑体"/>
          <w:b/>
          <w:sz w:val="28"/>
          <w:szCs w:val="36"/>
        </w:rPr>
      </w:pPr>
      <w:r>
        <w:rPr>
          <w:rFonts w:hint="eastAsia" w:ascii="黑体" w:hAnsi="黑体" w:eastAsia="黑体" w:cs="黑体"/>
          <w:b/>
          <w:sz w:val="28"/>
          <w:szCs w:val="36"/>
        </w:rPr>
        <w:t>第二部分2019年度部门决算表</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一、收入支出决算总表</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二、收入决算表</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三、支出决算表</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四、财政拨款收入支出决算总表</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五、一般公共预算财政拨款支出决算表</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六、一般公共预算财政拨款基本支出决算表</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七、一般公共预算财政拨款“三公”经费支出决算表</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八、政府性基金预算财政拨款收入支出决算表</w:t>
      </w:r>
    </w:p>
    <w:p>
      <w:pPr>
        <w:numPr>
          <w:ilvl w:val="0"/>
          <w:numId w:val="0"/>
        </w:numPr>
        <w:spacing w:beforeLines="0" w:afterLines="0" w:line="480" w:lineRule="exact"/>
        <w:rPr>
          <w:rFonts w:hint="eastAsia" w:ascii="黑体" w:hAnsi="黑体" w:eastAsia="黑体" w:cs="黑体"/>
          <w:b/>
          <w:sz w:val="28"/>
          <w:szCs w:val="36"/>
        </w:rPr>
      </w:pPr>
      <w:r>
        <w:rPr>
          <w:rFonts w:hint="eastAsia" w:ascii="黑体" w:hAnsi="黑体" w:eastAsia="黑体" w:cs="黑体"/>
          <w:b/>
          <w:sz w:val="28"/>
          <w:szCs w:val="36"/>
        </w:rPr>
        <w:t>第三部分2019年度部门决算情况说明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一、收入支出决算总体情况说明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二、收入决算情况说明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三、支出决算情况说明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四、财政拨款收入支出决算总体情况说明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五、一般公共预算财政拨款支出决算情况说明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六、一般公共预算财政拨款基本支出决算情况说明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七、一般公共预算财政拨款三公经费支出决算情况说明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八、政府性基金预算收入支出决算情况</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九、预算绩效情况说明</w:t>
      </w:r>
    </w:p>
    <w:p>
      <w:pPr>
        <w:numPr>
          <w:ilvl w:val="0"/>
          <w:numId w:val="0"/>
        </w:numPr>
        <w:spacing w:beforeLines="0" w:afterLines="0" w:line="4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十、其他重要事项情况说明</w:t>
      </w:r>
    </w:p>
    <w:p>
      <w:pPr>
        <w:numPr>
          <w:ilvl w:val="0"/>
          <w:numId w:val="0"/>
        </w:numPr>
        <w:spacing w:beforeLines="0" w:afterLines="0" w:line="480" w:lineRule="exact"/>
        <w:rPr>
          <w:rFonts w:hint="eastAsia" w:ascii="黑体" w:hAnsi="黑体" w:eastAsia="黑体" w:cs="黑体"/>
          <w:b/>
          <w:sz w:val="28"/>
          <w:szCs w:val="36"/>
        </w:rPr>
      </w:pPr>
      <w:r>
        <w:rPr>
          <w:rFonts w:hint="eastAsia" w:ascii="黑体" w:hAnsi="黑体" w:eastAsia="黑体" w:cs="黑体"/>
          <w:b/>
          <w:sz w:val="28"/>
          <w:szCs w:val="36"/>
        </w:rPr>
        <w:t>第四部分名词解释</w:t>
      </w:r>
    </w:p>
    <w:p>
      <w:pPr>
        <w:numPr>
          <w:ilvl w:val="0"/>
          <w:numId w:val="0"/>
        </w:numPr>
        <w:spacing w:beforeLines="0" w:afterLines="0" w:line="480" w:lineRule="exact"/>
        <w:rPr>
          <w:rFonts w:hint="eastAsia" w:ascii="黑体" w:hAnsi="黑体" w:eastAsia="黑体" w:cs="黑体"/>
          <w:b/>
          <w:sz w:val="28"/>
          <w:szCs w:val="36"/>
        </w:rPr>
      </w:pPr>
      <w:r>
        <w:rPr>
          <w:rFonts w:hint="eastAsia" w:ascii="黑体" w:hAnsi="黑体" w:eastAsia="黑体" w:cs="黑体"/>
          <w:b/>
          <w:sz w:val="28"/>
          <w:szCs w:val="36"/>
        </w:rPr>
        <w:t>第五部分附件</w:t>
      </w:r>
    </w:p>
    <w:p>
      <w:pPr>
        <w:spacing w:beforeLines="0" w:afterLines="0"/>
        <w:rPr>
          <w:rFonts w:hint="eastAsia" w:ascii="黑体" w:hAnsi="黑体" w:eastAsia="黑体" w:cs="黑体"/>
          <w:b/>
          <w:sz w:val="28"/>
          <w:szCs w:val="36"/>
        </w:rPr>
      </w:pPr>
      <w:r>
        <w:rPr>
          <w:rFonts w:hint="eastAsia" w:ascii="黑体" w:hAnsi="黑体" w:eastAsia="黑体" w:cs="黑体"/>
          <w:b/>
          <w:sz w:val="28"/>
          <w:szCs w:val="36"/>
        </w:rPr>
        <w:br w:type="page"/>
      </w:r>
    </w:p>
    <w:p>
      <w:pPr>
        <w:numPr>
          <w:ilvl w:val="0"/>
          <w:numId w:val="0"/>
        </w:numPr>
        <w:spacing w:beforeLines="0" w:afterLines="0"/>
        <w:jc w:val="center"/>
        <w:rPr>
          <w:rFonts w:hint="eastAsia" w:ascii="黑体" w:hAnsi="黑体" w:eastAsia="黑体" w:cs="黑体"/>
          <w:sz w:val="96"/>
          <w:szCs w:val="96"/>
        </w:rPr>
      </w:pPr>
    </w:p>
    <w:p>
      <w:pPr>
        <w:numPr>
          <w:ilvl w:val="0"/>
          <w:numId w:val="0"/>
        </w:numPr>
        <w:spacing w:beforeLines="0" w:afterLines="0"/>
        <w:jc w:val="center"/>
        <w:rPr>
          <w:rFonts w:hint="eastAsia" w:ascii="黑体" w:hAnsi="黑体" w:eastAsia="黑体" w:cs="黑体"/>
          <w:sz w:val="96"/>
          <w:szCs w:val="96"/>
        </w:rPr>
      </w:pPr>
    </w:p>
    <w:p>
      <w:pPr>
        <w:numPr>
          <w:ilvl w:val="0"/>
          <w:numId w:val="0"/>
        </w:numPr>
        <w:spacing w:beforeLines="0" w:afterLines="0"/>
        <w:jc w:val="center"/>
        <w:rPr>
          <w:rFonts w:hint="eastAsia" w:ascii="黑体" w:hAnsi="黑体" w:eastAsia="黑体" w:cs="黑体"/>
          <w:sz w:val="96"/>
          <w:szCs w:val="96"/>
        </w:rPr>
      </w:pPr>
    </w:p>
    <w:p>
      <w:pPr>
        <w:numPr>
          <w:ilvl w:val="0"/>
          <w:numId w:val="0"/>
        </w:numPr>
        <w:spacing w:beforeLines="0" w:afterLines="0"/>
        <w:jc w:val="center"/>
        <w:rPr>
          <w:rFonts w:hint="eastAsia" w:ascii="黑体" w:hAnsi="黑体" w:eastAsia="黑体" w:cs="黑体"/>
          <w:sz w:val="96"/>
          <w:szCs w:val="96"/>
        </w:rPr>
      </w:pPr>
    </w:p>
    <w:p>
      <w:pPr>
        <w:numPr>
          <w:ilvl w:val="0"/>
          <w:numId w:val="0"/>
        </w:numPr>
        <w:spacing w:beforeLines="0" w:afterLines="0"/>
        <w:jc w:val="center"/>
        <w:rPr>
          <w:rFonts w:hint="eastAsia" w:ascii="黑体" w:hAnsi="黑体" w:eastAsia="黑体" w:cs="黑体"/>
          <w:b/>
          <w:sz w:val="72"/>
          <w:szCs w:val="72"/>
        </w:rPr>
      </w:pPr>
      <w:r>
        <w:rPr>
          <w:rFonts w:hint="eastAsia" w:ascii="黑体" w:hAnsi="黑体" w:eastAsia="黑体" w:cs="黑体"/>
          <w:b/>
          <w:sz w:val="72"/>
          <w:szCs w:val="72"/>
        </w:rPr>
        <w:t>第一部分</w:t>
      </w:r>
    </w:p>
    <w:p>
      <w:pPr>
        <w:numPr>
          <w:ilvl w:val="0"/>
          <w:numId w:val="0"/>
        </w:numPr>
        <w:spacing w:beforeLines="0" w:afterLines="0"/>
        <w:jc w:val="center"/>
        <w:rPr>
          <w:rFonts w:hint="eastAsia" w:ascii="黑体" w:hAnsi="黑体" w:eastAsia="黑体" w:cs="黑体"/>
          <w:b/>
          <w:sz w:val="72"/>
          <w:szCs w:val="72"/>
        </w:rPr>
      </w:pPr>
      <w:r>
        <w:rPr>
          <w:rFonts w:hint="eastAsia" w:ascii="黑体" w:hAnsi="黑体" w:eastAsia="黑体" w:cs="黑体"/>
          <w:b/>
          <w:sz w:val="72"/>
          <w:szCs w:val="72"/>
        </w:rPr>
        <w:t>衡南县公安局交通警察大队概况</w:t>
      </w:r>
    </w:p>
    <w:p>
      <w:pPr>
        <w:spacing w:beforeLines="0" w:afterLines="0"/>
        <w:rPr>
          <w:rFonts w:hint="eastAsia"/>
          <w:sz w:val="21"/>
          <w:szCs w:val="24"/>
        </w:rPr>
      </w:pPr>
      <w:r>
        <w:rPr>
          <w:rFonts w:hint="eastAsia"/>
          <w:sz w:val="21"/>
          <w:szCs w:val="24"/>
        </w:rPr>
        <w:br w:type="page"/>
      </w:r>
    </w:p>
    <w:p>
      <w:pPr>
        <w:numPr>
          <w:ilvl w:val="0"/>
          <w:numId w:val="0"/>
        </w:numPr>
        <w:spacing w:beforeLines="0" w:afterLines="0" w:line="560" w:lineRule="exact"/>
        <w:ind w:firstLine="643" w:firstLineChars="200"/>
        <w:rPr>
          <w:rFonts w:hint="eastAsia" w:ascii="黑体" w:hAnsi="黑体" w:eastAsia="黑体" w:cs="黑体"/>
          <w:b/>
          <w:sz w:val="32"/>
          <w:szCs w:val="40"/>
        </w:rPr>
      </w:pPr>
      <w:r>
        <w:rPr>
          <w:rFonts w:hint="eastAsia" w:ascii="黑体" w:hAnsi="黑体" w:eastAsia="黑体" w:cs="黑体"/>
          <w:b/>
          <w:sz w:val="32"/>
          <w:szCs w:val="40"/>
        </w:rPr>
        <w:t>一、部门职责</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1、负责道路交通指挥、交通秩序维护和交通事故（案件）的调查及侦察工作；</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2、负责机动车辆及其驾驶员管理工作；</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3、负责公路巡逻、预防和制止公路上发生的违法犯罪活动，打击车匪路霸；</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4、负责交通警卫工作；</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5、负责道路交通安全法规的宣传工作；</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6、参与道路警卫工作；</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7、参与道路建设中交通安全设施的规划、设置和管理。</w:t>
      </w:r>
    </w:p>
    <w:p>
      <w:pPr>
        <w:numPr>
          <w:ilvl w:val="0"/>
          <w:numId w:val="0"/>
        </w:numPr>
        <w:spacing w:beforeLines="0" w:afterLines="0" w:line="560" w:lineRule="exact"/>
        <w:ind w:firstLine="643" w:firstLineChars="200"/>
        <w:rPr>
          <w:rFonts w:hint="eastAsia" w:ascii="黑体" w:hAnsi="黑体" w:eastAsia="黑体" w:cs="黑体"/>
          <w:b/>
          <w:sz w:val="32"/>
          <w:szCs w:val="40"/>
        </w:rPr>
      </w:pPr>
      <w:r>
        <w:rPr>
          <w:rFonts w:hint="eastAsia" w:ascii="黑体" w:hAnsi="黑体" w:eastAsia="黑体" w:cs="黑体"/>
          <w:b/>
          <w:sz w:val="32"/>
          <w:szCs w:val="40"/>
        </w:rPr>
        <w:t>二、机构设置及决算单位构成</w:t>
      </w:r>
    </w:p>
    <w:p>
      <w:pPr>
        <w:numPr>
          <w:ilvl w:val="0"/>
          <w:numId w:val="0"/>
        </w:numPr>
        <w:spacing w:beforeLines="0" w:afterLines="0"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（一）内设机构设置。</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南县公安局交通警察大队系衡南县公安局下属机构,主要承担衡南县交通安全管理工作任务。现有编制数83个,全部为行政编制。单位实有人数172人，其中民警83人，辅警89人。衡南县公安局交通警察大队内设2室3股1所9个中队，分别为：政工督察室、办公室、装备财务股、法制宣传股、安监股、车驾管理所、特勤中队、事故处理中队、云集中队、三塘中队、向阳中队、谭子山中队、车江中队、洪山中队、冠市中队。</w:t>
      </w:r>
    </w:p>
    <w:p>
      <w:pPr>
        <w:numPr>
          <w:ilvl w:val="0"/>
          <w:numId w:val="0"/>
        </w:numPr>
        <w:spacing w:beforeLines="0" w:afterLines="0"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（二）决算单位构成。</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衡南县公安局交通警察大队2019年部门决算公开单位构成：衡南县公安局交通警察大队单位本级。衡南县公安局交通警察大队为县级一级预算单位，无下级机构及其他。</w:t>
      </w:r>
    </w:p>
    <w:p>
      <w:pPr>
        <w:numPr>
          <w:ilvl w:val="0"/>
          <w:numId w:val="0"/>
        </w:numPr>
        <w:spacing w:beforeLines="0" w:afterLines="0" w:line="560" w:lineRule="exact"/>
        <w:ind w:firstLine="640" w:firstLineChars="200"/>
        <w:rPr>
          <w:rFonts w:hint="eastAsia" w:ascii="仿宋" w:hAnsi="仿宋" w:eastAsia="仿宋" w:cs="仿宋"/>
          <w:sz w:val="32"/>
          <w:szCs w:val="32"/>
        </w:rPr>
      </w:pPr>
    </w:p>
    <w:p>
      <w:pPr>
        <w:spacing w:beforeLines="0" w:afterLines="0"/>
        <w:rPr>
          <w:rFonts w:hint="eastAsia"/>
          <w:sz w:val="21"/>
          <w:szCs w:val="24"/>
        </w:rPr>
      </w:pPr>
      <w:r>
        <w:rPr>
          <w:rFonts w:hint="eastAsia"/>
          <w:sz w:val="21"/>
          <w:szCs w:val="24"/>
        </w:rPr>
        <w:br w:type="page"/>
      </w: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56"/>
          <w:szCs w:val="56"/>
        </w:rPr>
      </w:pPr>
      <w:r>
        <w:rPr>
          <w:rFonts w:hint="eastAsia" w:ascii="黑体" w:hAnsi="黑体" w:eastAsia="黑体" w:cs="黑体"/>
          <w:b/>
          <w:sz w:val="56"/>
          <w:szCs w:val="56"/>
        </w:rPr>
        <w:t>第二部分</w:t>
      </w:r>
    </w:p>
    <w:p>
      <w:pPr>
        <w:numPr>
          <w:ilvl w:val="0"/>
          <w:numId w:val="0"/>
        </w:numPr>
        <w:spacing w:beforeLines="0" w:afterLines="0"/>
        <w:jc w:val="center"/>
        <w:rPr>
          <w:rFonts w:hint="eastAsia" w:ascii="黑体" w:hAnsi="黑体" w:eastAsia="黑体" w:cs="黑体"/>
          <w:b/>
          <w:sz w:val="56"/>
          <w:szCs w:val="56"/>
        </w:rPr>
      </w:pPr>
      <w:r>
        <w:rPr>
          <w:rFonts w:hint="eastAsia" w:ascii="黑体" w:hAnsi="黑体" w:eastAsia="黑体" w:cs="黑体"/>
          <w:b/>
          <w:sz w:val="56"/>
          <w:szCs w:val="56"/>
        </w:rPr>
        <w:t>部门决算表</w:t>
      </w:r>
    </w:p>
    <w:p>
      <w:pPr>
        <w:numPr>
          <w:ilvl w:val="0"/>
          <w:numId w:val="0"/>
        </w:numPr>
        <w:spacing w:beforeLines="0" w:afterLines="0"/>
        <w:jc w:val="center"/>
        <w:rPr>
          <w:rFonts w:hint="eastAsia" w:ascii="宋体" w:hAnsi="宋体" w:cs="宋体"/>
          <w:sz w:val="36"/>
          <w:szCs w:val="36"/>
        </w:rPr>
      </w:pPr>
      <w:r>
        <w:rPr>
          <w:rFonts w:hint="eastAsia" w:ascii="宋体" w:hAnsi="宋体" w:cs="宋体"/>
          <w:sz w:val="36"/>
          <w:szCs w:val="36"/>
        </w:rPr>
        <w:t>(部门决算公示表附后)</w:t>
      </w:r>
    </w:p>
    <w:p>
      <w:pPr>
        <w:spacing w:beforeLines="0" w:afterLines="0"/>
        <w:rPr>
          <w:rFonts w:hint="eastAsia"/>
          <w:sz w:val="21"/>
          <w:szCs w:val="24"/>
        </w:rPr>
      </w:pPr>
      <w:r>
        <w:rPr>
          <w:rFonts w:hint="eastAsia"/>
          <w:sz w:val="21"/>
          <w:szCs w:val="24"/>
        </w:rPr>
        <w:br w:type="page"/>
      </w:r>
    </w:p>
    <w:p>
      <w:pPr>
        <w:numPr>
          <w:ilvl w:val="0"/>
          <w:numId w:val="0"/>
        </w:numPr>
        <w:spacing w:beforeLines="0" w:afterLines="0"/>
        <w:rPr>
          <w:rFonts w:hint="eastAsia"/>
          <w:sz w:val="21"/>
          <w:szCs w:val="24"/>
        </w:rPr>
      </w:pPr>
    </w:p>
    <w:p>
      <w:pPr>
        <w:numPr>
          <w:ilvl w:val="0"/>
          <w:numId w:val="0"/>
        </w:numPr>
        <w:spacing w:beforeLines="0" w:afterLines="0"/>
        <w:jc w:val="center"/>
        <w:rPr>
          <w:rFonts w:hint="eastAsia" w:ascii="黑体" w:hAnsi="黑体" w:eastAsia="黑体" w:cs="黑体"/>
          <w:b/>
          <w:sz w:val="56"/>
          <w:szCs w:val="56"/>
        </w:rPr>
      </w:pPr>
    </w:p>
    <w:p>
      <w:pPr>
        <w:numPr>
          <w:ilvl w:val="0"/>
          <w:numId w:val="0"/>
        </w:numPr>
        <w:spacing w:beforeLines="0" w:afterLines="0"/>
        <w:jc w:val="center"/>
        <w:rPr>
          <w:rFonts w:hint="eastAsia" w:ascii="黑体" w:hAnsi="黑体" w:eastAsia="黑体" w:cs="黑体"/>
          <w:b/>
          <w:sz w:val="56"/>
          <w:szCs w:val="56"/>
        </w:rPr>
      </w:pPr>
    </w:p>
    <w:p>
      <w:pPr>
        <w:numPr>
          <w:ilvl w:val="0"/>
          <w:numId w:val="0"/>
        </w:numPr>
        <w:spacing w:beforeLines="0" w:afterLines="0"/>
        <w:jc w:val="center"/>
        <w:rPr>
          <w:rFonts w:hint="eastAsia" w:ascii="黑体" w:hAnsi="黑体" w:eastAsia="黑体" w:cs="黑体"/>
          <w:b/>
          <w:sz w:val="56"/>
          <w:szCs w:val="56"/>
        </w:rPr>
      </w:pPr>
    </w:p>
    <w:p>
      <w:pPr>
        <w:numPr>
          <w:ilvl w:val="0"/>
          <w:numId w:val="0"/>
        </w:numPr>
        <w:spacing w:beforeLines="0" w:afterLines="0"/>
        <w:jc w:val="center"/>
        <w:rPr>
          <w:rFonts w:hint="eastAsia" w:ascii="黑体" w:hAnsi="黑体" w:eastAsia="黑体" w:cs="黑体"/>
          <w:b/>
          <w:sz w:val="56"/>
          <w:szCs w:val="56"/>
        </w:rPr>
      </w:pPr>
    </w:p>
    <w:p>
      <w:pPr>
        <w:numPr>
          <w:ilvl w:val="0"/>
          <w:numId w:val="0"/>
        </w:numPr>
        <w:spacing w:beforeLines="0" w:afterLines="0"/>
        <w:jc w:val="center"/>
        <w:rPr>
          <w:rFonts w:hint="eastAsia" w:ascii="黑体" w:hAnsi="黑体" w:eastAsia="黑体" w:cs="黑体"/>
          <w:b/>
          <w:sz w:val="56"/>
          <w:szCs w:val="56"/>
        </w:rPr>
      </w:pPr>
    </w:p>
    <w:p>
      <w:pPr>
        <w:numPr>
          <w:ilvl w:val="0"/>
          <w:numId w:val="0"/>
        </w:numPr>
        <w:spacing w:beforeLines="0" w:afterLines="0"/>
        <w:jc w:val="center"/>
        <w:rPr>
          <w:rFonts w:hint="eastAsia" w:ascii="黑体" w:hAnsi="黑体" w:eastAsia="黑体" w:cs="黑体"/>
          <w:b/>
          <w:sz w:val="56"/>
          <w:szCs w:val="56"/>
        </w:rPr>
      </w:pPr>
      <w:r>
        <w:rPr>
          <w:rFonts w:hint="eastAsia" w:ascii="黑体" w:hAnsi="黑体" w:eastAsia="黑体" w:cs="黑体"/>
          <w:b/>
          <w:sz w:val="56"/>
          <w:szCs w:val="56"/>
        </w:rPr>
        <w:t>第三部分</w:t>
      </w:r>
    </w:p>
    <w:p>
      <w:pPr>
        <w:numPr>
          <w:ilvl w:val="0"/>
          <w:numId w:val="0"/>
        </w:numPr>
        <w:spacing w:beforeLines="0" w:afterLines="0"/>
        <w:jc w:val="center"/>
        <w:rPr>
          <w:rFonts w:hint="eastAsia" w:ascii="黑体" w:hAnsi="黑体" w:eastAsia="黑体" w:cs="黑体"/>
          <w:b/>
          <w:sz w:val="56"/>
          <w:szCs w:val="56"/>
        </w:rPr>
      </w:pPr>
      <w:r>
        <w:rPr>
          <w:rFonts w:hint="eastAsia" w:ascii="黑体" w:hAnsi="黑体" w:eastAsia="黑体" w:cs="黑体"/>
          <w:b/>
          <w:sz w:val="56"/>
          <w:szCs w:val="56"/>
        </w:rPr>
        <w:t>2019年度部门决算情况说明</w:t>
      </w:r>
    </w:p>
    <w:p>
      <w:pPr>
        <w:spacing w:beforeLines="0" w:afterLines="0"/>
        <w:rPr>
          <w:rFonts w:hint="eastAsia"/>
          <w:sz w:val="21"/>
          <w:szCs w:val="24"/>
        </w:rPr>
      </w:pPr>
      <w:r>
        <w:rPr>
          <w:rFonts w:hint="eastAsia"/>
          <w:sz w:val="21"/>
          <w:szCs w:val="24"/>
        </w:rPr>
        <w:br w:type="page"/>
      </w:r>
    </w:p>
    <w:p>
      <w:pPr>
        <w:numPr>
          <w:ilvl w:val="0"/>
          <w:numId w:val="0"/>
        </w:numPr>
        <w:spacing w:beforeLines="0" w:afterLines="0"/>
        <w:rPr>
          <w:rFonts w:hint="eastAsia"/>
          <w:sz w:val="21"/>
          <w:szCs w:val="24"/>
        </w:rPr>
      </w:pPr>
    </w:p>
    <w:p>
      <w:pPr>
        <w:numPr>
          <w:ilvl w:val="0"/>
          <w:numId w:val="0"/>
        </w:numPr>
        <w:spacing w:beforeLines="0" w:afterLines="0" w:line="560" w:lineRule="exact"/>
        <w:ind w:firstLine="643" w:firstLineChars="200"/>
        <w:rPr>
          <w:rFonts w:hint="eastAsia" w:ascii="黑体" w:hAnsi="黑体" w:eastAsia="黑体" w:cs="黑体"/>
          <w:b/>
          <w:sz w:val="32"/>
          <w:szCs w:val="40"/>
        </w:rPr>
      </w:pPr>
      <w:r>
        <w:rPr>
          <w:rFonts w:hint="eastAsia" w:ascii="黑体" w:hAnsi="黑体" w:eastAsia="黑体" w:cs="黑体"/>
          <w:b/>
          <w:sz w:val="32"/>
          <w:szCs w:val="40"/>
        </w:rPr>
        <w:t>一、收入支出决算总体情况说明</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2019年度收、支总计2988.51万元。与2018年相比，减少252.03万元，减少7.78%，主要是因为按照预算严格控制经费支出。</w:t>
      </w:r>
    </w:p>
    <w:p>
      <w:pPr>
        <w:numPr>
          <w:ilvl w:val="0"/>
          <w:numId w:val="1"/>
        </w:numPr>
        <w:spacing w:beforeLines="0" w:afterLines="0" w:line="560" w:lineRule="exact"/>
        <w:ind w:firstLine="643" w:firstLineChars="200"/>
        <w:rPr>
          <w:rFonts w:hint="eastAsia" w:ascii="黑体" w:hAnsi="黑体" w:eastAsia="黑体" w:cs="黑体"/>
          <w:b/>
          <w:sz w:val="32"/>
          <w:szCs w:val="40"/>
        </w:rPr>
      </w:pPr>
      <w:r>
        <w:rPr>
          <w:rFonts w:hint="eastAsia" w:ascii="黑体" w:hAnsi="黑体" w:eastAsia="黑体" w:cs="黑体"/>
          <w:b/>
          <w:sz w:val="32"/>
          <w:szCs w:val="40"/>
        </w:rPr>
        <w:t>收入决算情况说明</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本年收入合计2988.51万元，其中：财政拨款收入2789.09万元，占93.33%，其他收入54.82万元，占1.83%，年初结转和结余144.6万元，占4.84%。</w:t>
      </w:r>
    </w:p>
    <w:p>
      <w:pPr>
        <w:numPr>
          <w:ilvl w:val="0"/>
          <w:numId w:val="1"/>
        </w:numPr>
        <w:spacing w:beforeLines="0" w:afterLines="0" w:line="560" w:lineRule="exact"/>
        <w:ind w:firstLine="643" w:firstLineChars="200"/>
        <w:rPr>
          <w:rFonts w:hint="eastAsia" w:ascii="黑体" w:hAnsi="黑体" w:eastAsia="黑体" w:cs="黑体"/>
          <w:b/>
          <w:sz w:val="32"/>
          <w:szCs w:val="40"/>
        </w:rPr>
      </w:pPr>
      <w:r>
        <w:rPr>
          <w:rFonts w:hint="eastAsia" w:ascii="黑体" w:hAnsi="黑体" w:eastAsia="黑体" w:cs="黑体"/>
          <w:b/>
          <w:sz w:val="32"/>
          <w:szCs w:val="40"/>
        </w:rPr>
        <w:t>支出决算情况说明</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本年支出合计2851.69万元，其中：基本支出2219.95万元，占77.85%；项目支出631.74万元，占22.15%。</w:t>
      </w:r>
    </w:p>
    <w:p>
      <w:pPr>
        <w:numPr>
          <w:ilvl w:val="0"/>
          <w:numId w:val="2"/>
        </w:numPr>
        <w:spacing w:beforeLines="0" w:afterLines="0" w:line="560" w:lineRule="exact"/>
        <w:ind w:firstLine="643" w:firstLineChars="200"/>
        <w:rPr>
          <w:rFonts w:hint="eastAsia" w:ascii="黑体" w:hAnsi="黑体" w:eastAsia="黑体" w:cs="黑体"/>
          <w:b/>
          <w:sz w:val="32"/>
          <w:szCs w:val="40"/>
        </w:rPr>
      </w:pPr>
      <w:r>
        <w:rPr>
          <w:rFonts w:hint="eastAsia" w:ascii="黑体" w:hAnsi="黑体" w:eastAsia="黑体" w:cs="黑体"/>
          <w:b/>
          <w:sz w:val="32"/>
          <w:szCs w:val="40"/>
        </w:rPr>
        <w:t>财政拨款收入支出决算总体情况说明</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2019年度财政拨款收、支总计2933.69万元，与2018年相比，减少306.85万元，减少9.5%，主要是因为按照预算严格控制经费支出。</w:t>
      </w:r>
    </w:p>
    <w:p>
      <w:pPr>
        <w:numPr>
          <w:ilvl w:val="0"/>
          <w:numId w:val="0"/>
        </w:numPr>
        <w:spacing w:beforeLines="0" w:afterLines="0" w:line="560" w:lineRule="exact"/>
        <w:ind w:firstLine="643" w:firstLineChars="200"/>
        <w:rPr>
          <w:rFonts w:hint="eastAsia" w:ascii="黑体" w:hAnsi="黑体" w:eastAsia="黑体" w:cs="黑体"/>
          <w:b/>
          <w:sz w:val="32"/>
          <w:szCs w:val="40"/>
        </w:rPr>
      </w:pPr>
      <w:r>
        <w:rPr>
          <w:rFonts w:hint="eastAsia" w:ascii="黑体" w:hAnsi="黑体" w:eastAsia="黑体" w:cs="黑体"/>
          <w:b/>
          <w:sz w:val="32"/>
          <w:szCs w:val="40"/>
        </w:rPr>
        <w:t>五、一般公共预算财政拨款支出决算情况说明</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（一）财政拨款支出决算总体情况2019年度财政拨款支出2796.86万元，占本年支出合计的98.1%，与2018年相比，财政拨款支出减少299.09万元，减少9.66%，主要是因为按照预算严格控制经费支出。</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财政拨款支出决算结构情况2019年度财政拨款支出2796.86万元，主要用于以下方面：一般公共服务支出19万元，占0.63%；公共安全支出2607.51万8元，占93.23%；社会保障和就业支出138.5万元，占5%；卫生健康支出31.85万元，占1.14%。</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（三）财政拨款支出决算具体情况2019年度财政拨款支出年初预算数为1602.05万元，支出决算数为2796.86万元，完成年初预算的174.58%，其中：</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1、一般公共服务支出年初预算为1271.15万元，支出决算为19万元。</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2、公共安全支出公共安全支出年初预算数115.72万元，决算数2577.01万元。</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3、社会保障和就业支出社会保障和就业支出年初预算158.33万元，决算数138.5万元。</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4、卫生健康支出卫生健康支出年初预算26.35万元，决算数31.85万元。</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5、住房和保障支出住房和保障支出年初预算30.5万元，决算数30.5万元。</w:t>
      </w:r>
    </w:p>
    <w:p>
      <w:pPr>
        <w:numPr>
          <w:ilvl w:val="0"/>
          <w:numId w:val="0"/>
        </w:numPr>
        <w:spacing w:beforeLines="0" w:afterLines="0"/>
        <w:rPr>
          <w:rFonts w:hint="eastAsia" w:ascii="黑体" w:hAnsi="黑体" w:eastAsia="黑体" w:cs="黑体"/>
          <w:b/>
          <w:sz w:val="32"/>
          <w:szCs w:val="40"/>
        </w:rPr>
      </w:pPr>
      <w:r>
        <w:rPr>
          <w:rFonts w:hint="eastAsia" w:ascii="黑体" w:hAnsi="黑体" w:eastAsia="黑体" w:cs="黑体"/>
          <w:b/>
          <w:sz w:val="32"/>
          <w:szCs w:val="40"/>
        </w:rPr>
        <w:t>六、一般公共预算财政拨款基本支出决算情况说明</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财政拨款基本支出2165.12万元，其中：人员经费1542.85万元，占基本支出的71.26%,主要包括基本工资、津贴补贴、奖金、伙食补助费、机关事业单位养老保险缴费、其他社会保障缴费、住房公积金、医疗费、其他工资福利支出、离休费、抚恤金、其他对个人和家庭的补助支出；公用经费622.27万元，占基本支出的28.74%，主要包括办公费、印刷费、水费、电费、邮电费、9差旅费、因公出国（境）费用、会议费、培训费、公务接待费、工会经费、福利费、公务用车运行维护费、其他交通费用、其他商品和服务支出、资本性支出。</w:t>
      </w:r>
    </w:p>
    <w:p>
      <w:pPr>
        <w:numPr>
          <w:ilvl w:val="0"/>
          <w:numId w:val="0"/>
        </w:numPr>
        <w:spacing w:beforeLines="0" w:afterLines="0"/>
        <w:rPr>
          <w:rFonts w:hint="eastAsia" w:ascii="黑体" w:hAnsi="黑体" w:eastAsia="黑体" w:cs="黑体"/>
          <w:b/>
          <w:sz w:val="32"/>
          <w:szCs w:val="40"/>
        </w:rPr>
      </w:pPr>
      <w:r>
        <w:rPr>
          <w:rFonts w:hint="eastAsia" w:ascii="黑体" w:hAnsi="黑体" w:eastAsia="黑体" w:cs="黑体"/>
          <w:b/>
          <w:sz w:val="32"/>
          <w:szCs w:val="40"/>
        </w:rPr>
        <w:t>七、一般公共预算财政拨款三公经费支出决算情况说明</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三公”经费财政拨款支出决算总体情况说明“三公”经费财政拨款支出预算为80.28万元，支出决算为80.28万元，完成预算的100%，其中：因公出国（境）费预算为0万元，支出决算为0万元。公务接待费预算数为1.23万元，支出决算为1.23万元，完成预算的100%，决算数等于年初预算数的主要原因是不断规范公务接待管理，严格控制陪餐人数，有效控制了公务接待费开支。公务用车购置及运行费预算数为79.05万元，支出决算为79.05万元，完成预算的100%，决算数等于年初预算数的主要原因是坚持厉行节约，进一步规范公务用车使用管理。</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三公”经费财政拨款支出决算具体情况说明2019年度“三公”经费财政拨款支出决算中，公务接待费支出决算1.23万元，占1.53%，因公出国（境）费支出决算0万元，占0%，公务用车购置费及运行维护费支出决算79.05万元，占98.47%。其中：1、公务接待费支出决算为1.23万元，全年共接待来访团组36批次、来宾310人次，主要是用于上级单位和其他辖区大队来我县联合执法、指导、督导、调研等其他公务活动的接待支出。102、公务用车购置费及运行维护费支出决算为79.05万元，其中：公务用车购置费0万元，公务用车运行维护费79.05万元，主要是用于接处警、巡逻、勘查事故所需车辆燃料费、维修费、过桥过路费、保险费等支出。截止2019年12月31日，我单位财政拨款开支的公务用车保有量为19辆。</w:t>
      </w:r>
    </w:p>
    <w:p>
      <w:pPr>
        <w:numPr>
          <w:ilvl w:val="0"/>
          <w:numId w:val="0"/>
        </w:numPr>
        <w:spacing w:beforeLines="0" w:afterLines="0"/>
        <w:rPr>
          <w:rFonts w:hint="eastAsia" w:ascii="黑体" w:hAnsi="黑体" w:eastAsia="黑体" w:cs="黑体"/>
          <w:b/>
          <w:sz w:val="32"/>
          <w:szCs w:val="40"/>
        </w:rPr>
      </w:pPr>
      <w:r>
        <w:rPr>
          <w:rFonts w:hint="eastAsia" w:ascii="黑体" w:hAnsi="黑体" w:eastAsia="黑体" w:cs="黑体"/>
          <w:b/>
          <w:sz w:val="32"/>
          <w:szCs w:val="40"/>
        </w:rPr>
        <w:t>八、政府性基金预算收入支出决算情况本单位无政府性基金收入。</w:t>
      </w:r>
    </w:p>
    <w:p>
      <w:pPr>
        <w:numPr>
          <w:ilvl w:val="0"/>
          <w:numId w:val="0"/>
        </w:numPr>
        <w:spacing w:beforeLines="0" w:afterLines="0"/>
        <w:rPr>
          <w:rFonts w:hint="eastAsia" w:ascii="黑体" w:hAnsi="黑体" w:eastAsia="黑体" w:cs="黑体"/>
          <w:b/>
          <w:sz w:val="32"/>
          <w:szCs w:val="40"/>
        </w:rPr>
      </w:pPr>
      <w:r>
        <w:rPr>
          <w:rFonts w:hint="eastAsia" w:ascii="黑体" w:hAnsi="黑体" w:eastAsia="黑体" w:cs="黑体"/>
          <w:b/>
          <w:sz w:val="32"/>
          <w:szCs w:val="40"/>
        </w:rPr>
        <w:t>九、关于2019年度预算绩效情况说明</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预算绩效管理工作开展情况根据预算绩效管理的要求，我队组织对2019年度一般公共预算部门整体支出和专项资金使用情况开展了绩效自评，共涉及资金2851.69万元。从评价情况来看，各项目立项符合相关管理规定，程序规范有序，绩效目标设置合理，通过项目实施，较好的完成了年初设定的各项工作目标。</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（二）绩效自评结果部门整体绩效自评综述：根据年初设定的绩效目标，部门整体绩效自评得分为99.3分，全年预算数1602.05万元，实际执行数2843.91万元，预算执行率177.5%。</w:t>
      </w:r>
    </w:p>
    <w:p>
      <w:pPr>
        <w:numPr>
          <w:ilvl w:val="0"/>
          <w:numId w:val="0"/>
        </w:numPr>
        <w:spacing w:beforeLines="0" w:afterLines="0"/>
        <w:rPr>
          <w:rFonts w:hint="eastAsia" w:ascii="黑体" w:hAnsi="黑体" w:eastAsia="黑体" w:cs="黑体"/>
          <w:b/>
          <w:sz w:val="32"/>
          <w:szCs w:val="40"/>
        </w:rPr>
      </w:pPr>
      <w:r>
        <w:rPr>
          <w:rFonts w:hint="eastAsia" w:ascii="黑体" w:hAnsi="黑体" w:eastAsia="黑体" w:cs="黑体"/>
          <w:b/>
          <w:sz w:val="32"/>
          <w:szCs w:val="40"/>
        </w:rPr>
        <w:t>十、其他重要事项情况说明无其他重要事项情况说明。</w:t>
      </w:r>
    </w:p>
    <w:p>
      <w:pPr>
        <w:spacing w:beforeLines="0" w:afterLines="0"/>
        <w:ind w:firstLine="643" w:firstLineChars="200"/>
        <w:rPr>
          <w:rFonts w:hint="default" w:ascii="Times New Roman" w:hAnsi="Times New Roman" w:eastAsia="仿宋_GB2312"/>
          <w:b/>
          <w:color w:val="000000"/>
          <w:kern w:val="0"/>
          <w:sz w:val="32"/>
          <w:szCs w:val="32"/>
        </w:rPr>
      </w:pPr>
      <w:r>
        <w:rPr>
          <w:rFonts w:hint="eastAsia" w:ascii="Times New Roman" w:hAnsi="Times New Roman" w:eastAsia="仿宋_GB2312"/>
          <w:b/>
          <w:color w:val="000000"/>
          <w:kern w:val="0"/>
          <w:sz w:val="32"/>
          <w:szCs w:val="32"/>
        </w:rPr>
        <w:t>（一）机关运行经费支出情况</w:t>
      </w:r>
    </w:p>
    <w:p>
      <w:pPr>
        <w:autoSpaceDE w:val="0"/>
        <w:autoSpaceDN w:val="0"/>
        <w:adjustRightInd w:val="0"/>
        <w:spacing w:beforeLines="0" w:afterLines="0" w:line="56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县公安局交警大队</w:t>
      </w:r>
      <w:r>
        <w:rPr>
          <w:rFonts w:hint="default" w:ascii="Times New Roman" w:hAnsi="Times New Roman" w:eastAsia="仿宋_GB2312"/>
          <w:kern w:val="0"/>
          <w:sz w:val="32"/>
          <w:szCs w:val="32"/>
        </w:rPr>
        <w:t>2019</w:t>
      </w:r>
      <w:r>
        <w:rPr>
          <w:rFonts w:hint="eastAsia" w:ascii="Times New Roman" w:hAnsi="Times New Roman" w:eastAsia="仿宋_GB2312"/>
          <w:kern w:val="0"/>
          <w:sz w:val="32"/>
          <w:szCs w:val="32"/>
        </w:rPr>
        <w:t>年度机关运行经费支出</w:t>
      </w:r>
      <w:r>
        <w:rPr>
          <w:rFonts w:hint="eastAsia" w:ascii="Times New Roman" w:hAnsi="Times New Roman" w:eastAsia="仿宋"/>
          <w:sz w:val="32"/>
          <w:szCs w:val="32"/>
        </w:rPr>
        <w:t>2662.33</w:t>
      </w:r>
      <w:r>
        <w:rPr>
          <w:rFonts w:hint="eastAsia" w:ascii="Times New Roman" w:hAnsi="Times New Roman" w:eastAsia="仿宋_GB2312"/>
          <w:kern w:val="0"/>
          <w:sz w:val="32"/>
          <w:szCs w:val="32"/>
        </w:rPr>
        <w:t>万元，比2018年度增加252.95万元，增长15.22</w:t>
      </w:r>
      <w:r>
        <w:rPr>
          <w:rFonts w:hint="default" w:ascii="Times New Roman" w:hAnsi="Times New Roman" w:eastAsia="仿宋_GB2312"/>
          <w:kern w:val="0"/>
          <w:sz w:val="32"/>
          <w:szCs w:val="32"/>
        </w:rPr>
        <w:t>%</w:t>
      </w:r>
      <w:r>
        <w:rPr>
          <w:rFonts w:hint="eastAsia" w:ascii="Times New Roman" w:hAnsi="Times New Roman" w:eastAsia="仿宋_GB2312"/>
          <w:kern w:val="0"/>
          <w:sz w:val="32"/>
          <w:szCs w:val="32"/>
        </w:rPr>
        <w:t>，主要原因是日常支出相应增加。</w:t>
      </w:r>
    </w:p>
    <w:p>
      <w:pPr>
        <w:autoSpaceDE w:val="0"/>
        <w:autoSpaceDN w:val="0"/>
        <w:adjustRightInd w:val="0"/>
        <w:spacing w:beforeLines="0" w:afterLines="0" w:line="560" w:lineRule="exact"/>
        <w:ind w:firstLine="640" w:firstLineChars="200"/>
        <w:rPr>
          <w:rFonts w:hint="default"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default" w:ascii="Times New Roman" w:hAnsi="Times New Roman" w:eastAsia="仿宋_GB2312"/>
          <w:kern w:val="0"/>
          <w:sz w:val="32"/>
          <w:szCs w:val="32"/>
        </w:rPr>
        <w:t>二）一般性支出情况</w:t>
      </w:r>
    </w:p>
    <w:p>
      <w:pPr>
        <w:autoSpaceDE w:val="0"/>
        <w:autoSpaceDN w:val="0"/>
        <w:adjustRightInd w:val="0"/>
        <w:spacing w:beforeLines="0" w:afterLines="0" w:line="560" w:lineRule="exact"/>
        <w:ind w:firstLine="640" w:firstLineChars="200"/>
        <w:rPr>
          <w:rFonts w:hint="default" w:ascii="Times New Roman" w:hAnsi="Times New Roman" w:eastAsia="仿宋_GB2312"/>
          <w:kern w:val="0"/>
          <w:sz w:val="32"/>
          <w:szCs w:val="32"/>
        </w:rPr>
      </w:pPr>
      <w:r>
        <w:rPr>
          <w:rFonts w:hint="default" w:ascii="Times New Roman" w:hAnsi="Times New Roman" w:eastAsia="仿宋_GB2312"/>
          <w:kern w:val="0"/>
          <w:sz w:val="32"/>
          <w:szCs w:val="32"/>
        </w:rPr>
        <w:t>2019年本部门发生人员经费1542</w:t>
      </w:r>
      <w:r>
        <w:rPr>
          <w:rFonts w:hint="eastAsia" w:ascii="Times New Roman" w:hAnsi="Times New Roman" w:eastAsia="仿宋_GB2312"/>
          <w:kern w:val="0"/>
          <w:sz w:val="32"/>
          <w:szCs w:val="32"/>
          <w:lang w:val="en-US" w:eastAsia="zh-CN"/>
        </w:rPr>
        <w:t>.</w:t>
      </w:r>
      <w:r>
        <w:rPr>
          <w:rFonts w:hint="default" w:ascii="Times New Roman" w:hAnsi="Times New Roman" w:eastAsia="仿宋_GB2312"/>
          <w:kern w:val="0"/>
          <w:sz w:val="32"/>
          <w:szCs w:val="32"/>
        </w:rPr>
        <w:t>84万元，发生商品和服务支出622</w:t>
      </w:r>
      <w:r>
        <w:rPr>
          <w:rFonts w:hint="eastAsia" w:ascii="Times New Roman" w:hAnsi="Times New Roman" w:eastAsia="仿宋_GB2312"/>
          <w:kern w:val="0"/>
          <w:sz w:val="32"/>
          <w:szCs w:val="32"/>
          <w:lang w:val="en-US" w:eastAsia="zh-CN"/>
        </w:rPr>
        <w:t>.</w:t>
      </w:r>
      <w:r>
        <w:rPr>
          <w:rFonts w:hint="default" w:ascii="Times New Roman" w:hAnsi="Times New Roman" w:eastAsia="仿宋_GB2312"/>
          <w:kern w:val="0"/>
          <w:sz w:val="32"/>
          <w:szCs w:val="32"/>
        </w:rPr>
        <w:t>27万元。其中大部分经费用于日常人员经费开支，</w:t>
      </w:r>
      <w:r>
        <w:rPr>
          <w:rFonts w:hint="eastAsia" w:ascii="Times New Roman" w:hAnsi="Times New Roman" w:eastAsia="仿宋_GB2312"/>
          <w:kern w:val="0"/>
          <w:sz w:val="32"/>
          <w:szCs w:val="32"/>
          <w:lang w:val="en-US" w:eastAsia="zh-CN"/>
        </w:rPr>
        <w:t>和必要的业务支出，没有其它的非必需开支</w:t>
      </w:r>
      <w:r>
        <w:rPr>
          <w:rFonts w:hint="default" w:ascii="Times New Roman" w:hAnsi="Times New Roman" w:eastAsia="仿宋_GB2312"/>
          <w:kern w:val="0"/>
          <w:sz w:val="32"/>
          <w:szCs w:val="32"/>
        </w:rPr>
        <w:t>。</w:t>
      </w:r>
      <w:bookmarkStart w:id="0" w:name="_GoBack"/>
      <w:bookmarkEnd w:id="0"/>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）政府采购支出情况本部门2019年度政府采购支出总额485.84万元，其中政府采购货物支出265.97万元，政府采购服务支出219.87万元。</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（四）国有资产占用情况截至2019年12月31日，本单位共有车辆20辆，全部为执法执勤用车；单位无价值50万元以上通用设备，单位有一个专用设备智能交通系统价值128万元。</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）其他说明决算数据四舍五入取值，小数点后两位可能存在细微出入。</w:t>
      </w:r>
    </w:p>
    <w:p>
      <w:pPr>
        <w:numPr>
          <w:ilvl w:val="0"/>
          <w:numId w:val="0"/>
        </w:numPr>
        <w:spacing w:beforeLines="0" w:afterLines="0"/>
        <w:rPr>
          <w:rFonts w:hint="eastAsia" w:ascii="仿宋" w:hAnsi="仿宋" w:eastAsia="仿宋" w:cs="仿宋"/>
          <w:sz w:val="32"/>
          <w:szCs w:val="32"/>
        </w:rPr>
      </w:pPr>
      <w:r>
        <w:rPr>
          <w:rFonts w:hint="eastAsia" w:ascii="仿宋" w:hAnsi="仿宋" w:eastAsia="仿宋" w:cs="仿宋"/>
          <w:sz w:val="32"/>
          <w:szCs w:val="32"/>
        </w:rPr>
        <w:br w:type="page"/>
      </w: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r>
        <w:rPr>
          <w:rFonts w:hint="eastAsia" w:ascii="黑体" w:hAnsi="黑体" w:eastAsia="黑体" w:cs="黑体"/>
          <w:b/>
          <w:sz w:val="72"/>
          <w:szCs w:val="72"/>
        </w:rPr>
        <w:t>第四部分</w:t>
      </w:r>
    </w:p>
    <w:p>
      <w:pPr>
        <w:numPr>
          <w:ilvl w:val="0"/>
          <w:numId w:val="0"/>
        </w:numPr>
        <w:spacing w:beforeLines="0" w:afterLines="0"/>
        <w:jc w:val="center"/>
        <w:rPr>
          <w:rFonts w:hint="eastAsia" w:ascii="黑体" w:hAnsi="黑体" w:eastAsia="黑体" w:cs="黑体"/>
          <w:b/>
          <w:sz w:val="72"/>
          <w:szCs w:val="72"/>
        </w:rPr>
      </w:pPr>
      <w:r>
        <w:rPr>
          <w:rFonts w:hint="eastAsia" w:ascii="黑体" w:hAnsi="黑体" w:eastAsia="黑体" w:cs="黑体"/>
          <w:b/>
          <w:sz w:val="72"/>
          <w:szCs w:val="72"/>
        </w:rPr>
        <w:t>名词解释</w:t>
      </w:r>
    </w:p>
    <w:p>
      <w:pPr>
        <w:spacing w:beforeLines="0" w:afterLines="0"/>
        <w:rPr>
          <w:rFonts w:hint="eastAsia"/>
          <w:sz w:val="21"/>
          <w:szCs w:val="24"/>
        </w:rPr>
      </w:pPr>
      <w:r>
        <w:rPr>
          <w:rFonts w:hint="eastAsia"/>
          <w:sz w:val="21"/>
          <w:szCs w:val="24"/>
        </w:rPr>
        <w:br w:type="page"/>
      </w:r>
    </w:p>
    <w:p>
      <w:pPr>
        <w:numPr>
          <w:ilvl w:val="0"/>
          <w:numId w:val="0"/>
        </w:numPr>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一、财政拨款收入：</w:t>
      </w:r>
      <w:r>
        <w:rPr>
          <w:rFonts w:hint="eastAsia" w:ascii="仿宋" w:hAnsi="仿宋" w:eastAsia="仿宋" w:cs="仿宋"/>
          <w:sz w:val="32"/>
          <w:szCs w:val="32"/>
        </w:rPr>
        <w:t>指财政当年拨付的资金。</w:t>
      </w:r>
    </w:p>
    <w:p>
      <w:pPr>
        <w:numPr>
          <w:ilvl w:val="0"/>
          <w:numId w:val="0"/>
        </w:numPr>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二、年初结转和结余：</w:t>
      </w:r>
      <w:r>
        <w:rPr>
          <w:rFonts w:hint="eastAsia" w:ascii="仿宋" w:hAnsi="仿宋" w:eastAsia="仿宋" w:cs="仿宋"/>
          <w:sz w:val="32"/>
          <w:szCs w:val="32"/>
        </w:rPr>
        <w:t>指以前年度尚未完成、结转到本年按有关规定继续使用的资金。</w:t>
      </w:r>
    </w:p>
    <w:p>
      <w:pPr>
        <w:numPr>
          <w:ilvl w:val="0"/>
          <w:numId w:val="0"/>
        </w:numPr>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三、年末结转和结余：</w:t>
      </w:r>
      <w:r>
        <w:rPr>
          <w:rFonts w:hint="eastAsia" w:ascii="仿宋" w:hAnsi="仿宋" w:eastAsia="仿宋" w:cs="仿宋"/>
          <w:sz w:val="32"/>
          <w:szCs w:val="32"/>
        </w:rPr>
        <w:t>指本年度或以前年度预算安排、因客观条件发生变化无法按计划实施，需要延迟到以后年度按有关规定继续使用的资金。</w:t>
      </w:r>
    </w:p>
    <w:p>
      <w:pPr>
        <w:numPr>
          <w:ilvl w:val="0"/>
          <w:numId w:val="0"/>
        </w:numPr>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四、基本支出：</w:t>
      </w:r>
      <w:r>
        <w:rPr>
          <w:rFonts w:hint="eastAsia" w:ascii="仿宋" w:hAnsi="仿宋" w:eastAsia="仿宋" w:cs="仿宋"/>
          <w:sz w:val="32"/>
          <w:szCs w:val="32"/>
        </w:rPr>
        <w:t>指为保障机构正常运转、完成日常工作任务而发生的人员支出和公用支出。</w:t>
      </w:r>
    </w:p>
    <w:p>
      <w:pPr>
        <w:numPr>
          <w:ilvl w:val="0"/>
          <w:numId w:val="0"/>
        </w:numPr>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五、项目支出：</w:t>
      </w:r>
      <w:r>
        <w:rPr>
          <w:rFonts w:hint="eastAsia" w:ascii="仿宋" w:hAnsi="仿宋" w:eastAsia="仿宋" w:cs="仿宋"/>
          <w:sz w:val="32"/>
          <w:szCs w:val="32"/>
        </w:rPr>
        <w:t>指在基本支出之外为完成特定行政任务和事业发展目标所发生的支出。</w:t>
      </w:r>
    </w:p>
    <w:p>
      <w:pPr>
        <w:numPr>
          <w:ilvl w:val="0"/>
          <w:numId w:val="0"/>
        </w:numPr>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六、“三公”经费：</w:t>
      </w:r>
      <w:r>
        <w:rPr>
          <w:rFonts w:hint="eastAsia" w:ascii="仿宋" w:hAnsi="仿宋" w:eastAsia="仿宋" w:cs="仿宋"/>
          <w:sz w:val="32"/>
          <w:szCs w:val="32"/>
        </w:rPr>
        <w:t>指财政拨款安排的因公出国（境）、公务用车购置及运行费和公务接待费。</w:t>
      </w:r>
    </w:p>
    <w:p>
      <w:pPr>
        <w:numPr>
          <w:ilvl w:val="0"/>
          <w:numId w:val="0"/>
        </w:numPr>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七、机关运行经费：</w:t>
      </w:r>
      <w:r>
        <w:rPr>
          <w:rFonts w:hint="eastAsia" w:ascii="仿宋" w:hAnsi="仿宋" w:eastAsia="仿宋" w:cs="仿宋"/>
          <w:sz w:val="32"/>
          <w:szCs w:val="32"/>
        </w:rPr>
        <w:t>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pPr>
        <w:spacing w:beforeLines="0" w:afterLines="0"/>
        <w:rPr>
          <w:rFonts w:hint="eastAsia"/>
          <w:sz w:val="21"/>
          <w:szCs w:val="24"/>
        </w:rPr>
      </w:pPr>
      <w:r>
        <w:rPr>
          <w:rFonts w:hint="eastAsia"/>
          <w:sz w:val="21"/>
          <w:szCs w:val="24"/>
        </w:rPr>
        <w:br w:type="page"/>
      </w: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p>
    <w:p>
      <w:pPr>
        <w:numPr>
          <w:ilvl w:val="0"/>
          <w:numId w:val="0"/>
        </w:numPr>
        <w:spacing w:beforeLines="0" w:afterLines="0"/>
        <w:jc w:val="center"/>
        <w:rPr>
          <w:rFonts w:hint="eastAsia" w:ascii="黑体" w:hAnsi="黑体" w:eastAsia="黑体" w:cs="黑体"/>
          <w:b/>
          <w:sz w:val="72"/>
          <w:szCs w:val="72"/>
        </w:rPr>
      </w:pPr>
      <w:r>
        <w:rPr>
          <w:rFonts w:hint="eastAsia" w:ascii="黑体" w:hAnsi="黑体" w:eastAsia="黑体" w:cs="黑体"/>
          <w:b/>
          <w:sz w:val="72"/>
          <w:szCs w:val="72"/>
        </w:rPr>
        <w:t>第五部分</w:t>
      </w:r>
    </w:p>
    <w:p>
      <w:pPr>
        <w:numPr>
          <w:ilvl w:val="0"/>
          <w:numId w:val="0"/>
        </w:numPr>
        <w:spacing w:beforeLines="0" w:afterLines="0"/>
        <w:jc w:val="center"/>
        <w:rPr>
          <w:rFonts w:hint="eastAsia" w:ascii="黑体" w:hAnsi="黑体" w:eastAsia="黑体" w:cs="黑体"/>
          <w:b/>
          <w:sz w:val="72"/>
          <w:szCs w:val="72"/>
        </w:rPr>
      </w:pPr>
      <w:r>
        <w:rPr>
          <w:rFonts w:hint="eastAsia" w:ascii="黑体" w:hAnsi="黑体" w:eastAsia="黑体" w:cs="黑体"/>
          <w:b/>
          <w:sz w:val="72"/>
          <w:szCs w:val="72"/>
        </w:rPr>
        <w:t>附件</w:t>
      </w:r>
    </w:p>
    <w:p>
      <w:pPr>
        <w:spacing w:beforeLines="0" w:afterLines="0"/>
        <w:rPr>
          <w:rFonts w:hint="eastAsia"/>
          <w:sz w:val="21"/>
          <w:szCs w:val="24"/>
        </w:rPr>
      </w:pPr>
      <w:r>
        <w:rPr>
          <w:rFonts w:hint="eastAsia"/>
          <w:sz w:val="21"/>
          <w:szCs w:val="24"/>
        </w:rPr>
        <w:br w:type="page"/>
      </w:r>
    </w:p>
    <w:p>
      <w:pPr>
        <w:numPr>
          <w:ilvl w:val="0"/>
          <w:numId w:val="0"/>
        </w:numPr>
        <w:spacing w:beforeLines="0" w:afterLines="0"/>
        <w:jc w:val="center"/>
        <w:rPr>
          <w:rFonts w:hint="eastAsia" w:ascii="黑体" w:hAnsi="黑体" w:eastAsia="黑体" w:cs="黑体"/>
          <w:b/>
          <w:sz w:val="44"/>
          <w:szCs w:val="44"/>
        </w:rPr>
      </w:pPr>
      <w:r>
        <w:rPr>
          <w:rFonts w:hint="eastAsia" w:ascii="黑体" w:hAnsi="黑体" w:eastAsia="黑体" w:cs="黑体"/>
          <w:b/>
          <w:sz w:val="44"/>
          <w:szCs w:val="44"/>
        </w:rPr>
        <w:t>2019年度衡南县公安局交通警察大队整体支出绩效自评报告</w:t>
      </w:r>
    </w:p>
    <w:p>
      <w:pPr>
        <w:numPr>
          <w:ilvl w:val="0"/>
          <w:numId w:val="0"/>
        </w:numPr>
        <w:spacing w:beforeLines="0" w:afterLines="0"/>
        <w:jc w:val="center"/>
        <w:rPr>
          <w:rFonts w:hint="eastAsia" w:ascii="黑体" w:hAnsi="黑体" w:eastAsia="黑体" w:cs="黑体"/>
          <w:sz w:val="44"/>
          <w:szCs w:val="44"/>
        </w:rPr>
      </w:pPr>
    </w:p>
    <w:p>
      <w:pPr>
        <w:numPr>
          <w:ilvl w:val="0"/>
          <w:numId w:val="0"/>
        </w:numPr>
        <w:spacing w:beforeLines="0" w:afterLines="0"/>
        <w:jc w:val="center"/>
        <w:rPr>
          <w:rFonts w:hint="eastAsia" w:ascii="黑体" w:hAnsi="黑体" w:eastAsia="黑体" w:cs="黑体"/>
          <w:sz w:val="44"/>
          <w:szCs w:val="44"/>
        </w:rPr>
      </w:pPr>
    </w:p>
    <w:p>
      <w:pPr>
        <w:numPr>
          <w:ilvl w:val="0"/>
          <w:numId w:val="0"/>
        </w:numPr>
        <w:spacing w:beforeLines="0" w:afterLines="0"/>
        <w:jc w:val="center"/>
        <w:rPr>
          <w:rFonts w:hint="eastAsia" w:ascii="黑体" w:hAnsi="黑体" w:eastAsia="黑体" w:cs="黑体"/>
          <w:sz w:val="44"/>
          <w:szCs w:val="44"/>
        </w:rPr>
      </w:pPr>
    </w:p>
    <w:p>
      <w:pPr>
        <w:numPr>
          <w:ilvl w:val="0"/>
          <w:numId w:val="0"/>
        </w:numPr>
        <w:spacing w:beforeLines="0" w:afterLines="0"/>
        <w:jc w:val="center"/>
        <w:rPr>
          <w:rFonts w:hint="eastAsia" w:ascii="黑体" w:hAnsi="黑体" w:eastAsia="黑体" w:cs="黑体"/>
          <w:sz w:val="44"/>
          <w:szCs w:val="44"/>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p>
    <w:p>
      <w:pPr>
        <w:numPr>
          <w:ilvl w:val="0"/>
          <w:numId w:val="0"/>
        </w:numPr>
        <w:spacing w:beforeLines="0" w:afterLines="0"/>
        <w:jc w:val="center"/>
        <w:rPr>
          <w:rFonts w:hint="eastAsia" w:ascii="黑体" w:hAnsi="黑体" w:eastAsia="黑体" w:cs="黑体"/>
          <w:sz w:val="32"/>
          <w:szCs w:val="32"/>
        </w:rPr>
      </w:pPr>
      <w:r>
        <w:rPr>
          <w:rFonts w:hint="eastAsia" w:ascii="黑体" w:hAnsi="黑体" w:eastAsia="黑体" w:cs="黑体"/>
          <w:sz w:val="32"/>
          <w:szCs w:val="32"/>
        </w:rPr>
        <w:t>中共衡南县公安局交通警察大队</w:t>
      </w:r>
    </w:p>
    <w:p>
      <w:pPr>
        <w:numPr>
          <w:ilvl w:val="0"/>
          <w:numId w:val="0"/>
        </w:numPr>
        <w:spacing w:beforeLines="0" w:afterLines="0"/>
        <w:jc w:val="center"/>
        <w:rPr>
          <w:rFonts w:hint="eastAsia" w:ascii="黑体" w:hAnsi="黑体" w:eastAsia="黑体" w:cs="黑体"/>
          <w:sz w:val="32"/>
          <w:szCs w:val="32"/>
        </w:rPr>
      </w:pPr>
      <w:r>
        <w:rPr>
          <w:rFonts w:hint="eastAsia" w:ascii="黑体" w:hAnsi="黑体" w:eastAsia="黑体" w:cs="黑体"/>
          <w:sz w:val="32"/>
          <w:szCs w:val="32"/>
        </w:rPr>
        <w:t>2020年6月18日</w:t>
      </w:r>
    </w:p>
    <w:p>
      <w:pPr>
        <w:spacing w:beforeLines="0" w:afterLines="0"/>
        <w:rPr>
          <w:rFonts w:hint="eastAsia"/>
          <w:sz w:val="21"/>
          <w:szCs w:val="24"/>
        </w:rPr>
      </w:pPr>
      <w:r>
        <w:rPr>
          <w:rFonts w:hint="eastAsia"/>
          <w:sz w:val="21"/>
          <w:szCs w:val="24"/>
        </w:rPr>
        <w:br w:type="page"/>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了认真贯彻落实《中共湖南省委湖南省人民政府关于开展政府绩效评估工作的通知》、《湖南省人民政府关于全面推进预算绩效管理的意见》精神，根据《衡南县财政局关于开展2019年度县级财政资金绩效自评工作的通知》要求，现将衡南县公安局交通警察大队2019年度预算管理绩效工作自评报告如下：</w:t>
      </w:r>
    </w:p>
    <w:p>
      <w:pPr>
        <w:numPr>
          <w:ilvl w:val="0"/>
          <w:numId w:val="0"/>
        </w:numPr>
        <w:spacing w:beforeLines="0" w:afterLines="0"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一、基本概况</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衡南县公安局交通警察大队为全额财政拨款单位，采用政府会计集中核算和国库集中支付体系，财务制度执行《预算法》、《行政单位会计制度》。</w:t>
      </w:r>
    </w:p>
    <w:p>
      <w:pPr>
        <w:numPr>
          <w:ilvl w:val="0"/>
          <w:numId w:val="0"/>
        </w:numPr>
        <w:spacing w:beforeLines="0" w:afterLines="0"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（一）单位基本情况</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衡南县交警大队系衡南县公安局下属机构,主要承担衡南县交通安全管理工作任务。现有编制数83个,全部为行政编制。单位实有人数172人，其中民警83人，辅警89人。</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南县交警大队内设2室3股1所9个中队，分别为：政工督察室、办公室、装备财务股、法制宣传股、安监股、车驾管理所、特勤中队、事故处理中队、云集中队、三塘中队、向阳中队、谭子山中队、车江中队、洪山中队、冠市中队。</w:t>
      </w:r>
    </w:p>
    <w:p>
      <w:pPr>
        <w:numPr>
          <w:ilvl w:val="0"/>
          <w:numId w:val="0"/>
        </w:numPr>
        <w:spacing w:beforeLines="0" w:afterLines="0"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（二）单位职能职责</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负责道路交通指挥、交通秩序维护和交通事故（案件）的调查及侦察工作；2、负责机动车辆及其驾驶员管理工作；3、负责公路巡逻、预防和制止公路上发生的违法犯罪活动，打击车匪路霸；4、负责交通警卫工作；5、负责道路交通安全法规的宣传工作；6、参与道路警卫工作；7、参与道路建设中交通安全设施的规划、设置和管理。</w:t>
      </w:r>
    </w:p>
    <w:p>
      <w:pPr>
        <w:numPr>
          <w:ilvl w:val="0"/>
          <w:numId w:val="0"/>
        </w:numPr>
        <w:spacing w:beforeLines="0" w:afterLines="0"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二、部门整体支出管理及使用情况</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基本支出管理情况2019年我队基本支出为2219.94万元,系保障我队机构正常运转，完成日常工作任务发生的各项支出。主要用于干部职工工资、津补贴、办公费、差旅费、资料费、水电费、和办公设备购置等日常公用经费的开支。</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（二）“三公经费”的支出使用和管理情况我队“三公经费”的使用均在控制范围内，每年三公经费预算数较上年都有所缩减。</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（三）专项支出2019年我队的专项商品和服务支出工作经费631.74万元,主要用于协警经费、交通设施基本维护费、涉案车辆鉴定及保管费等支出。</w:t>
      </w:r>
    </w:p>
    <w:p>
      <w:pPr>
        <w:numPr>
          <w:ilvl w:val="0"/>
          <w:numId w:val="0"/>
        </w:numPr>
        <w:spacing w:beforeLines="0" w:afterLines="0"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三、部门整体支出绩效情况</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我队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1、在职人员控制率：100%</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2、“三公经费”控制率：100%。严格控制“三公经费”支出，开源节流。2019年我队“三公经费”控制数为80.26万元，实际支出为80.26万元，结余率0%。</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3、预算完成率：100%</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预算调整率：74.1%。2019年预算调整数1187.04万元，年初预算1602.05万元，预算执行数为全年预算的174.1%，主要原因是红绿灯设施、交通标志标线等交通安全设施支出没有进入预算。“三公经费”支出80.26万元，“三公经费”厉行节约成效显著。</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5、政府采购执行率100%6、在资金管理上，我队制定了一系列的财务管理制度。</w:t>
      </w:r>
    </w:p>
    <w:p>
      <w:pPr>
        <w:numPr>
          <w:ilvl w:val="0"/>
          <w:numId w:val="0"/>
        </w:numPr>
        <w:spacing w:beforeLines="0" w:afterLines="0"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四、存在的主要问题</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从机关预算收支情况看：年初预算与部门决算仍存在偏差，在预算执行过程中，由于各种客观原因存在指标之间调剂使用的现象，预算编制、下达需要更加科学、及时。同时，内部控制制度还有待于进一步完善，行政运行成本控制方面还有一定压缩空间。</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19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numPr>
          <w:ilvl w:val="0"/>
          <w:numId w:val="0"/>
        </w:numPr>
        <w:spacing w:beforeLines="0" w:afterLines="0"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五、改进措施和有关建议</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1、抓好财务预算管理，严格执行财务管理制度，充分发挥监督作用。</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2、严格财务支出审批。抓好审核和审批两个环节，在审核审批中严把支出关，切实维护财务纪律的严肃性。</w:t>
      </w:r>
    </w:p>
    <w:p>
      <w:pPr>
        <w:numPr>
          <w:ilvl w:val="0"/>
          <w:numId w:val="0"/>
        </w:num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3、强化经费管理。重点加强招待费和办公经费的管理，严格控制支出，降低行政运行成本。</w:t>
      </w: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935279"/>
    <w:multiLevelType w:val="multilevel"/>
    <w:tmpl w:val="EA935279"/>
    <w:lvl w:ilvl="0" w:tentative="0">
      <w:start w:val="4"/>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FEBC7A92"/>
    <w:multiLevelType w:val="multilevel"/>
    <w:tmpl w:val="FEBC7A92"/>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E6A50D1"/>
    <w:rsid w:val="7DA85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2">
    <w:name w:val="Default Paragraph Font"/>
    <w:unhideWhenUsed/>
    <w:uiPriority w:val="0"/>
    <w:rPr>
      <w:rFonts w:hint="default"/>
      <w:sz w:val="24"/>
      <w:szCs w:val="24"/>
    </w:rPr>
  </w:style>
  <w:style w:type="table" w:default="1" w:styleId="3">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2021-06-19T02:39:00Z</dcterms:created>
  <dc:creator>Administrator</dc:creator>
  <cp:lastModifiedBy>xiemi</cp:lastModifiedBy>
  <dcterms:modified xsi:type="dcterms:W3CDTF">2021-06-23T15:38:09Z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696DF35AC8144EF3886FBC191DE0B0E6</vt:lpwstr>
  </property>
</Properties>
</file>