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625" w:line="259" w:lineRule="auto"/>
        <w:ind w:left="466" w:right="0" w:firstLine="0"/>
        <w:jc w:val="center"/>
      </w:pPr>
      <w:r>
        <w:rPr>
          <w:rFonts w:ascii="Times New Roman" w:hAnsi="Times New Roman" w:eastAsia="Times New Roman" w:cs="Times New Roman"/>
          <w:sz w:val="44"/>
        </w:rPr>
        <w:t>2021</w:t>
      </w:r>
      <w:r>
        <w:rPr>
          <w:rFonts w:ascii="微软雅黑" w:hAnsi="微软雅黑" w:eastAsia="微软雅黑" w:cs="微软雅黑"/>
          <w:sz w:val="44"/>
        </w:rPr>
        <w:t>年</w:t>
      </w:r>
      <w:r>
        <w:rPr>
          <w:rFonts w:hint="eastAsia" w:ascii="微软雅黑" w:hAnsi="微软雅黑" w:eastAsia="微软雅黑" w:cs="微软雅黑"/>
          <w:sz w:val="44"/>
        </w:rPr>
        <w:t>衡南县</w:t>
      </w:r>
      <w:r>
        <w:rPr>
          <w:rFonts w:hint="eastAsia" w:ascii="微软雅黑" w:hAnsi="微软雅黑" w:eastAsia="微软雅黑" w:cs="微软雅黑"/>
          <w:sz w:val="44"/>
          <w:lang w:eastAsia="zh-CN"/>
        </w:rPr>
        <w:t>商务和粮食局</w:t>
      </w:r>
      <w:r>
        <w:rPr>
          <w:rFonts w:ascii="微软雅黑" w:hAnsi="微软雅黑" w:eastAsia="微软雅黑" w:cs="微软雅黑"/>
          <w:sz w:val="44"/>
        </w:rPr>
        <w:t>部门预算</w:t>
      </w:r>
    </w:p>
    <w:p>
      <w:pPr>
        <w:spacing w:after="760" w:line="259" w:lineRule="auto"/>
        <w:ind w:left="0" w:right="168" w:firstLine="0"/>
        <w:jc w:val="center"/>
      </w:pPr>
      <w:r>
        <w:rPr>
          <w:rFonts w:ascii="黑体" w:hAnsi="黑体" w:eastAsia="黑体" w:cs="黑体"/>
        </w:rPr>
        <w:t>目录</w:t>
      </w:r>
    </w:p>
    <w:p>
      <w:r>
        <w:t xml:space="preserve">第一部分 </w:t>
      </w:r>
      <w:r>
        <w:rPr>
          <w:rFonts w:ascii="Times New Roman" w:hAnsi="Times New Roman" w:eastAsia="Times New Roman" w:cs="Times New Roman"/>
          <w:b/>
        </w:rPr>
        <w:t>2021</w:t>
      </w:r>
      <w:r>
        <w:t>年部门预算说明</w:t>
      </w:r>
    </w:p>
    <w:p>
      <w:r>
        <w:t>一、部门基本</w:t>
      </w:r>
      <w:r>
        <w:rPr>
          <w:rFonts w:hint="eastAsia"/>
        </w:rPr>
        <w:t>概</w:t>
      </w:r>
      <w:r>
        <w:t>况</w:t>
      </w:r>
    </w:p>
    <w:p>
      <w:pPr>
        <w:ind w:right="1505"/>
      </w:pPr>
      <w:r>
        <w:t>二、部门预算单位构成</w:t>
      </w:r>
    </w:p>
    <w:p>
      <w:pPr>
        <w:ind w:right="1505"/>
      </w:pPr>
      <w:r>
        <w:t>三、部门收支总体情况</w:t>
      </w:r>
    </w:p>
    <w:p>
      <w:pPr>
        <w:ind w:right="555"/>
      </w:pPr>
      <w:r>
        <w:t>四、一般公共预算拨款支出</w:t>
      </w:r>
    </w:p>
    <w:p>
      <w:pPr>
        <w:ind w:right="555"/>
      </w:pPr>
      <w:r>
        <w:t>五、政府性基金预算支出</w:t>
      </w:r>
    </w:p>
    <w:p>
      <w:pPr>
        <w:ind w:right="1822"/>
      </w:pPr>
      <w:r>
        <w:t>六、其他重要事项的情况说明</w:t>
      </w:r>
    </w:p>
    <w:p>
      <w:pPr>
        <w:ind w:right="1822"/>
      </w:pPr>
      <w:r>
        <w:t>七、名词解释</w:t>
      </w:r>
    </w:p>
    <w:p>
      <w:pPr>
        <w:spacing w:after="190" w:line="259" w:lineRule="auto"/>
        <w:ind w:right="0"/>
      </w:pPr>
      <w:r>
        <w:t xml:space="preserve">第二部分 </w:t>
      </w:r>
      <w:r>
        <w:rPr>
          <w:rFonts w:ascii="Times New Roman" w:hAnsi="Times New Roman" w:eastAsia="Times New Roman" w:cs="Times New Roman"/>
          <w:b/>
        </w:rPr>
        <w:t>2021</w:t>
      </w:r>
      <w:r>
        <w:t>年部门预算表</w:t>
      </w:r>
    </w:p>
    <w:p>
      <w:pPr>
        <w:numPr>
          <w:ilvl w:val="0"/>
          <w:numId w:val="1"/>
        </w:numPr>
        <w:spacing w:after="183" w:line="259" w:lineRule="auto"/>
        <w:ind w:right="0" w:hanging="475"/>
      </w:pPr>
      <w:r>
        <w:rPr>
          <w:rFonts w:hint="eastAsia"/>
          <w:lang w:val="en-US" w:eastAsia="zh-CN"/>
        </w:rPr>
        <w:t>部门</w:t>
      </w:r>
      <w:r>
        <w:t>收支总表</w:t>
      </w:r>
    </w:p>
    <w:p>
      <w:pPr>
        <w:numPr>
          <w:ilvl w:val="0"/>
          <w:numId w:val="1"/>
        </w:numPr>
        <w:spacing w:after="183" w:line="259" w:lineRule="auto"/>
        <w:ind w:right="0" w:hanging="475"/>
      </w:pPr>
      <w:r>
        <w:rPr>
          <w:rFonts w:hint="eastAsia"/>
          <w:lang w:val="en-US" w:eastAsia="zh-CN"/>
        </w:rPr>
        <w:t>部门</w:t>
      </w:r>
      <w:r>
        <w:t>收入总表</w:t>
      </w:r>
    </w:p>
    <w:p>
      <w:pPr>
        <w:numPr>
          <w:ilvl w:val="0"/>
          <w:numId w:val="1"/>
        </w:numPr>
        <w:spacing w:after="184" w:line="259" w:lineRule="auto"/>
        <w:ind w:right="0" w:hanging="475"/>
      </w:pPr>
      <w:r>
        <w:rPr>
          <w:rFonts w:hint="eastAsia"/>
          <w:lang w:val="en-US" w:eastAsia="zh-CN"/>
        </w:rPr>
        <w:t>部门</w:t>
      </w:r>
      <w:r>
        <w:t>支出总表</w:t>
      </w:r>
    </w:p>
    <w:p>
      <w:pPr>
        <w:numPr>
          <w:ilvl w:val="0"/>
          <w:numId w:val="1"/>
        </w:numPr>
        <w:spacing w:after="185" w:line="259" w:lineRule="auto"/>
        <w:ind w:right="0" w:hanging="475"/>
      </w:pPr>
      <w:r>
        <w:rPr>
          <w:rFonts w:hint="eastAsia"/>
          <w:lang w:val="en-US" w:eastAsia="zh-CN"/>
        </w:rPr>
        <w:t>部门支出总表（按部门预算经济分类）</w:t>
      </w:r>
    </w:p>
    <w:p>
      <w:pPr>
        <w:numPr>
          <w:ilvl w:val="0"/>
          <w:numId w:val="1"/>
        </w:numPr>
        <w:spacing w:after="185" w:line="259" w:lineRule="auto"/>
        <w:ind w:right="0" w:hanging="475"/>
      </w:pPr>
      <w:r>
        <w:rPr>
          <w:rFonts w:hint="eastAsia"/>
          <w:lang w:val="en-US" w:eastAsia="zh-CN"/>
        </w:rPr>
        <w:t>部门支出总表（按政府经济分类表）</w:t>
      </w:r>
    </w:p>
    <w:p>
      <w:pPr>
        <w:numPr>
          <w:ilvl w:val="0"/>
          <w:numId w:val="1"/>
        </w:numPr>
        <w:spacing w:after="185" w:line="259" w:lineRule="auto"/>
        <w:ind w:right="0" w:hanging="475"/>
      </w:pPr>
      <w:r>
        <w:rPr>
          <w:rFonts w:hint="eastAsia"/>
          <w:lang w:val="en-US" w:eastAsia="zh-CN"/>
        </w:rPr>
        <w:t>基本支出预算明细表-工资福利支出（按部门预算经济分类）</w:t>
      </w:r>
    </w:p>
    <w:p>
      <w:pPr>
        <w:numPr>
          <w:ilvl w:val="0"/>
          <w:numId w:val="1"/>
        </w:numPr>
        <w:spacing w:after="185" w:line="259" w:lineRule="auto"/>
        <w:ind w:right="0" w:hanging="475"/>
      </w:pPr>
      <w:r>
        <w:rPr>
          <w:rFonts w:hint="eastAsia"/>
          <w:lang w:val="en-US" w:eastAsia="zh-CN"/>
        </w:rPr>
        <w:t>基本支出预算明细表-工资福利支出（按政府预算经济分类）</w:t>
      </w:r>
    </w:p>
    <w:p>
      <w:pPr>
        <w:numPr>
          <w:ilvl w:val="0"/>
          <w:numId w:val="1"/>
        </w:numPr>
        <w:spacing w:after="184" w:line="259" w:lineRule="auto"/>
        <w:ind w:left="1109" w:leftChars="0" w:right="0" w:rightChars="0" w:hanging="475" w:firstLineChars="0"/>
        <w:rPr>
          <w:rFonts w:hint="eastAsia"/>
          <w:lang w:val="en-US" w:eastAsia="zh-CN"/>
        </w:rPr>
      </w:pPr>
      <w:r>
        <w:rPr>
          <w:rFonts w:hint="eastAsia"/>
          <w:lang w:val="en-US" w:eastAsia="zh-CN"/>
        </w:rPr>
        <w:t>基本支出预算明细表-商品和服务支出（按部门预算经济分类）</w:t>
      </w:r>
    </w:p>
    <w:p>
      <w:pPr>
        <w:numPr>
          <w:ilvl w:val="0"/>
          <w:numId w:val="1"/>
        </w:numPr>
        <w:spacing w:after="184" w:line="259" w:lineRule="auto"/>
        <w:ind w:left="1109" w:leftChars="0" w:right="0" w:rightChars="0" w:hanging="475" w:firstLineChars="0"/>
      </w:pPr>
      <w:r>
        <w:rPr>
          <w:rFonts w:hint="eastAsia"/>
          <w:lang w:val="en-US" w:eastAsia="zh-CN"/>
        </w:rPr>
        <w:t>基本支出预算明细表-商品和服务支出（按政府预算经济分类）</w:t>
      </w:r>
    </w:p>
    <w:p>
      <w:pPr>
        <w:numPr>
          <w:ilvl w:val="0"/>
          <w:numId w:val="1"/>
        </w:numPr>
        <w:spacing w:after="184" w:line="259" w:lineRule="auto"/>
        <w:ind w:left="1109" w:leftChars="0" w:right="0" w:rightChars="0" w:hanging="475" w:firstLineChars="0"/>
      </w:pPr>
      <w:r>
        <w:rPr>
          <w:rFonts w:hint="eastAsia"/>
          <w:lang w:val="en-US" w:eastAsia="zh-CN"/>
        </w:rPr>
        <w:t>基本支出预算明细表-对个人和家庭的补助（按部门预算经济分类）</w:t>
      </w:r>
    </w:p>
    <w:p>
      <w:pPr>
        <w:numPr>
          <w:ilvl w:val="0"/>
          <w:numId w:val="1"/>
        </w:numPr>
        <w:spacing w:after="184" w:line="259" w:lineRule="auto"/>
        <w:ind w:left="1109" w:leftChars="0" w:right="0" w:rightChars="0" w:hanging="475" w:firstLineChars="0"/>
      </w:pPr>
      <w:r>
        <w:rPr>
          <w:rFonts w:hint="eastAsia"/>
          <w:lang w:val="en-US" w:eastAsia="zh-CN"/>
        </w:rPr>
        <w:t>基本支出预算明细表-对个人和家庭的补助（按政府预算经济分类）</w:t>
      </w:r>
    </w:p>
    <w:p>
      <w:pPr>
        <w:numPr>
          <w:ilvl w:val="0"/>
          <w:numId w:val="1"/>
        </w:numPr>
        <w:spacing w:after="184" w:line="259" w:lineRule="auto"/>
        <w:ind w:left="1109" w:leftChars="0" w:right="0" w:rightChars="0" w:hanging="475" w:firstLineChars="0"/>
      </w:pPr>
      <w:r>
        <w:rPr>
          <w:rFonts w:hint="eastAsia"/>
          <w:lang w:val="en-US" w:eastAsia="zh-CN"/>
        </w:rPr>
        <w:t>财政拨款收支总表</w:t>
      </w:r>
    </w:p>
    <w:p>
      <w:pPr>
        <w:numPr>
          <w:ilvl w:val="0"/>
          <w:numId w:val="1"/>
        </w:numPr>
        <w:spacing w:after="184" w:line="259" w:lineRule="auto"/>
        <w:ind w:left="1109" w:leftChars="0" w:right="0" w:rightChars="0" w:hanging="475" w:firstLineChars="0"/>
      </w:pPr>
      <w:r>
        <w:t>一般公共预算支出</w:t>
      </w:r>
      <w:r>
        <w:rPr>
          <w:rFonts w:hint="eastAsia"/>
          <w:lang w:val="en-US" w:eastAsia="zh-CN"/>
        </w:rPr>
        <w:t>情况表</w:t>
      </w:r>
    </w:p>
    <w:p>
      <w:pPr>
        <w:numPr>
          <w:ilvl w:val="0"/>
          <w:numId w:val="1"/>
        </w:numPr>
        <w:spacing w:after="184" w:line="259" w:lineRule="auto"/>
        <w:ind w:left="1109" w:leftChars="0" w:right="0" w:rightChars="0" w:hanging="475" w:firstLineChars="0"/>
      </w:pPr>
      <w:r>
        <w:t>一般公共预算支出</w:t>
      </w:r>
      <w:r>
        <w:rPr>
          <w:rFonts w:hint="eastAsia"/>
          <w:lang w:val="en-US" w:eastAsia="zh-CN"/>
        </w:rPr>
        <w:t>情况表</w:t>
      </w:r>
    </w:p>
    <w:p>
      <w:pPr>
        <w:numPr>
          <w:ilvl w:val="0"/>
          <w:numId w:val="1"/>
        </w:numPr>
        <w:spacing w:after="184" w:line="259" w:lineRule="auto"/>
        <w:ind w:left="1109" w:leftChars="0" w:right="0" w:rightChars="0" w:hanging="475" w:firstLineChars="0"/>
      </w:pPr>
      <w:r>
        <w:rPr>
          <w:rFonts w:hint="eastAsia"/>
          <w:lang w:val="en-US" w:eastAsia="zh-CN"/>
        </w:rPr>
        <w:t>一般公共预算基本支出预算明细表-工资福利支出（按部门预算经济分类）</w:t>
      </w:r>
    </w:p>
    <w:p>
      <w:pPr>
        <w:numPr>
          <w:ilvl w:val="0"/>
          <w:numId w:val="1"/>
        </w:numPr>
        <w:spacing w:after="184" w:line="259" w:lineRule="auto"/>
        <w:ind w:left="1109" w:leftChars="0" w:right="0" w:rightChars="0" w:hanging="475" w:firstLineChars="0"/>
      </w:pPr>
      <w:r>
        <w:rPr>
          <w:rFonts w:hint="eastAsia"/>
          <w:lang w:val="en-US" w:eastAsia="zh-CN"/>
        </w:rPr>
        <w:t>基本支出预算明细表--工资福利支出</w:t>
      </w:r>
      <w:r>
        <w:t>（按政府预算经济分类）</w:t>
      </w:r>
    </w:p>
    <w:p>
      <w:pPr>
        <w:numPr>
          <w:ilvl w:val="0"/>
          <w:numId w:val="1"/>
        </w:numPr>
        <w:spacing w:after="184" w:line="259" w:lineRule="auto"/>
        <w:ind w:left="1109" w:leftChars="0" w:right="0" w:rightChars="0" w:hanging="475" w:firstLineChars="0"/>
      </w:pPr>
      <w:r>
        <w:rPr>
          <w:rFonts w:hint="eastAsia"/>
          <w:lang w:val="en-US" w:eastAsia="zh-CN"/>
        </w:rPr>
        <w:t>一般公共预算基本支出预算明细表-商品服务支出（按部门预算经济分类）</w:t>
      </w:r>
    </w:p>
    <w:p>
      <w:pPr>
        <w:numPr>
          <w:ilvl w:val="0"/>
          <w:numId w:val="1"/>
        </w:numPr>
        <w:spacing w:after="184" w:line="259" w:lineRule="auto"/>
        <w:ind w:left="1109" w:leftChars="0" w:right="0" w:rightChars="0" w:hanging="475" w:firstLineChars="0"/>
      </w:pPr>
      <w:r>
        <w:rPr>
          <w:rFonts w:hint="eastAsia"/>
          <w:lang w:val="en-US" w:eastAsia="zh-CN"/>
        </w:rPr>
        <w:t>一般公共预算基本支出预算明细表-商品服务支出（按政府预算经济分类）</w:t>
      </w:r>
    </w:p>
    <w:p>
      <w:pPr>
        <w:numPr>
          <w:ilvl w:val="0"/>
          <w:numId w:val="1"/>
        </w:numPr>
        <w:spacing w:after="184" w:line="259" w:lineRule="auto"/>
        <w:ind w:left="1109" w:leftChars="0" w:right="0" w:rightChars="0" w:hanging="475" w:firstLineChars="0"/>
      </w:pPr>
      <w:r>
        <w:rPr>
          <w:rFonts w:hint="eastAsia"/>
          <w:lang w:val="en-US" w:eastAsia="zh-CN"/>
        </w:rPr>
        <w:t>一般公共预算基本支出预算明细表-对个人和家庭的补助（按部门预算经济分类）</w:t>
      </w:r>
    </w:p>
    <w:p>
      <w:pPr>
        <w:numPr>
          <w:ilvl w:val="0"/>
          <w:numId w:val="1"/>
        </w:numPr>
        <w:spacing w:after="184" w:line="259" w:lineRule="auto"/>
        <w:ind w:left="1109" w:leftChars="0" w:right="0" w:rightChars="0" w:hanging="475" w:firstLineChars="0"/>
      </w:pPr>
      <w:r>
        <w:rPr>
          <w:rFonts w:hint="eastAsia"/>
          <w:lang w:val="en-US" w:eastAsia="zh-CN"/>
        </w:rPr>
        <w:t>一般公共预算基本支出预算明细表-对个人和家庭的补助（按政府预算经济分类）</w:t>
      </w:r>
    </w:p>
    <w:p>
      <w:pPr>
        <w:numPr>
          <w:ilvl w:val="0"/>
          <w:numId w:val="1"/>
        </w:numPr>
        <w:spacing w:after="184" w:line="259" w:lineRule="auto"/>
        <w:ind w:left="1109" w:leftChars="0" w:right="0" w:rightChars="0" w:hanging="475" w:firstLineChars="0"/>
      </w:pPr>
      <w:r>
        <w:rPr>
          <w:rFonts w:hint="eastAsia"/>
          <w:lang w:val="en-US" w:eastAsia="zh-CN"/>
        </w:rPr>
        <w:t>一般公共预算拨款-经费拨款预算表（按部门预算经济分类）</w:t>
      </w:r>
    </w:p>
    <w:p>
      <w:pPr>
        <w:numPr>
          <w:ilvl w:val="0"/>
          <w:numId w:val="1"/>
        </w:numPr>
        <w:spacing w:after="184" w:line="259" w:lineRule="auto"/>
        <w:ind w:left="1109" w:leftChars="0" w:right="0" w:rightChars="0" w:hanging="475" w:firstLineChars="0"/>
      </w:pPr>
      <w:r>
        <w:rPr>
          <w:rFonts w:hint="eastAsia"/>
          <w:lang w:val="en-US" w:eastAsia="zh-CN"/>
        </w:rPr>
        <w:t>一般公共预算拨款-经费拨款预算表（按政府预算经济分类）</w:t>
      </w:r>
    </w:p>
    <w:p>
      <w:pPr>
        <w:numPr>
          <w:ilvl w:val="0"/>
          <w:numId w:val="1"/>
        </w:numPr>
        <w:spacing w:after="184" w:line="259" w:lineRule="auto"/>
        <w:ind w:left="1109" w:leftChars="0" w:right="0" w:rightChars="0" w:hanging="475" w:firstLineChars="0"/>
      </w:pPr>
      <w:r>
        <w:rPr>
          <w:rFonts w:hint="eastAsia"/>
          <w:lang w:val="en-US" w:eastAsia="zh-CN"/>
        </w:rPr>
        <w:t>政府性基金预算支出情况表（按部门预算经济分类）</w:t>
      </w:r>
    </w:p>
    <w:p>
      <w:pPr>
        <w:numPr>
          <w:ilvl w:val="0"/>
          <w:numId w:val="1"/>
        </w:numPr>
        <w:spacing w:after="184" w:line="259" w:lineRule="auto"/>
        <w:ind w:left="1109" w:leftChars="0" w:right="0" w:rightChars="0" w:hanging="475" w:firstLineChars="0"/>
      </w:pPr>
      <w:r>
        <w:rPr>
          <w:rFonts w:hint="eastAsia"/>
          <w:lang w:val="en-US" w:eastAsia="zh-CN"/>
        </w:rPr>
        <w:t>政府性基金预算支出情况表（按政府预算经济分类）</w:t>
      </w:r>
    </w:p>
    <w:p>
      <w:pPr>
        <w:numPr>
          <w:ilvl w:val="0"/>
          <w:numId w:val="1"/>
        </w:numPr>
        <w:spacing w:after="184" w:line="259" w:lineRule="auto"/>
        <w:ind w:left="1109" w:leftChars="0" w:right="0" w:rightChars="0" w:hanging="475" w:firstLineChars="0"/>
      </w:pPr>
      <w:r>
        <w:rPr>
          <w:rFonts w:hint="eastAsia"/>
          <w:lang w:val="en-US" w:eastAsia="zh-CN"/>
        </w:rPr>
        <w:t>一般公共预算“三公”经费预算表</w:t>
      </w:r>
    </w:p>
    <w:p>
      <w:pPr>
        <w:spacing w:after="152" w:line="259" w:lineRule="auto"/>
        <w:ind w:right="0"/>
      </w:pPr>
      <w:r>
        <w:t>注：以上部门预算报表中，空表表示本部门无相关收支</w:t>
      </w:r>
    </w:p>
    <w:p>
      <w:pPr>
        <w:spacing w:line="259" w:lineRule="auto"/>
        <w:ind w:left="-5" w:right="0"/>
      </w:pPr>
      <w:r>
        <w:t>情况。</w:t>
      </w:r>
    </w:p>
    <w:p>
      <w:pPr>
        <w:rPr>
          <w:rFonts w:ascii="微软雅黑" w:hAnsi="微软雅黑" w:eastAsia="微软雅黑" w:cs="微软雅黑"/>
          <w:sz w:val="36"/>
        </w:rPr>
      </w:pPr>
      <w:r>
        <w:rPr>
          <w:rFonts w:ascii="微软雅黑" w:hAnsi="微软雅黑" w:eastAsia="微软雅黑" w:cs="微软雅黑"/>
          <w:sz w:val="36"/>
        </w:rPr>
        <w:br w:type="page"/>
      </w:r>
    </w:p>
    <w:p>
      <w:pPr>
        <w:spacing w:after="627" w:line="259" w:lineRule="auto"/>
        <w:ind w:left="0" w:right="168" w:firstLine="0"/>
        <w:jc w:val="center"/>
      </w:pPr>
      <w:r>
        <w:rPr>
          <w:rFonts w:ascii="微软雅黑" w:hAnsi="微软雅黑" w:eastAsia="微软雅黑" w:cs="微软雅黑"/>
          <w:sz w:val="36"/>
        </w:rPr>
        <w:t xml:space="preserve">第一部分 </w:t>
      </w:r>
      <w:r>
        <w:rPr>
          <w:rFonts w:ascii="Times New Roman" w:hAnsi="Times New Roman" w:eastAsia="Times New Roman" w:cs="Times New Roman"/>
          <w:sz w:val="36"/>
        </w:rPr>
        <w:t>2021</w:t>
      </w:r>
      <w:r>
        <w:rPr>
          <w:rFonts w:ascii="微软雅黑" w:hAnsi="微软雅黑" w:eastAsia="微软雅黑" w:cs="微软雅黑"/>
          <w:sz w:val="36"/>
        </w:rPr>
        <w:t>年部门预算说明</w:t>
      </w:r>
    </w:p>
    <w:p>
      <w:pPr>
        <w:spacing w:after="157" w:line="259" w:lineRule="auto"/>
        <w:ind w:left="629" w:right="0"/>
      </w:pPr>
      <w:r>
        <w:rPr>
          <w:rFonts w:ascii="黑体" w:hAnsi="黑体" w:eastAsia="黑体" w:cs="黑体"/>
        </w:rPr>
        <w:t>一、部门基本概况</w:t>
      </w:r>
    </w:p>
    <w:p>
      <w:pPr>
        <w:pStyle w:val="2"/>
        <w:ind w:left="614"/>
      </w:pPr>
      <w:r>
        <w:t>（一）职能职责</w:t>
      </w:r>
    </w:p>
    <w:p>
      <w:pPr>
        <w:spacing w:line="600" w:lineRule="exact"/>
        <w:ind w:firstLine="640" w:firstLineChars="200"/>
        <w:rPr>
          <w:rFonts w:hint="eastAsia" w:ascii="仿宋_GB2312" w:eastAsia="仿宋_GB2312"/>
          <w:sz w:val="32"/>
          <w:szCs w:val="32"/>
        </w:rPr>
      </w:pPr>
      <w:r>
        <w:rPr>
          <w:rFonts w:hint="eastAsia" w:ascii="仿宋" w:hAnsi="仿宋" w:eastAsia="仿宋"/>
          <w:sz w:val="32"/>
          <w:szCs w:val="32"/>
        </w:rPr>
        <w:t xml:space="preserve"> </w:t>
      </w:r>
      <w:r>
        <w:rPr>
          <w:rFonts w:hint="eastAsia" w:ascii="仿宋_GB2312" w:eastAsia="仿宋_GB2312"/>
          <w:sz w:val="32"/>
          <w:szCs w:val="32"/>
        </w:rPr>
        <w:t>（一）贯彻执行有关国内外贸易、国际经济合作、区域经济合作和粮食宏观调控的发展战略、政策，拟订全县国内外贸易、招商引资、承接产业转移、对外援助、对外投资、对外经济合作和粮食流通业的中长期规划、政策措施和实施办法，研究提出经济全球化、区域经济合作、现代流通方式的发展趋势和流通体制改革的建议。</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二）推进流通产业结构调整，指导流通企业改革，促进商贸服务业、社区商业和粮食产业发展，研究提出促进商贸中小企业发展的政策建议，推动流通标准化和连锁经营、商业特许经营、物流配送、电子商务等现代流通方式的发展；拟订粮食流通体制改革方案并组织实施，推动国有粮食企业改革。</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三）拟订全县国内贸易发展规划，促进城乡市场发展，研究提出引导国内外资金投向市场体系建设的政策建议，规范商业投资的准入程序，研究拟订全县商品市场、商业网点、物流设施建设发展规范并组织实施；指导大宗产品批发市场规划和城市商业网点规划、商业体系建设工作，推进农村市场体系建设，组织实施农村现代流通网络工程。</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四）牵头协调整顿和规范市场经济秩序工作，拟订规范市场秩序的政策；协调全县消除地区封锁、打破行业垄断的有关工作，规范商贸企业交易行为；推动商务领域信用建设，指导商业信用销售，建立市场诚信公共服务平台；按有关规定对特殊流通行业进行监督管理；组织实施粮食流通、粮食库存监督检查制度，负责对粮食收购、储存环节的粮食质量安全和原粮卫生进行监督管理。</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五）承担组织实施重要消费品市场调控和重要生产资料流通管理的责任，负责建立健全生活必需品供应应急管理机制，监测分析市场运行、商品供求状况，调查分析商品价格信息，进行预测预警和信息引导；按分工负责重要消费品储备管理和市场调控工作；按有关规定对成品油流通进行监督管理；负责全县粮食流通宏观调控的具体工作，承担粮食监测预警或应急责任，指导协调最低收购价等政策性粮食购销和粮食产、购、销合作，保障军队粮食供应。</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（六）贯彻落实国家、省、市粮食质量标准，提出粮食收购市场准入标准建议；负责实施粮食收购行政许可的有关行政管理，指导粮食流通的科技进步、技术改造和新技术推广。</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七）承担县级储备粮（油）行政管理责任，会同有关部门研究提出县级储备粮（油）的规模、总体布局、购销计划以及提出动用储备粮（油）的建议；会同有关部门审批县级储备粮（油）轮换计划并监督实施，监督检查县级储备粮（油）的数量、质量和储存安全，制定县级储备粮（油）管理的技术规范并监督执行。</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八）贯彻执行国家进出口商品、加工贸易管理办法和进出口管理商品、技术目录；拟订促进外贸增长方式转变的政策措施；组织实施重要工业品、原材料和重要农产品进出口计划；指导、协调全县各类进出口企业的进出口业务和加工贸易业务，指导对外贸易促进活动和对外贸易促进体系建设。</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九）贯彻执行国家对外技术贸易、出口管制以及鼓励技术和成套设备进出口的贸易政策；负责协调管理内外贸易科技发展和技术进出口，协调全县高新技术产品出口、出口市场的开拓和技术出品的管理工作；依法监督管理全县技术进出口工作。</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（十）牵头拟订服务贸易发展规划并开展相关工作；会同有关部门制定促进服务出口、服务外包的规划、政策并组织实施，推动服务外包平台建设。</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一）牵头承担全县商务领域涉及世界贸易组织事务的相关工作；负责组织协调反倾销、反补贴、保障措施及其他与进出口公平贸易相关的工作，协助开展对外贸调查和产业损害调查，指导协调产业安全应对工作；协助对经营者集中行为进行反垄断审查，指导企业在国外的反垄断应诉工作。</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二）指导全县招商引资和承接产业转移工作，拟订并组织实施招商引资和承接产业转移政策；依法核准外商投资企业的设立及变更事项；依法核准重大外商投资项目的合同章程及法律特别规定的重大变更事项；依法监督检查外商投资企业执行有关法律法规规章、合同章程的情况并协调解决有关问题；指导投资促进及全县外商投资企业审批工作，规范招商引资活动；指导国家级、省级经济技术开发区（工业集中区）的有关工作。</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三）负责组织参与商务部、省、市政府举办的内外贸易促销活动和招商引资、对外经济技术合作活动；负责组织、指导、协调以衡南县名义在境内外举办的各种内外贸易交易会、展览会、展销会和招商引资等商务活动。</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四）负责全县对外经济合作工作，拟订并组织实施全县对外经济合作的政策措施和管理办法；指导对外承包工程、对外劳务合作等对外经济合作业务；负责牵头外派劳务和境外就业人员的权益保护工作；协调管理全县承担的对外援助项目等。</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（十五）贯彻执行国家对香港、澳门特别行政区和台湾地区的经贸规划、政策，指导我县对港、澳、台地区贸易和经贸合作活动，协调港、澳、台商投资管理工作。</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（十六）承担全县商务和粮食系统统计及其信息发布工作，提供信息咨询服务，指导全县流通领域信息网络和电子商务建设。</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（十七）负责对职责范围内有关行业、领域（包括商业贸易等）的安全生产工作实施监督管理。</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（十八）承办县人民政府交办的其他事项。</w:t>
      </w:r>
    </w:p>
    <w:p>
      <w:pPr>
        <w:numPr>
          <w:ilvl w:val="0"/>
          <w:numId w:val="0"/>
        </w:numPr>
        <w:spacing w:after="175" w:line="259" w:lineRule="auto"/>
        <w:ind w:right="0" w:rightChars="0" w:firstLine="640" w:firstLineChars="200"/>
      </w:pPr>
      <w:r>
        <w:rPr>
          <w:rFonts w:hint="eastAsia" w:ascii="仿宋" w:hAnsi="仿宋" w:eastAsia="仿宋"/>
          <w:sz w:val="32"/>
          <w:szCs w:val="32"/>
        </w:rPr>
        <w:t xml:space="preserve">     </w:t>
      </w:r>
    </w:p>
    <w:p>
      <w:pPr>
        <w:pStyle w:val="2"/>
        <w:ind w:left="614"/>
      </w:pPr>
      <w:r>
        <w:t>（二）机构设置</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根据上述职责，县商务和粮食局设施十五个内设机构：</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（一）办公室</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（二）信访室</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（三）财务股</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（四）市场运行和消费促进股</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（五）市场建设和市场秩序股</w:t>
      </w:r>
    </w:p>
    <w:p>
      <w:pPr>
        <w:spacing w:line="600" w:lineRule="exact"/>
        <w:ind w:left="954" w:leftChars="298" w:firstLine="307" w:firstLineChars="96"/>
        <w:rPr>
          <w:rFonts w:hint="eastAsia" w:ascii="仿宋_GB2312" w:eastAsia="仿宋_GB2312"/>
          <w:sz w:val="32"/>
          <w:szCs w:val="32"/>
        </w:rPr>
      </w:pPr>
      <w:r>
        <w:rPr>
          <w:rFonts w:hint="eastAsia" w:ascii="仿宋_GB2312" w:eastAsia="仿宋_GB2312"/>
          <w:sz w:val="32"/>
          <w:szCs w:val="32"/>
        </w:rPr>
        <w:t>（六）电子商务股</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（七）粮食调控股。</w:t>
      </w:r>
    </w:p>
    <w:p>
      <w:pPr>
        <w:spacing w:line="600" w:lineRule="exact"/>
        <w:ind w:left="954" w:leftChars="298" w:firstLine="307" w:firstLineChars="96"/>
        <w:rPr>
          <w:rFonts w:hint="eastAsia" w:ascii="仿宋_GB2312" w:eastAsia="仿宋_GB2312"/>
          <w:sz w:val="32"/>
          <w:szCs w:val="32"/>
        </w:rPr>
      </w:pPr>
      <w:r>
        <w:rPr>
          <w:rFonts w:hint="eastAsia" w:ascii="仿宋_GB2312" w:eastAsia="仿宋_GB2312"/>
          <w:sz w:val="32"/>
          <w:szCs w:val="32"/>
        </w:rPr>
        <w:t>（八）粮食行业发展股。</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（九）粮食监督检查股。</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（十）外经外贸管理股。</w:t>
      </w:r>
    </w:p>
    <w:p>
      <w:pPr>
        <w:spacing w:line="600" w:lineRule="exact"/>
        <w:ind w:left="954" w:leftChars="298" w:firstLine="307" w:firstLineChars="96"/>
        <w:rPr>
          <w:rFonts w:hint="eastAsia" w:ascii="仿宋_GB2312" w:eastAsia="仿宋_GB2312"/>
          <w:sz w:val="32"/>
          <w:szCs w:val="32"/>
        </w:rPr>
      </w:pPr>
      <w:r>
        <w:rPr>
          <w:rFonts w:hint="eastAsia" w:ascii="仿宋_GB2312" w:eastAsia="仿宋_GB2312"/>
          <w:sz w:val="32"/>
          <w:szCs w:val="32"/>
        </w:rPr>
        <w:t>（十一）投资管理股。</w:t>
      </w:r>
    </w:p>
    <w:p>
      <w:pPr>
        <w:spacing w:line="600" w:lineRule="exact"/>
        <w:ind w:left="954" w:leftChars="298" w:firstLine="307" w:firstLineChars="96"/>
        <w:rPr>
          <w:rFonts w:hint="eastAsia" w:ascii="仿宋_GB2312" w:eastAsia="仿宋_GB2312"/>
          <w:sz w:val="32"/>
          <w:szCs w:val="32"/>
        </w:rPr>
      </w:pPr>
      <w:r>
        <w:rPr>
          <w:rFonts w:hint="eastAsia" w:ascii="仿宋_GB2312" w:eastAsia="仿宋_GB2312"/>
          <w:sz w:val="32"/>
          <w:szCs w:val="32"/>
        </w:rPr>
        <w:t>（十二）法规和国际经贸关系股。</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（十三）行政审批服务股。</w:t>
      </w:r>
    </w:p>
    <w:p>
      <w:pPr>
        <w:spacing w:line="600" w:lineRule="exact"/>
        <w:ind w:left="954" w:leftChars="298" w:firstLine="307" w:firstLineChars="96"/>
        <w:rPr>
          <w:rFonts w:hint="eastAsia" w:ascii="仿宋_GB2312" w:eastAsia="仿宋_GB2312"/>
          <w:sz w:val="32"/>
          <w:szCs w:val="32"/>
        </w:rPr>
      </w:pPr>
      <w:r>
        <w:rPr>
          <w:rFonts w:hint="eastAsia" w:ascii="仿宋_GB2312" w:eastAsia="仿宋_GB2312"/>
          <w:sz w:val="32"/>
          <w:szCs w:val="32"/>
        </w:rPr>
        <w:t>（十四）企业管理股。</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（十五）人事股</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纪检（监察）、群团机构按有关规定和章程设置。</w:t>
      </w:r>
    </w:p>
    <w:p>
      <w:pPr>
        <w:ind w:left="-15" w:right="0" w:firstLine="634"/>
      </w:pPr>
    </w:p>
    <w:p>
      <w:pPr>
        <w:pStyle w:val="3"/>
        <w:numPr>
          <w:ilvl w:val="0"/>
          <w:numId w:val="2"/>
        </w:numPr>
        <w:ind w:left="629" w:right="0"/>
      </w:pPr>
      <w:r>
        <w:t>部门预算单位构成</w:t>
      </w:r>
    </w:p>
    <w:p>
      <w:pPr>
        <w:spacing w:line="560" w:lineRule="exact"/>
        <w:ind w:firstLine="600" w:firstLineChars="200"/>
        <w:rPr>
          <w:rFonts w:hint="eastAsia" w:ascii="仿宋" w:hAnsi="仿宋" w:eastAsia="仿宋"/>
          <w:sz w:val="32"/>
          <w:szCs w:val="32"/>
        </w:rPr>
      </w:pPr>
      <w:r>
        <w:rPr>
          <w:rFonts w:hint="eastAsia" w:ascii="仿宋" w:hAnsi="仿宋" w:eastAsia="仿宋" w:cs="仿宋"/>
          <w:color w:val="333333"/>
          <w:kern w:val="0"/>
          <w:sz w:val="30"/>
          <w:szCs w:val="30"/>
        </w:rPr>
        <w:t>部门预算单位构成：</w:t>
      </w:r>
      <w:r>
        <w:rPr>
          <w:rFonts w:hint="eastAsia" w:ascii="仿宋" w:hAnsi="仿宋" w:eastAsia="仿宋"/>
          <w:sz w:val="32"/>
          <w:szCs w:val="32"/>
        </w:rPr>
        <w:t>衡南县商务和粮食局本级，下设机构衡南县粮食和物资储备中心、衡南县粮油服务中心、衡南县市场服务中心、衡南县商务和粮食综合执法大队。</w:t>
      </w:r>
    </w:p>
    <w:p>
      <w:pPr>
        <w:pStyle w:val="3"/>
        <w:ind w:left="0" w:leftChars="0" w:right="0" w:firstLine="640" w:firstLineChars="200"/>
      </w:pPr>
      <w:r>
        <w:t>三、部门收支总体情况</w:t>
      </w:r>
    </w:p>
    <w:p>
      <w:pPr>
        <w:numPr>
          <w:ilvl w:val="0"/>
          <w:numId w:val="3"/>
        </w:numPr>
        <w:ind w:right="0" w:firstLine="619"/>
      </w:pPr>
      <w:r>
        <w:rPr>
          <w:rFonts w:ascii="楷体" w:hAnsi="楷体" w:eastAsia="楷体" w:cs="楷体"/>
        </w:rPr>
        <w:t>收入预算：</w:t>
      </w:r>
      <w:r>
        <w:t>包括一般公共预算（含纳入一般公共预算管理的非税收入）、政府性基金、国有资本经营预算等财政拨款收入，以及经营收入、事业收入等单位资金和上年结转。</w:t>
      </w:r>
      <w:r>
        <w:rPr>
          <w:rFonts w:ascii="Times New Roman" w:hAnsi="Times New Roman" w:eastAsia="Times New Roman" w:cs="Times New Roman"/>
        </w:rPr>
        <w:t xml:space="preserve">2021 </w:t>
      </w:r>
      <w:r>
        <w:t xml:space="preserve">年本部门收入预算 </w:t>
      </w:r>
      <w:r>
        <w:rPr>
          <w:rFonts w:hint="eastAsia"/>
          <w:lang w:val="en-US" w:eastAsia="zh-CN"/>
        </w:rPr>
        <w:t>1949.96</w:t>
      </w:r>
      <w:r>
        <w:t xml:space="preserve">万元，其中，一般公共预算拨款 </w:t>
      </w:r>
      <w:r>
        <w:rPr>
          <w:rFonts w:hint="eastAsia"/>
          <w:lang w:val="en-US" w:eastAsia="zh-CN"/>
        </w:rPr>
        <w:t>1390.29</w:t>
      </w:r>
      <w:r>
        <w:t>万元</w:t>
      </w:r>
      <w:r>
        <w:rPr>
          <w:rFonts w:hint="eastAsia"/>
          <w:lang w:val="en-US" w:eastAsia="zh-CN"/>
        </w:rPr>
        <w:t>,</w:t>
      </w:r>
      <w:r>
        <w:t>收入较去年</w:t>
      </w:r>
      <w:r>
        <w:rPr>
          <w:rFonts w:hint="eastAsia"/>
          <w:lang w:eastAsia="zh-CN"/>
        </w:rPr>
        <w:t>增加</w:t>
      </w:r>
      <w:r>
        <w:rPr>
          <w:rFonts w:hint="eastAsia"/>
          <w:lang w:val="en-US" w:eastAsia="zh-CN"/>
        </w:rPr>
        <w:t>11.97万元</w:t>
      </w:r>
      <w:r>
        <w:t>，主要原因：</w:t>
      </w:r>
      <w:r>
        <w:rPr>
          <w:rFonts w:hint="eastAsia"/>
          <w:lang w:eastAsia="zh-CN"/>
        </w:rPr>
        <w:t>县粮油服务中心企业改制维稳接访任务重，调增维稳经费，局本级人员增加。</w:t>
      </w:r>
    </w:p>
    <w:p>
      <w:pPr>
        <w:numPr>
          <w:ilvl w:val="0"/>
          <w:numId w:val="3"/>
        </w:numPr>
        <w:spacing w:after="186" w:line="259" w:lineRule="auto"/>
        <w:ind w:right="0" w:firstLine="619"/>
      </w:pPr>
      <w:r>
        <w:rPr>
          <w:rFonts w:ascii="楷体" w:hAnsi="楷体" w:eastAsia="楷体" w:cs="楷体"/>
        </w:rPr>
        <w:t>支出预算：</w:t>
      </w:r>
      <w:r>
        <w:rPr>
          <w:rFonts w:ascii="Times New Roman" w:hAnsi="Times New Roman" w:eastAsia="Times New Roman" w:cs="Times New Roman"/>
        </w:rPr>
        <w:t xml:space="preserve">2021 </w:t>
      </w:r>
      <w:r>
        <w:t>年本部门支出预算</w:t>
      </w:r>
      <w:r>
        <w:rPr>
          <w:rFonts w:hint="eastAsia"/>
          <w:lang w:val="en-US" w:eastAsia="zh-CN"/>
        </w:rPr>
        <w:t>1949.96</w:t>
      </w:r>
      <w:r>
        <w:t>万元，</w:t>
      </w:r>
    </w:p>
    <w:p>
      <w:pPr>
        <w:ind w:left="-5" w:right="0"/>
      </w:pPr>
      <w:r>
        <w:t xml:space="preserve">其中，一般公共服务支出 </w:t>
      </w:r>
      <w:r>
        <w:rPr>
          <w:rFonts w:hint="eastAsia"/>
          <w:lang w:val="en-US" w:eastAsia="zh-CN"/>
        </w:rPr>
        <w:t>1390.29</w:t>
      </w:r>
      <w:r>
        <w:t xml:space="preserve">万元，教育支出 </w:t>
      </w:r>
      <w:r>
        <w:rPr>
          <w:rFonts w:hint="eastAsia"/>
          <w:lang w:val="en-US" w:eastAsia="zh-CN"/>
        </w:rPr>
        <w:t>0</w:t>
      </w:r>
      <w:r>
        <w:t xml:space="preserve">万元，社会保障和就业支出 </w:t>
      </w:r>
      <w:r>
        <w:rPr>
          <w:rFonts w:hint="eastAsia"/>
          <w:lang w:val="en-US" w:eastAsia="zh-CN"/>
        </w:rPr>
        <w:t>278.75</w:t>
      </w:r>
      <w:r>
        <w:t xml:space="preserve">万元，卫生健康支出 </w:t>
      </w:r>
      <w:r>
        <w:rPr>
          <w:rFonts w:hint="eastAsia"/>
          <w:lang w:val="en-US" w:eastAsia="zh-CN"/>
        </w:rPr>
        <w:t>85.94</w:t>
      </w:r>
      <w:r>
        <w:t xml:space="preserve">万元，住房保障支出 </w:t>
      </w:r>
      <w:r>
        <w:rPr>
          <w:rFonts w:hint="eastAsia"/>
          <w:lang w:val="en-US" w:eastAsia="zh-CN"/>
        </w:rPr>
        <w:t>41.98</w:t>
      </w:r>
      <w:r>
        <w:t>万元</w:t>
      </w:r>
      <w:r>
        <w:rPr>
          <w:rFonts w:hint="eastAsia"/>
          <w:lang w:eastAsia="zh-CN"/>
        </w:rPr>
        <w:t>，粮油物资管理事务支出</w:t>
      </w:r>
      <w:r>
        <w:rPr>
          <w:rFonts w:hint="eastAsia"/>
          <w:lang w:val="en-US" w:eastAsia="zh-CN"/>
        </w:rPr>
        <w:t>153万元</w:t>
      </w:r>
      <w:r>
        <w:t>。支出较去年</w:t>
      </w:r>
      <w:r>
        <w:rPr>
          <w:rFonts w:hint="eastAsia"/>
          <w:lang w:eastAsia="zh-CN"/>
        </w:rPr>
        <w:t>增加</w:t>
      </w:r>
      <w:r>
        <w:rPr>
          <w:rFonts w:hint="eastAsia"/>
          <w:lang w:val="en-US" w:eastAsia="zh-CN"/>
        </w:rPr>
        <w:t>11.97</w:t>
      </w:r>
      <w:r>
        <w:t>万元，主要原因：</w:t>
      </w:r>
      <w:r>
        <w:rPr>
          <w:rFonts w:hint="eastAsia"/>
          <w:lang w:eastAsia="zh-CN"/>
        </w:rPr>
        <w:t>县粮油服务中心企业改制维稳接访任务重，调增维稳经费，局本级人员增加。</w:t>
      </w:r>
    </w:p>
    <w:p>
      <w:pPr>
        <w:pStyle w:val="3"/>
        <w:ind w:left="629" w:right="0"/>
      </w:pPr>
      <w:r>
        <w:t>四、一般公共预算拨款支出</w:t>
      </w:r>
    </w:p>
    <w:p>
      <w:pPr>
        <w:ind w:left="-15" w:right="0" w:firstLine="660"/>
      </w:pPr>
      <w:r>
        <w:rPr>
          <w:rFonts w:ascii="Times New Roman" w:hAnsi="Times New Roman" w:eastAsia="Times New Roman" w:cs="Times New Roman"/>
        </w:rPr>
        <w:t xml:space="preserve">2021 </w:t>
      </w:r>
      <w:r>
        <w:t xml:space="preserve">年本部门一般公共预算拨款支出预算 </w:t>
      </w:r>
      <w:r>
        <w:rPr>
          <w:rFonts w:hint="eastAsia"/>
          <w:lang w:val="en-US" w:eastAsia="zh-CN"/>
        </w:rPr>
        <w:t>1949.96</w:t>
      </w:r>
      <w:r>
        <w:t xml:space="preserve">万元，其中，一般公共服务支出 </w:t>
      </w:r>
      <w:r>
        <w:rPr>
          <w:rFonts w:hint="eastAsia"/>
          <w:lang w:val="en-US" w:eastAsia="zh-CN"/>
        </w:rPr>
        <w:t>1390.29</w:t>
      </w:r>
      <w:r>
        <w:t xml:space="preserve">万元，占 </w:t>
      </w:r>
      <w:r>
        <w:rPr>
          <w:rFonts w:hint="eastAsia"/>
          <w:lang w:val="en-US" w:eastAsia="zh-CN"/>
        </w:rPr>
        <w:t>71</w:t>
      </w:r>
      <w:r>
        <w:rPr>
          <w:rFonts w:ascii="Times New Roman" w:hAnsi="Times New Roman" w:eastAsia="Times New Roman" w:cs="Times New Roman"/>
        </w:rPr>
        <w:t xml:space="preserve"> %</w:t>
      </w:r>
      <w:r>
        <w:t>；教育支出</w:t>
      </w:r>
      <w:r>
        <w:rPr>
          <w:rFonts w:hint="eastAsia"/>
          <w:lang w:val="en-US" w:eastAsia="zh-CN"/>
        </w:rPr>
        <w:t>0</w:t>
      </w:r>
      <w:r>
        <w:t>万元，占</w:t>
      </w:r>
      <w:r>
        <w:rPr>
          <w:rFonts w:hint="eastAsia"/>
          <w:lang w:val="en-US" w:eastAsia="zh-CN"/>
        </w:rPr>
        <w:t>0</w:t>
      </w:r>
      <w:r>
        <w:rPr>
          <w:rFonts w:ascii="Times New Roman" w:hAnsi="Times New Roman" w:eastAsia="Times New Roman" w:cs="Times New Roman"/>
        </w:rPr>
        <w:t>%</w:t>
      </w:r>
      <w:r>
        <w:t>；社会保障和就业支出</w:t>
      </w:r>
      <w:r>
        <w:rPr>
          <w:rFonts w:hint="eastAsia"/>
          <w:lang w:val="en-US" w:eastAsia="zh-CN"/>
        </w:rPr>
        <w:t>278.75</w:t>
      </w:r>
      <w:r>
        <w:rPr>
          <w:rFonts w:ascii="Times New Roman" w:hAnsi="Times New Roman" w:eastAsia="Times New Roman" w:cs="Times New Roman"/>
        </w:rPr>
        <w:t xml:space="preserve"> </w:t>
      </w:r>
      <w:r>
        <w:t xml:space="preserve">万元，占 </w:t>
      </w:r>
      <w:r>
        <w:rPr>
          <w:rFonts w:hint="eastAsia"/>
          <w:lang w:val="en-US" w:eastAsia="zh-CN"/>
        </w:rPr>
        <w:t>14</w:t>
      </w:r>
      <w:r>
        <w:rPr>
          <w:rFonts w:ascii="Times New Roman" w:hAnsi="Times New Roman" w:eastAsia="Times New Roman" w:cs="Times New Roman"/>
        </w:rPr>
        <w:t>%</w:t>
      </w:r>
      <w:r>
        <w:t xml:space="preserve">；卫生健康支出 </w:t>
      </w:r>
      <w:r>
        <w:rPr>
          <w:rFonts w:hint="eastAsia"/>
          <w:lang w:val="en-US" w:eastAsia="zh-CN"/>
        </w:rPr>
        <w:t>85.94</w:t>
      </w:r>
      <w:r>
        <w:rPr>
          <w:rFonts w:ascii="Times New Roman" w:hAnsi="Times New Roman" w:eastAsia="Times New Roman" w:cs="Times New Roman"/>
        </w:rPr>
        <w:t xml:space="preserve"> </w:t>
      </w:r>
      <w:r>
        <w:t xml:space="preserve">万元，占 </w:t>
      </w:r>
      <w:r>
        <w:rPr>
          <w:rFonts w:hint="eastAsia"/>
          <w:lang w:val="en-US" w:eastAsia="zh-CN"/>
        </w:rPr>
        <w:t>5</w:t>
      </w:r>
      <w:r>
        <w:rPr>
          <w:rFonts w:ascii="Times New Roman" w:hAnsi="Times New Roman" w:eastAsia="Times New Roman" w:cs="Times New Roman"/>
        </w:rPr>
        <w:t>%</w:t>
      </w:r>
      <w:r>
        <w:t>；住房保障支出</w:t>
      </w:r>
      <w:r>
        <w:rPr>
          <w:rFonts w:hint="eastAsia"/>
          <w:lang w:val="en-US" w:eastAsia="zh-CN"/>
        </w:rPr>
        <w:t>41.98</w:t>
      </w:r>
      <w:r>
        <w:t xml:space="preserve">万元，占 </w:t>
      </w:r>
      <w:r>
        <w:rPr>
          <w:rFonts w:hint="eastAsia"/>
          <w:lang w:val="en-US" w:eastAsia="zh-CN"/>
        </w:rPr>
        <w:t>2</w:t>
      </w:r>
      <w:r>
        <w:rPr>
          <w:rFonts w:ascii="Times New Roman" w:hAnsi="Times New Roman" w:eastAsia="Times New Roman" w:cs="Times New Roman"/>
        </w:rPr>
        <w:t>%</w:t>
      </w:r>
      <w:r>
        <w:rPr>
          <w:rFonts w:hint="eastAsia" w:ascii="Times New Roman" w:hAnsi="Times New Roman" w:eastAsia="宋体" w:cs="Times New Roman"/>
          <w:lang w:eastAsia="zh-CN"/>
        </w:rPr>
        <w:t>，</w:t>
      </w:r>
      <w:r>
        <w:rPr>
          <w:rFonts w:hint="eastAsia"/>
          <w:lang w:eastAsia="zh-CN"/>
        </w:rPr>
        <w:t>粮油物资管理事务支出</w:t>
      </w:r>
      <w:r>
        <w:rPr>
          <w:rFonts w:hint="eastAsia"/>
          <w:lang w:val="en-US" w:eastAsia="zh-CN"/>
        </w:rPr>
        <w:t>153万元，</w:t>
      </w:r>
      <w:r>
        <w:t xml:space="preserve">占 </w:t>
      </w:r>
      <w:r>
        <w:rPr>
          <w:rFonts w:hint="eastAsia"/>
          <w:lang w:val="en-US" w:eastAsia="zh-CN"/>
        </w:rPr>
        <w:t>8</w:t>
      </w:r>
      <w:r>
        <w:rPr>
          <w:rFonts w:ascii="Times New Roman" w:hAnsi="Times New Roman" w:eastAsia="Times New Roman" w:cs="Times New Roman"/>
        </w:rPr>
        <w:t>%</w:t>
      </w:r>
      <w:r>
        <w:t>。具体安排情况如下：</w:t>
      </w:r>
    </w:p>
    <w:p>
      <w:pPr>
        <w:numPr>
          <w:ilvl w:val="0"/>
          <w:numId w:val="4"/>
        </w:numPr>
        <w:ind w:right="0" w:firstLine="647"/>
      </w:pPr>
      <w:r>
        <w:rPr>
          <w:rFonts w:ascii="楷体" w:hAnsi="楷体" w:eastAsia="楷体" w:cs="楷体"/>
        </w:rPr>
        <w:t>基本支出：</w:t>
      </w:r>
      <w:r>
        <w:rPr>
          <w:rFonts w:ascii="Times New Roman" w:hAnsi="Times New Roman" w:eastAsia="Times New Roman" w:cs="Times New Roman"/>
        </w:rPr>
        <w:t xml:space="preserve">2021 </w:t>
      </w:r>
      <w:r>
        <w:t xml:space="preserve">年本部门基本支出预算数 </w:t>
      </w:r>
      <w:r>
        <w:rPr>
          <w:rFonts w:hint="eastAsia"/>
          <w:lang w:val="en-US" w:eastAsia="zh-CN"/>
        </w:rPr>
        <w:t>1639.96</w:t>
      </w:r>
      <w:r>
        <w:rPr>
          <w:rFonts w:ascii="Times New Roman" w:hAnsi="Times New Roman" w:eastAsia="Times New Roman" w:cs="Times New Roman"/>
        </w:rPr>
        <w:t xml:space="preserve"> </w:t>
      </w:r>
      <w:r>
        <w:t>万元，主要是为保障部门正常运转、完成日常工作任务而发生的各项支出，包括用于基本工资、津贴补贴等人员经费以及办公费、印刷费、水电费、办公设备购置等公用经费。</w:t>
      </w:r>
    </w:p>
    <w:p>
      <w:pPr>
        <w:numPr>
          <w:ilvl w:val="0"/>
          <w:numId w:val="4"/>
        </w:numPr>
        <w:ind w:right="0" w:firstLine="647"/>
      </w:pPr>
      <w:r>
        <w:rPr>
          <w:rFonts w:ascii="楷体" w:hAnsi="楷体" w:eastAsia="楷体" w:cs="楷体"/>
        </w:rPr>
        <w:t>项目支出：</w:t>
      </w:r>
      <w:r>
        <w:rPr>
          <w:rFonts w:ascii="Times New Roman" w:hAnsi="Times New Roman" w:eastAsia="Times New Roman" w:cs="Times New Roman"/>
        </w:rPr>
        <w:t xml:space="preserve">2021 </w:t>
      </w:r>
      <w:r>
        <w:t xml:space="preserve">年本部门项目支出预算 </w:t>
      </w:r>
      <w:r>
        <w:rPr>
          <w:rFonts w:hint="eastAsia"/>
          <w:lang w:val="en-US" w:eastAsia="zh-CN"/>
        </w:rPr>
        <w:t>310</w:t>
      </w:r>
      <w:r>
        <w:t>万元，主要是部门为完成特定行政工作任务或事业发展目标而发生的支出，包括业务工作专项、运行维护专项。其中：业务工作专项</w:t>
      </w:r>
      <w:r>
        <w:rPr>
          <w:rFonts w:hint="eastAsia"/>
          <w:lang w:val="en-US" w:eastAsia="zh-CN"/>
        </w:rPr>
        <w:t>310</w:t>
      </w:r>
      <w:r>
        <w:t>万元，主要用于</w:t>
      </w:r>
      <w:r>
        <w:rPr>
          <w:rFonts w:hint="eastAsia"/>
          <w:lang w:eastAsia="zh-CN"/>
        </w:rPr>
        <w:t>招商引资费用、法人代表工资支出、社零统计、涉军维稳</w:t>
      </w:r>
      <w:r>
        <w:t>等方面；</w:t>
      </w:r>
    </w:p>
    <w:p>
      <w:pPr>
        <w:spacing w:after="157" w:line="259" w:lineRule="auto"/>
        <w:ind w:left="629" w:right="0"/>
        <w:rPr>
          <w:highlight w:val="none"/>
        </w:rPr>
      </w:pPr>
      <w:r>
        <w:rPr>
          <w:rFonts w:ascii="黑体" w:hAnsi="黑体" w:eastAsia="黑体" w:cs="黑体"/>
          <w:highlight w:val="none"/>
        </w:rPr>
        <w:t>五、政府性基金预算支出</w:t>
      </w:r>
    </w:p>
    <w:p>
      <w:pPr>
        <w:spacing w:after="182" w:line="259" w:lineRule="auto"/>
        <w:ind w:left="670" w:right="0"/>
        <w:rPr>
          <w:rFonts w:hint="default" w:eastAsia="仿宋"/>
          <w:highlight w:val="none"/>
          <w:lang w:val="en-US" w:eastAsia="zh-CN"/>
        </w:rPr>
      </w:pPr>
      <w:r>
        <w:rPr>
          <w:rFonts w:ascii="Times New Roman" w:hAnsi="Times New Roman" w:eastAsia="Times New Roman" w:cs="Times New Roman"/>
          <w:highlight w:val="none"/>
        </w:rPr>
        <w:t xml:space="preserve">2021 </w:t>
      </w:r>
      <w:r>
        <w:rPr>
          <w:highlight w:val="none"/>
        </w:rPr>
        <w:t>年本部门无政府性基金安排的支出。</w:t>
      </w:r>
    </w:p>
    <w:p>
      <w:pPr>
        <w:pStyle w:val="3"/>
        <w:ind w:left="629" w:right="0"/>
      </w:pPr>
      <w:r>
        <w:t>六、其他重要事项的情况说明</w:t>
      </w:r>
    </w:p>
    <w:p>
      <w:pPr>
        <w:numPr>
          <w:ilvl w:val="0"/>
          <w:numId w:val="5"/>
        </w:numPr>
        <w:spacing w:after="175" w:line="259" w:lineRule="auto"/>
        <w:ind w:right="85" w:firstLine="660"/>
      </w:pPr>
      <w:r>
        <w:rPr>
          <w:rFonts w:ascii="楷体" w:hAnsi="楷体" w:eastAsia="楷体" w:cs="楷体"/>
        </w:rPr>
        <w:t>机关运行经费：</w:t>
      </w:r>
      <w:r>
        <w:t xml:space="preserve">2021 年本部门机关本级机关运行经费 </w:t>
      </w:r>
      <w:r>
        <w:rPr>
          <w:rFonts w:hint="eastAsia"/>
          <w:lang w:val="en-US" w:eastAsia="zh-CN"/>
        </w:rPr>
        <w:t>72</w:t>
      </w:r>
      <w:r>
        <w:t>万元，比上年机关本级预算减少</w:t>
      </w:r>
      <w:r>
        <w:rPr>
          <w:rFonts w:hint="eastAsia"/>
          <w:lang w:val="en-US" w:eastAsia="zh-CN"/>
        </w:rPr>
        <w:t>1.8</w:t>
      </w:r>
      <w:r>
        <w:t xml:space="preserve">万元，下降 </w:t>
      </w:r>
      <w:r>
        <w:rPr>
          <w:rFonts w:hint="eastAsia"/>
          <w:lang w:val="en-US" w:eastAsia="zh-CN"/>
        </w:rPr>
        <w:t>2.5</w:t>
      </w:r>
      <w:r>
        <w:t>%，主要是落实过紧日子要求，厉行节约。</w:t>
      </w:r>
    </w:p>
    <w:p>
      <w:pPr>
        <w:numPr>
          <w:ilvl w:val="0"/>
          <w:numId w:val="5"/>
        </w:numPr>
        <w:ind w:right="85" w:firstLine="660"/>
      </w:pPr>
      <w:r>
        <w:rPr>
          <w:rFonts w:ascii="Times New Roman" w:hAnsi="Times New Roman" w:eastAsia="Times New Roman" w:cs="Times New Roman"/>
          <w:b/>
        </w:rPr>
        <w:t>“</w:t>
      </w:r>
      <w:r>
        <w:rPr>
          <w:rFonts w:ascii="楷体" w:hAnsi="楷体" w:eastAsia="楷体" w:cs="楷体"/>
        </w:rPr>
        <w:t>三公</w:t>
      </w:r>
      <w:r>
        <w:rPr>
          <w:rFonts w:ascii="Times New Roman" w:hAnsi="Times New Roman" w:eastAsia="Times New Roman" w:cs="Times New Roman"/>
          <w:b/>
        </w:rPr>
        <w:t>”</w:t>
      </w:r>
      <w:r>
        <w:rPr>
          <w:rFonts w:ascii="楷体" w:hAnsi="楷体" w:eastAsia="楷体" w:cs="楷体"/>
        </w:rPr>
        <w:t>经费预算：</w:t>
      </w:r>
      <w:r>
        <w:rPr>
          <w:rFonts w:ascii="Times New Roman" w:hAnsi="Times New Roman" w:eastAsia="Times New Roman" w:cs="Times New Roman"/>
        </w:rPr>
        <w:t xml:space="preserve">2021 </w:t>
      </w:r>
      <w:r>
        <w:t>年本部门机关本级</w:t>
      </w:r>
      <w:r>
        <w:rPr>
          <w:rFonts w:ascii="Times New Roman" w:hAnsi="Times New Roman" w:eastAsia="Times New Roman" w:cs="Times New Roman"/>
        </w:rPr>
        <w:t>“</w:t>
      </w:r>
      <w:r>
        <w:t>三公</w:t>
      </w:r>
      <w:r>
        <w:rPr>
          <w:rFonts w:ascii="Times New Roman" w:hAnsi="Times New Roman" w:eastAsia="Times New Roman" w:cs="Times New Roman"/>
        </w:rPr>
        <w:t xml:space="preserve">” </w:t>
      </w:r>
      <w:r>
        <w:t>经费预算数为</w:t>
      </w:r>
      <w:r>
        <w:rPr>
          <w:rFonts w:hint="eastAsia"/>
          <w:lang w:val="en-US" w:eastAsia="zh-CN"/>
        </w:rPr>
        <w:t>51</w:t>
      </w:r>
      <w:r>
        <w:t xml:space="preserve"> 万元，其中，公务接待费 </w:t>
      </w:r>
      <w:r>
        <w:rPr>
          <w:rFonts w:hint="eastAsia"/>
          <w:lang w:val="en-US" w:eastAsia="zh-CN"/>
        </w:rPr>
        <w:t>36</w:t>
      </w:r>
      <w:r>
        <w:t xml:space="preserve">万元，公务用车购置及运行费 </w:t>
      </w:r>
      <w:r>
        <w:rPr>
          <w:rFonts w:hint="eastAsia"/>
          <w:lang w:val="en-US" w:eastAsia="zh-CN"/>
        </w:rPr>
        <w:t>15</w:t>
      </w:r>
      <w:r>
        <w:t>万元（其中，公务用车购置费</w:t>
      </w:r>
      <w:r>
        <w:rPr>
          <w:rFonts w:hint="eastAsia"/>
          <w:lang w:val="en-US" w:eastAsia="zh-CN"/>
        </w:rPr>
        <w:t>0</w:t>
      </w:r>
      <w:r>
        <w:t>万元，公务用车运行费</w:t>
      </w:r>
      <w:r>
        <w:rPr>
          <w:rFonts w:hint="eastAsia"/>
          <w:lang w:val="en-US" w:eastAsia="zh-CN"/>
        </w:rPr>
        <w:t>15</w:t>
      </w:r>
      <w:r>
        <w:t>万元），因公出国（境）费</w:t>
      </w:r>
      <w:r>
        <w:rPr>
          <w:rFonts w:hint="eastAsia"/>
          <w:lang w:val="en-US" w:eastAsia="zh-CN"/>
        </w:rPr>
        <w:t>0</w:t>
      </w:r>
      <w:r>
        <w:t>万元。</w:t>
      </w:r>
      <w:r>
        <w:rPr>
          <w:rFonts w:ascii="Times New Roman" w:hAnsi="Times New Roman" w:eastAsia="Times New Roman" w:cs="Times New Roman"/>
        </w:rPr>
        <w:t xml:space="preserve">2021 </w:t>
      </w:r>
      <w:r>
        <w:t>年</w:t>
      </w:r>
      <w:r>
        <w:rPr>
          <w:rFonts w:ascii="Times New Roman" w:hAnsi="Times New Roman" w:eastAsia="Times New Roman" w:cs="Times New Roman"/>
        </w:rPr>
        <w:t>“</w:t>
      </w:r>
      <w:r>
        <w:t>三公</w:t>
      </w:r>
      <w:r>
        <w:rPr>
          <w:rFonts w:ascii="Times New Roman" w:hAnsi="Times New Roman" w:eastAsia="Times New Roman" w:cs="Times New Roman"/>
        </w:rPr>
        <w:t>”</w:t>
      </w:r>
      <w:r>
        <w:t xml:space="preserve">经费预算较 </w:t>
      </w:r>
      <w:r>
        <w:rPr>
          <w:rFonts w:ascii="Times New Roman" w:hAnsi="Times New Roman" w:eastAsia="Times New Roman" w:cs="Times New Roman"/>
        </w:rPr>
        <w:t xml:space="preserve">2020 </w:t>
      </w:r>
      <w:r>
        <w:t xml:space="preserve">年减少 </w:t>
      </w:r>
      <w:r>
        <w:rPr>
          <w:rFonts w:hint="eastAsia"/>
          <w:lang w:val="en-US" w:eastAsia="zh-CN"/>
        </w:rPr>
        <w:t>6</w:t>
      </w:r>
      <w:r>
        <w:t>万元，主要是贯彻落实国务院压减一般性支出的要求。</w:t>
      </w:r>
    </w:p>
    <w:p>
      <w:pPr>
        <w:numPr>
          <w:ilvl w:val="0"/>
          <w:numId w:val="0"/>
        </w:numPr>
        <w:ind w:left="634" w:leftChars="0" w:right="0" w:rightChars="0"/>
        <w:rPr>
          <w:rFonts w:hint="default" w:eastAsia="仿宋"/>
          <w:lang w:val="en-US" w:eastAsia="zh-CN"/>
        </w:rPr>
      </w:pPr>
      <w:r>
        <w:rPr>
          <w:rFonts w:hint="eastAsia" w:ascii="楷体" w:hAnsi="楷体" w:eastAsia="楷体" w:cs="楷体"/>
          <w:lang w:eastAsia="zh-CN"/>
        </w:rPr>
        <w:t>（三）</w:t>
      </w:r>
      <w:r>
        <w:rPr>
          <w:rFonts w:ascii="楷体" w:hAnsi="楷体" w:eastAsia="楷体" w:cs="楷体"/>
        </w:rPr>
        <w:t>政府采购情况：</w:t>
      </w:r>
      <w:r>
        <w:rPr>
          <w:rFonts w:ascii="Times New Roman" w:hAnsi="Times New Roman" w:eastAsia="Times New Roman" w:cs="Times New Roman"/>
        </w:rPr>
        <w:t xml:space="preserve">2021 </w:t>
      </w:r>
      <w:r>
        <w:t>年本部门政府采购预算总额</w:t>
      </w:r>
      <w:r>
        <w:rPr>
          <w:rFonts w:hint="eastAsia"/>
          <w:lang w:val="en-US" w:eastAsia="zh-CN"/>
        </w:rPr>
        <w:t>435.71</w:t>
      </w:r>
      <w:r>
        <w:t xml:space="preserve">万元，其中，货物类采购预算 </w:t>
      </w:r>
      <w:r>
        <w:rPr>
          <w:rFonts w:hint="eastAsia"/>
          <w:lang w:val="en-US" w:eastAsia="zh-CN"/>
        </w:rPr>
        <w:t>420.71</w:t>
      </w:r>
      <w:r>
        <w:t>万元</w:t>
      </w:r>
      <w:r>
        <w:rPr>
          <w:rFonts w:hint="eastAsia"/>
          <w:lang w:val="en-US" w:eastAsia="zh-CN"/>
        </w:rPr>
        <w:t>,工程</w:t>
      </w:r>
      <w:r>
        <w:t>类采购预算</w:t>
      </w:r>
      <w:r>
        <w:rPr>
          <w:rFonts w:hint="eastAsia"/>
          <w:lang w:val="en-US" w:eastAsia="zh-CN"/>
        </w:rPr>
        <w:t>15万元。</w:t>
      </w:r>
      <w:bookmarkStart w:id="0" w:name="_GoBack"/>
      <w:bookmarkEnd w:id="0"/>
    </w:p>
    <w:p>
      <w:pPr>
        <w:numPr>
          <w:ilvl w:val="0"/>
          <w:numId w:val="6"/>
        </w:numPr>
        <w:spacing w:after="0" w:line="370" w:lineRule="auto"/>
        <w:ind w:right="0" w:firstLine="634"/>
      </w:pPr>
      <w:r>
        <w:rPr>
          <w:rFonts w:ascii="楷体" w:hAnsi="楷体" w:eastAsia="楷体" w:cs="楷体"/>
        </w:rPr>
        <w:t>国有资产占用使用及新增资产配置情况：</w:t>
      </w:r>
      <w:r>
        <w:rPr>
          <w:rFonts w:hint="eastAsia" w:ascii="楷体" w:hAnsi="楷体" w:eastAsia="楷体" w:cs="楷体"/>
          <w:lang w:eastAsia="zh-CN"/>
        </w:rPr>
        <w:t>我单位无公务用车，无新增资产。</w:t>
      </w:r>
    </w:p>
    <w:p>
      <w:pPr>
        <w:numPr>
          <w:ilvl w:val="0"/>
          <w:numId w:val="6"/>
        </w:numPr>
        <w:ind w:right="0" w:firstLine="634"/>
      </w:pPr>
      <w:r>
        <w:rPr>
          <w:rFonts w:ascii="楷体" w:hAnsi="楷体" w:eastAsia="楷体" w:cs="楷体"/>
        </w:rPr>
        <w:t>预算绩效目标说明：</w:t>
      </w:r>
      <w:r>
        <w:rPr>
          <w:rFonts w:ascii="Times New Roman" w:hAnsi="Times New Roman" w:eastAsia="Times New Roman" w:cs="Times New Roman"/>
        </w:rPr>
        <w:t xml:space="preserve">2021 </w:t>
      </w:r>
      <w:r>
        <w:t xml:space="preserve">年本部门所有支出实行绩效目标管理。纳入 </w:t>
      </w:r>
      <w:r>
        <w:rPr>
          <w:rFonts w:ascii="Times New Roman" w:hAnsi="Times New Roman" w:eastAsia="Times New Roman" w:cs="Times New Roman"/>
        </w:rPr>
        <w:t xml:space="preserve">2021 </w:t>
      </w:r>
      <w:r>
        <w:t>年部门整体支出绩效目标的金额为</w:t>
      </w:r>
      <w:r>
        <w:rPr>
          <w:rFonts w:hint="eastAsia"/>
          <w:lang w:val="en-US" w:eastAsia="zh-CN"/>
        </w:rPr>
        <w:t>1949.96</w:t>
      </w:r>
      <w:r>
        <w:t xml:space="preserve">万元，其中，基本支出 </w:t>
      </w:r>
      <w:r>
        <w:rPr>
          <w:rFonts w:hint="eastAsia"/>
          <w:lang w:val="en-US" w:eastAsia="zh-CN"/>
        </w:rPr>
        <w:t>1639.96</w:t>
      </w:r>
      <w:r>
        <w:rPr>
          <w:rFonts w:ascii="Times New Roman" w:hAnsi="Times New Roman" w:eastAsia="Times New Roman" w:cs="Times New Roman"/>
        </w:rPr>
        <w:t xml:space="preserve"> </w:t>
      </w:r>
      <w:r>
        <w:t>万元，项目支出</w:t>
      </w:r>
      <w:r>
        <w:rPr>
          <w:rFonts w:hint="eastAsia"/>
          <w:lang w:val="en-US" w:eastAsia="zh-CN"/>
        </w:rPr>
        <w:t>310</w:t>
      </w:r>
      <w:r>
        <w:t>万元，具体绩效目标详见报表。</w:t>
      </w:r>
    </w:p>
    <w:p>
      <w:pPr>
        <w:pStyle w:val="3"/>
        <w:ind w:left="629" w:right="0"/>
      </w:pPr>
      <w:r>
        <w:t>七、名词解释</w:t>
      </w:r>
    </w:p>
    <w:p>
      <w:pPr>
        <w:ind w:left="-15" w:right="0" w:firstLine="660"/>
      </w:pPr>
      <w:r>
        <w:rPr>
          <w:rFonts w:ascii="Times New Roman" w:hAnsi="Times New Roman" w:eastAsia="Times New Roman" w:cs="Times New Roman"/>
        </w:rPr>
        <w:t>1</w:t>
      </w:r>
      <w:r>
        <w:t xml:space="preserve">、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r>
        <w:rPr>
          <w:rFonts w:ascii="Times New Roman" w:hAnsi="Times New Roman" w:eastAsia="Times New Roman" w:cs="Times New Roman"/>
        </w:rPr>
        <w:t>2</w:t>
      </w:r>
      <w:r>
        <w:t>、</w:t>
      </w:r>
      <w:r>
        <w:rPr>
          <w:rFonts w:ascii="Times New Roman" w:hAnsi="Times New Roman" w:eastAsia="Times New Roman" w:cs="Times New Roman"/>
        </w:rPr>
        <w:t>“</w:t>
      </w:r>
      <w:r>
        <w:t>三公</w:t>
      </w:r>
      <w:r>
        <w:rPr>
          <w:rFonts w:ascii="Times New Roman" w:hAnsi="Times New Roman" w:eastAsia="Times New Roman" w:cs="Times New Roman"/>
        </w:rPr>
        <w:t>”</w:t>
      </w:r>
      <w:r>
        <w:t>经费：纳入省财政预算管理的</w:t>
      </w:r>
      <w:r>
        <w:rPr>
          <w:rFonts w:ascii="Times New Roman" w:hAnsi="Times New Roman" w:eastAsia="Times New Roman" w:cs="Times New Roman"/>
        </w:rPr>
        <w:t>“</w:t>
      </w:r>
      <w:r>
        <w:t>三公</w:t>
      </w:r>
      <w:r>
        <w:rPr>
          <w:rFonts w:ascii="Times New Roman" w:hAnsi="Times New Roman" w:eastAsia="Times New Roman" w:cs="Times New Roman"/>
        </w:rPr>
        <w:t>“</w:t>
      </w:r>
      <w:r>
        <w:t>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w:t>
      </w:r>
      <w:r>
        <w:rPr>
          <w:rFonts w:hint="eastAsia"/>
          <w:lang w:val="en-US" w:eastAsia="zh-CN"/>
        </w:rPr>
        <w:t>务</w:t>
      </w:r>
      <w:r>
        <w:t>费等支出。</w:t>
      </w:r>
      <w:r>
        <w:br w:type="page"/>
      </w:r>
    </w:p>
    <w:p>
      <w:pPr>
        <w:spacing w:after="0" w:line="259" w:lineRule="auto"/>
        <w:ind w:left="2090" w:right="0" w:firstLine="0"/>
      </w:pPr>
      <w:r>
        <w:rPr>
          <w:rFonts w:ascii="微软雅黑" w:hAnsi="微软雅黑" w:eastAsia="微软雅黑" w:cs="微软雅黑"/>
          <w:sz w:val="36"/>
        </w:rPr>
        <w:t xml:space="preserve">第二部分 </w:t>
      </w:r>
      <w:r>
        <w:rPr>
          <w:rFonts w:ascii="Times New Roman" w:hAnsi="Times New Roman" w:eastAsia="Times New Roman" w:cs="Times New Roman"/>
          <w:sz w:val="36"/>
        </w:rPr>
        <w:t>2021</w:t>
      </w:r>
      <w:r>
        <w:rPr>
          <w:rFonts w:ascii="微软雅黑" w:hAnsi="微软雅黑" w:eastAsia="微软雅黑" w:cs="微软雅黑"/>
          <w:sz w:val="36"/>
        </w:rPr>
        <w:t>年部门预算表</w:t>
      </w:r>
    </w:p>
    <w:sectPr>
      <w:footerReference r:id="rId5" w:type="first"/>
      <w:footerReference r:id="rId3" w:type="default"/>
      <w:footerReference r:id="rId4" w:type="even"/>
      <w:pgSz w:w="11907" w:h="16840"/>
      <w:pgMar w:top="1300" w:right="1626" w:bottom="1376" w:left="1798" w:header="720" w:footer="994"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after="0" w:line="259" w:lineRule="auto"/>
      <w:ind w:left="0" w:right="171" w:firstLine="0"/>
      <w:jc w:val="center"/>
    </w:pPr>
    <w:r>
      <w:fldChar w:fldCharType="begin"/>
    </w:r>
    <w:r>
      <w:instrText xml:space="preserve"> PAGE   \* MERGEFORMAT </w:instrText>
    </w:r>
    <w:r>
      <w:fldChar w:fldCharType="separate"/>
    </w:r>
    <w:r>
      <w:rPr>
        <w:rFonts w:ascii="Times New Roman" w:hAnsi="Times New Roman" w:eastAsia="Times New Roman" w:cs="Times New Roman"/>
        <w:sz w:val="18"/>
      </w:rPr>
      <w:t>1</w:t>
    </w:r>
    <w:r>
      <w:rPr>
        <w:rFonts w:ascii="Times New Roman" w:hAnsi="Times New Roman" w:eastAsia="Times New Roman" w:cs="Times New Roman"/>
        <w:sz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after="0" w:line="259" w:lineRule="auto"/>
      <w:ind w:left="0" w:right="171" w:firstLine="0"/>
      <w:jc w:val="center"/>
    </w:pPr>
    <w:r>
      <w:fldChar w:fldCharType="begin"/>
    </w:r>
    <w:r>
      <w:instrText xml:space="preserve"> PAGE   \* MERGEFORMAT </w:instrText>
    </w:r>
    <w:r>
      <w:fldChar w:fldCharType="separate"/>
    </w:r>
    <w:r>
      <w:rPr>
        <w:rFonts w:ascii="Times New Roman" w:hAnsi="Times New Roman" w:eastAsia="Times New Roman" w:cs="Times New Roman"/>
        <w:sz w:val="18"/>
      </w:rPr>
      <w:t>1</w:t>
    </w:r>
    <w:r>
      <w:rPr>
        <w:rFonts w:ascii="Times New Roman" w:hAnsi="Times New Roman" w:eastAsia="Times New Roman" w:cs="Times New Roman"/>
        <w:sz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after="0" w:line="259" w:lineRule="auto"/>
      <w:ind w:left="0" w:right="171" w:firstLine="0"/>
      <w:jc w:val="center"/>
    </w:pPr>
    <w:r>
      <w:fldChar w:fldCharType="begin"/>
    </w:r>
    <w:r>
      <w:instrText xml:space="preserve"> PAGE   \* MERGEFORMAT </w:instrText>
    </w:r>
    <w:r>
      <w:fldChar w:fldCharType="separate"/>
    </w:r>
    <w:r>
      <w:rPr>
        <w:rFonts w:ascii="Times New Roman" w:hAnsi="Times New Roman" w:eastAsia="Times New Roman" w:cs="Times New Roman"/>
        <w:sz w:val="18"/>
      </w:rPr>
      <w:t>1</w:t>
    </w:r>
    <w:r>
      <w:rPr>
        <w:rFonts w:ascii="Times New Roman" w:hAnsi="Times New Roman" w:eastAsia="Times New Roman" w:cs="Times New Roman"/>
        <w:sz w:val="18"/>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7CEF852"/>
    <w:multiLevelType w:val="singleLevel"/>
    <w:tmpl w:val="97CEF852"/>
    <w:lvl w:ilvl="0" w:tentative="0">
      <w:start w:val="2"/>
      <w:numFmt w:val="chineseCounting"/>
      <w:suff w:val="nothing"/>
      <w:lvlText w:val="%1、"/>
      <w:lvlJc w:val="left"/>
      <w:rPr>
        <w:rFonts w:hint="eastAsia"/>
      </w:rPr>
    </w:lvl>
  </w:abstractNum>
  <w:abstractNum w:abstractNumId="1">
    <w:nsid w:val="0CEC756D"/>
    <w:multiLevelType w:val="multilevel"/>
    <w:tmpl w:val="0CEC756D"/>
    <w:lvl w:ilvl="0" w:tentative="0">
      <w:start w:val="1"/>
      <w:numFmt w:val="ideographDigital"/>
      <w:lvlText w:val="（%1）"/>
      <w:lvlJc w:val="left"/>
      <w:pPr>
        <w:ind w:left="0"/>
      </w:pPr>
      <w:rPr>
        <w:rFonts w:ascii="楷体" w:hAnsi="楷体" w:eastAsia="楷体" w:cs="楷体"/>
        <w:b w:val="0"/>
        <w:i w:val="0"/>
        <w:strike w:val="0"/>
        <w:dstrike w:val="0"/>
        <w:color w:val="000000"/>
        <w:sz w:val="32"/>
        <w:szCs w:val="32"/>
        <w:u w:val="none" w:color="000000"/>
        <w:shd w:val="clear" w:color="auto" w:fill="auto"/>
        <w:vertAlign w:val="baseline"/>
      </w:rPr>
    </w:lvl>
    <w:lvl w:ilvl="1" w:tentative="0">
      <w:start w:val="1"/>
      <w:numFmt w:val="lowerLetter"/>
      <w:lvlText w:val="%2"/>
      <w:lvlJc w:val="left"/>
      <w:pPr>
        <w:ind w:left="1740"/>
      </w:pPr>
      <w:rPr>
        <w:rFonts w:ascii="楷体" w:hAnsi="楷体" w:eastAsia="楷体" w:cs="楷体"/>
        <w:b w:val="0"/>
        <w:i w:val="0"/>
        <w:strike w:val="0"/>
        <w:dstrike w:val="0"/>
        <w:color w:val="000000"/>
        <w:sz w:val="32"/>
        <w:szCs w:val="32"/>
        <w:u w:val="none" w:color="000000"/>
        <w:shd w:val="clear" w:color="auto" w:fill="auto"/>
        <w:vertAlign w:val="baseline"/>
      </w:rPr>
    </w:lvl>
    <w:lvl w:ilvl="2" w:tentative="0">
      <w:start w:val="1"/>
      <w:numFmt w:val="lowerRoman"/>
      <w:lvlText w:val="%3"/>
      <w:lvlJc w:val="left"/>
      <w:pPr>
        <w:ind w:left="2460"/>
      </w:pPr>
      <w:rPr>
        <w:rFonts w:ascii="楷体" w:hAnsi="楷体" w:eastAsia="楷体" w:cs="楷体"/>
        <w:b w:val="0"/>
        <w:i w:val="0"/>
        <w:strike w:val="0"/>
        <w:dstrike w:val="0"/>
        <w:color w:val="000000"/>
        <w:sz w:val="32"/>
        <w:szCs w:val="32"/>
        <w:u w:val="none" w:color="000000"/>
        <w:shd w:val="clear" w:color="auto" w:fill="auto"/>
        <w:vertAlign w:val="baseline"/>
      </w:rPr>
    </w:lvl>
    <w:lvl w:ilvl="3" w:tentative="0">
      <w:start w:val="1"/>
      <w:numFmt w:val="decimal"/>
      <w:lvlText w:val="%4"/>
      <w:lvlJc w:val="left"/>
      <w:pPr>
        <w:ind w:left="3180"/>
      </w:pPr>
      <w:rPr>
        <w:rFonts w:ascii="楷体" w:hAnsi="楷体" w:eastAsia="楷体" w:cs="楷体"/>
        <w:b w:val="0"/>
        <w:i w:val="0"/>
        <w:strike w:val="0"/>
        <w:dstrike w:val="0"/>
        <w:color w:val="000000"/>
        <w:sz w:val="32"/>
        <w:szCs w:val="32"/>
        <w:u w:val="none" w:color="000000"/>
        <w:shd w:val="clear" w:color="auto" w:fill="auto"/>
        <w:vertAlign w:val="baseline"/>
      </w:rPr>
    </w:lvl>
    <w:lvl w:ilvl="4" w:tentative="0">
      <w:start w:val="1"/>
      <w:numFmt w:val="lowerLetter"/>
      <w:lvlText w:val="%5"/>
      <w:lvlJc w:val="left"/>
      <w:pPr>
        <w:ind w:left="3900"/>
      </w:pPr>
      <w:rPr>
        <w:rFonts w:ascii="楷体" w:hAnsi="楷体" w:eastAsia="楷体" w:cs="楷体"/>
        <w:b w:val="0"/>
        <w:i w:val="0"/>
        <w:strike w:val="0"/>
        <w:dstrike w:val="0"/>
        <w:color w:val="000000"/>
        <w:sz w:val="32"/>
        <w:szCs w:val="32"/>
        <w:u w:val="none" w:color="000000"/>
        <w:shd w:val="clear" w:color="auto" w:fill="auto"/>
        <w:vertAlign w:val="baseline"/>
      </w:rPr>
    </w:lvl>
    <w:lvl w:ilvl="5" w:tentative="0">
      <w:start w:val="1"/>
      <w:numFmt w:val="lowerRoman"/>
      <w:lvlText w:val="%6"/>
      <w:lvlJc w:val="left"/>
      <w:pPr>
        <w:ind w:left="4620"/>
      </w:pPr>
      <w:rPr>
        <w:rFonts w:ascii="楷体" w:hAnsi="楷体" w:eastAsia="楷体" w:cs="楷体"/>
        <w:b w:val="0"/>
        <w:i w:val="0"/>
        <w:strike w:val="0"/>
        <w:dstrike w:val="0"/>
        <w:color w:val="000000"/>
        <w:sz w:val="32"/>
        <w:szCs w:val="32"/>
        <w:u w:val="none" w:color="000000"/>
        <w:shd w:val="clear" w:color="auto" w:fill="auto"/>
        <w:vertAlign w:val="baseline"/>
      </w:rPr>
    </w:lvl>
    <w:lvl w:ilvl="6" w:tentative="0">
      <w:start w:val="1"/>
      <w:numFmt w:val="decimal"/>
      <w:lvlText w:val="%7"/>
      <w:lvlJc w:val="left"/>
      <w:pPr>
        <w:ind w:left="5340"/>
      </w:pPr>
      <w:rPr>
        <w:rFonts w:ascii="楷体" w:hAnsi="楷体" w:eastAsia="楷体" w:cs="楷体"/>
        <w:b w:val="0"/>
        <w:i w:val="0"/>
        <w:strike w:val="0"/>
        <w:dstrike w:val="0"/>
        <w:color w:val="000000"/>
        <w:sz w:val="32"/>
        <w:szCs w:val="32"/>
        <w:u w:val="none" w:color="000000"/>
        <w:shd w:val="clear" w:color="auto" w:fill="auto"/>
        <w:vertAlign w:val="baseline"/>
      </w:rPr>
    </w:lvl>
    <w:lvl w:ilvl="7" w:tentative="0">
      <w:start w:val="1"/>
      <w:numFmt w:val="lowerLetter"/>
      <w:lvlText w:val="%8"/>
      <w:lvlJc w:val="left"/>
      <w:pPr>
        <w:ind w:left="6060"/>
      </w:pPr>
      <w:rPr>
        <w:rFonts w:ascii="楷体" w:hAnsi="楷体" w:eastAsia="楷体" w:cs="楷体"/>
        <w:b w:val="0"/>
        <w:i w:val="0"/>
        <w:strike w:val="0"/>
        <w:dstrike w:val="0"/>
        <w:color w:val="000000"/>
        <w:sz w:val="32"/>
        <w:szCs w:val="32"/>
        <w:u w:val="none" w:color="000000"/>
        <w:shd w:val="clear" w:color="auto" w:fill="auto"/>
        <w:vertAlign w:val="baseline"/>
      </w:rPr>
    </w:lvl>
    <w:lvl w:ilvl="8" w:tentative="0">
      <w:start w:val="1"/>
      <w:numFmt w:val="lowerRoman"/>
      <w:lvlText w:val="%9"/>
      <w:lvlJc w:val="left"/>
      <w:pPr>
        <w:ind w:left="6780"/>
      </w:pPr>
      <w:rPr>
        <w:rFonts w:ascii="楷体" w:hAnsi="楷体" w:eastAsia="楷体" w:cs="楷体"/>
        <w:b w:val="0"/>
        <w:i w:val="0"/>
        <w:strike w:val="0"/>
        <w:dstrike w:val="0"/>
        <w:color w:val="000000"/>
        <w:sz w:val="32"/>
        <w:szCs w:val="32"/>
        <w:u w:val="none" w:color="000000"/>
        <w:shd w:val="clear" w:color="auto" w:fill="auto"/>
        <w:vertAlign w:val="baseline"/>
      </w:rPr>
    </w:lvl>
  </w:abstractNum>
  <w:abstractNum w:abstractNumId="2">
    <w:nsid w:val="2B0B7AC6"/>
    <w:multiLevelType w:val="multilevel"/>
    <w:tmpl w:val="2B0B7AC6"/>
    <w:lvl w:ilvl="0" w:tentative="0">
      <w:start w:val="4"/>
      <w:numFmt w:val="ideographDigital"/>
      <w:lvlText w:val="（%1）"/>
      <w:lvlJc w:val="left"/>
      <w:pPr>
        <w:ind w:left="0"/>
      </w:pPr>
      <w:rPr>
        <w:rFonts w:ascii="楷体" w:hAnsi="楷体" w:eastAsia="楷体" w:cs="楷体"/>
        <w:b w:val="0"/>
        <w:i w:val="0"/>
        <w:strike w:val="0"/>
        <w:dstrike w:val="0"/>
        <w:color w:val="000000"/>
        <w:sz w:val="32"/>
        <w:szCs w:val="32"/>
        <w:u w:val="none" w:color="000000"/>
        <w:shd w:val="clear" w:color="auto" w:fill="auto"/>
        <w:vertAlign w:val="baseline"/>
      </w:rPr>
    </w:lvl>
    <w:lvl w:ilvl="1" w:tentative="0">
      <w:start w:val="1"/>
      <w:numFmt w:val="lowerLetter"/>
      <w:lvlText w:val="%2"/>
      <w:lvlJc w:val="left"/>
      <w:pPr>
        <w:ind w:left="1670"/>
      </w:pPr>
      <w:rPr>
        <w:rFonts w:ascii="楷体" w:hAnsi="楷体" w:eastAsia="楷体" w:cs="楷体"/>
        <w:b w:val="0"/>
        <w:i w:val="0"/>
        <w:strike w:val="0"/>
        <w:dstrike w:val="0"/>
        <w:color w:val="000000"/>
        <w:sz w:val="32"/>
        <w:szCs w:val="32"/>
        <w:u w:val="none" w:color="000000"/>
        <w:shd w:val="clear" w:color="auto" w:fill="auto"/>
        <w:vertAlign w:val="baseline"/>
      </w:rPr>
    </w:lvl>
    <w:lvl w:ilvl="2" w:tentative="0">
      <w:start w:val="1"/>
      <w:numFmt w:val="lowerRoman"/>
      <w:lvlText w:val="%3"/>
      <w:lvlJc w:val="left"/>
      <w:pPr>
        <w:ind w:left="2390"/>
      </w:pPr>
      <w:rPr>
        <w:rFonts w:ascii="楷体" w:hAnsi="楷体" w:eastAsia="楷体" w:cs="楷体"/>
        <w:b w:val="0"/>
        <w:i w:val="0"/>
        <w:strike w:val="0"/>
        <w:dstrike w:val="0"/>
        <w:color w:val="000000"/>
        <w:sz w:val="32"/>
        <w:szCs w:val="32"/>
        <w:u w:val="none" w:color="000000"/>
        <w:shd w:val="clear" w:color="auto" w:fill="auto"/>
        <w:vertAlign w:val="baseline"/>
      </w:rPr>
    </w:lvl>
    <w:lvl w:ilvl="3" w:tentative="0">
      <w:start w:val="1"/>
      <w:numFmt w:val="decimal"/>
      <w:lvlText w:val="%4"/>
      <w:lvlJc w:val="left"/>
      <w:pPr>
        <w:ind w:left="3110"/>
      </w:pPr>
      <w:rPr>
        <w:rFonts w:ascii="楷体" w:hAnsi="楷体" w:eastAsia="楷体" w:cs="楷体"/>
        <w:b w:val="0"/>
        <w:i w:val="0"/>
        <w:strike w:val="0"/>
        <w:dstrike w:val="0"/>
        <w:color w:val="000000"/>
        <w:sz w:val="32"/>
        <w:szCs w:val="32"/>
        <w:u w:val="none" w:color="000000"/>
        <w:shd w:val="clear" w:color="auto" w:fill="auto"/>
        <w:vertAlign w:val="baseline"/>
      </w:rPr>
    </w:lvl>
    <w:lvl w:ilvl="4" w:tentative="0">
      <w:start w:val="1"/>
      <w:numFmt w:val="lowerLetter"/>
      <w:lvlText w:val="%5"/>
      <w:lvlJc w:val="left"/>
      <w:pPr>
        <w:ind w:left="3830"/>
      </w:pPr>
      <w:rPr>
        <w:rFonts w:ascii="楷体" w:hAnsi="楷体" w:eastAsia="楷体" w:cs="楷体"/>
        <w:b w:val="0"/>
        <w:i w:val="0"/>
        <w:strike w:val="0"/>
        <w:dstrike w:val="0"/>
        <w:color w:val="000000"/>
        <w:sz w:val="32"/>
        <w:szCs w:val="32"/>
        <w:u w:val="none" w:color="000000"/>
        <w:shd w:val="clear" w:color="auto" w:fill="auto"/>
        <w:vertAlign w:val="baseline"/>
      </w:rPr>
    </w:lvl>
    <w:lvl w:ilvl="5" w:tentative="0">
      <w:start w:val="1"/>
      <w:numFmt w:val="lowerRoman"/>
      <w:lvlText w:val="%6"/>
      <w:lvlJc w:val="left"/>
      <w:pPr>
        <w:ind w:left="4550"/>
      </w:pPr>
      <w:rPr>
        <w:rFonts w:ascii="楷体" w:hAnsi="楷体" w:eastAsia="楷体" w:cs="楷体"/>
        <w:b w:val="0"/>
        <w:i w:val="0"/>
        <w:strike w:val="0"/>
        <w:dstrike w:val="0"/>
        <w:color w:val="000000"/>
        <w:sz w:val="32"/>
        <w:szCs w:val="32"/>
        <w:u w:val="none" w:color="000000"/>
        <w:shd w:val="clear" w:color="auto" w:fill="auto"/>
        <w:vertAlign w:val="baseline"/>
      </w:rPr>
    </w:lvl>
    <w:lvl w:ilvl="6" w:tentative="0">
      <w:start w:val="1"/>
      <w:numFmt w:val="decimal"/>
      <w:lvlText w:val="%7"/>
      <w:lvlJc w:val="left"/>
      <w:pPr>
        <w:ind w:left="5270"/>
      </w:pPr>
      <w:rPr>
        <w:rFonts w:ascii="楷体" w:hAnsi="楷体" w:eastAsia="楷体" w:cs="楷体"/>
        <w:b w:val="0"/>
        <w:i w:val="0"/>
        <w:strike w:val="0"/>
        <w:dstrike w:val="0"/>
        <w:color w:val="000000"/>
        <w:sz w:val="32"/>
        <w:szCs w:val="32"/>
        <w:u w:val="none" w:color="000000"/>
        <w:shd w:val="clear" w:color="auto" w:fill="auto"/>
        <w:vertAlign w:val="baseline"/>
      </w:rPr>
    </w:lvl>
    <w:lvl w:ilvl="7" w:tentative="0">
      <w:start w:val="1"/>
      <w:numFmt w:val="lowerLetter"/>
      <w:lvlText w:val="%8"/>
      <w:lvlJc w:val="left"/>
      <w:pPr>
        <w:ind w:left="5990"/>
      </w:pPr>
      <w:rPr>
        <w:rFonts w:ascii="楷体" w:hAnsi="楷体" w:eastAsia="楷体" w:cs="楷体"/>
        <w:b w:val="0"/>
        <w:i w:val="0"/>
        <w:strike w:val="0"/>
        <w:dstrike w:val="0"/>
        <w:color w:val="000000"/>
        <w:sz w:val="32"/>
        <w:szCs w:val="32"/>
        <w:u w:val="none" w:color="000000"/>
        <w:shd w:val="clear" w:color="auto" w:fill="auto"/>
        <w:vertAlign w:val="baseline"/>
      </w:rPr>
    </w:lvl>
    <w:lvl w:ilvl="8" w:tentative="0">
      <w:start w:val="1"/>
      <w:numFmt w:val="lowerRoman"/>
      <w:lvlText w:val="%9"/>
      <w:lvlJc w:val="left"/>
      <w:pPr>
        <w:ind w:left="6710"/>
      </w:pPr>
      <w:rPr>
        <w:rFonts w:ascii="楷体" w:hAnsi="楷体" w:eastAsia="楷体" w:cs="楷体"/>
        <w:b w:val="0"/>
        <w:i w:val="0"/>
        <w:strike w:val="0"/>
        <w:dstrike w:val="0"/>
        <w:color w:val="000000"/>
        <w:sz w:val="32"/>
        <w:szCs w:val="32"/>
        <w:u w:val="none" w:color="000000"/>
        <w:shd w:val="clear" w:color="auto" w:fill="auto"/>
        <w:vertAlign w:val="baseline"/>
      </w:rPr>
    </w:lvl>
  </w:abstractNum>
  <w:abstractNum w:abstractNumId="3">
    <w:nsid w:val="36C85219"/>
    <w:multiLevelType w:val="multilevel"/>
    <w:tmpl w:val="36C85219"/>
    <w:lvl w:ilvl="0" w:tentative="0">
      <w:start w:val="1"/>
      <w:numFmt w:val="decimal"/>
      <w:lvlText w:val="%1、"/>
      <w:lvlJc w:val="left"/>
      <w:pPr>
        <w:ind w:left="1109"/>
      </w:pPr>
      <w:rPr>
        <w:rFonts w:ascii="Times New Roman" w:hAnsi="Times New Roman" w:eastAsia="Times New Roman" w:cs="Times New Roman"/>
        <w:b w:val="0"/>
        <w:i w:val="0"/>
        <w:strike w:val="0"/>
        <w:dstrike w:val="0"/>
        <w:color w:val="000000"/>
        <w:sz w:val="32"/>
        <w:szCs w:val="32"/>
        <w:u w:val="none" w:color="000000"/>
        <w:shd w:val="clear" w:color="auto" w:fill="auto"/>
        <w:vertAlign w:val="baseline"/>
      </w:rPr>
    </w:lvl>
    <w:lvl w:ilvl="1" w:tentative="0">
      <w:start w:val="1"/>
      <w:numFmt w:val="lowerLetter"/>
      <w:lvlText w:val="%2"/>
      <w:lvlJc w:val="left"/>
      <w:pPr>
        <w:ind w:left="1714"/>
      </w:pPr>
      <w:rPr>
        <w:rFonts w:ascii="Times New Roman" w:hAnsi="Times New Roman" w:eastAsia="Times New Roman" w:cs="Times New Roman"/>
        <w:b w:val="0"/>
        <w:i w:val="0"/>
        <w:strike w:val="0"/>
        <w:dstrike w:val="0"/>
        <w:color w:val="000000"/>
        <w:sz w:val="32"/>
        <w:szCs w:val="32"/>
        <w:u w:val="none" w:color="000000"/>
        <w:shd w:val="clear" w:color="auto" w:fill="auto"/>
        <w:vertAlign w:val="baseline"/>
      </w:rPr>
    </w:lvl>
    <w:lvl w:ilvl="2" w:tentative="0">
      <w:start w:val="1"/>
      <w:numFmt w:val="lowerRoman"/>
      <w:lvlText w:val="%3"/>
      <w:lvlJc w:val="left"/>
      <w:pPr>
        <w:ind w:left="2434"/>
      </w:pPr>
      <w:rPr>
        <w:rFonts w:ascii="Times New Roman" w:hAnsi="Times New Roman" w:eastAsia="Times New Roman" w:cs="Times New Roman"/>
        <w:b w:val="0"/>
        <w:i w:val="0"/>
        <w:strike w:val="0"/>
        <w:dstrike w:val="0"/>
        <w:color w:val="000000"/>
        <w:sz w:val="32"/>
        <w:szCs w:val="32"/>
        <w:u w:val="none" w:color="000000"/>
        <w:shd w:val="clear" w:color="auto" w:fill="auto"/>
        <w:vertAlign w:val="baseline"/>
      </w:rPr>
    </w:lvl>
    <w:lvl w:ilvl="3" w:tentative="0">
      <w:start w:val="1"/>
      <w:numFmt w:val="decimal"/>
      <w:lvlText w:val="%4"/>
      <w:lvlJc w:val="left"/>
      <w:pPr>
        <w:ind w:left="3154"/>
      </w:pPr>
      <w:rPr>
        <w:rFonts w:ascii="Times New Roman" w:hAnsi="Times New Roman" w:eastAsia="Times New Roman" w:cs="Times New Roman"/>
        <w:b w:val="0"/>
        <w:i w:val="0"/>
        <w:strike w:val="0"/>
        <w:dstrike w:val="0"/>
        <w:color w:val="000000"/>
        <w:sz w:val="32"/>
        <w:szCs w:val="32"/>
        <w:u w:val="none" w:color="000000"/>
        <w:shd w:val="clear" w:color="auto" w:fill="auto"/>
        <w:vertAlign w:val="baseline"/>
      </w:rPr>
    </w:lvl>
    <w:lvl w:ilvl="4" w:tentative="0">
      <w:start w:val="1"/>
      <w:numFmt w:val="lowerLetter"/>
      <w:lvlText w:val="%5"/>
      <w:lvlJc w:val="left"/>
      <w:pPr>
        <w:ind w:left="3874"/>
      </w:pPr>
      <w:rPr>
        <w:rFonts w:ascii="Times New Roman" w:hAnsi="Times New Roman" w:eastAsia="Times New Roman" w:cs="Times New Roman"/>
        <w:b w:val="0"/>
        <w:i w:val="0"/>
        <w:strike w:val="0"/>
        <w:dstrike w:val="0"/>
        <w:color w:val="000000"/>
        <w:sz w:val="32"/>
        <w:szCs w:val="32"/>
        <w:u w:val="none" w:color="000000"/>
        <w:shd w:val="clear" w:color="auto" w:fill="auto"/>
        <w:vertAlign w:val="baseline"/>
      </w:rPr>
    </w:lvl>
    <w:lvl w:ilvl="5" w:tentative="0">
      <w:start w:val="1"/>
      <w:numFmt w:val="lowerRoman"/>
      <w:lvlText w:val="%6"/>
      <w:lvlJc w:val="left"/>
      <w:pPr>
        <w:ind w:left="4594"/>
      </w:pPr>
      <w:rPr>
        <w:rFonts w:ascii="Times New Roman" w:hAnsi="Times New Roman" w:eastAsia="Times New Roman" w:cs="Times New Roman"/>
        <w:b w:val="0"/>
        <w:i w:val="0"/>
        <w:strike w:val="0"/>
        <w:dstrike w:val="0"/>
        <w:color w:val="000000"/>
        <w:sz w:val="32"/>
        <w:szCs w:val="32"/>
        <w:u w:val="none" w:color="000000"/>
        <w:shd w:val="clear" w:color="auto" w:fill="auto"/>
        <w:vertAlign w:val="baseline"/>
      </w:rPr>
    </w:lvl>
    <w:lvl w:ilvl="6" w:tentative="0">
      <w:start w:val="1"/>
      <w:numFmt w:val="decimal"/>
      <w:lvlText w:val="%7"/>
      <w:lvlJc w:val="left"/>
      <w:pPr>
        <w:ind w:left="5314"/>
      </w:pPr>
      <w:rPr>
        <w:rFonts w:ascii="Times New Roman" w:hAnsi="Times New Roman" w:eastAsia="Times New Roman" w:cs="Times New Roman"/>
        <w:b w:val="0"/>
        <w:i w:val="0"/>
        <w:strike w:val="0"/>
        <w:dstrike w:val="0"/>
        <w:color w:val="000000"/>
        <w:sz w:val="32"/>
        <w:szCs w:val="32"/>
        <w:u w:val="none" w:color="000000"/>
        <w:shd w:val="clear" w:color="auto" w:fill="auto"/>
        <w:vertAlign w:val="baseline"/>
      </w:rPr>
    </w:lvl>
    <w:lvl w:ilvl="7" w:tentative="0">
      <w:start w:val="1"/>
      <w:numFmt w:val="lowerLetter"/>
      <w:lvlText w:val="%8"/>
      <w:lvlJc w:val="left"/>
      <w:pPr>
        <w:ind w:left="6034"/>
      </w:pPr>
      <w:rPr>
        <w:rFonts w:ascii="Times New Roman" w:hAnsi="Times New Roman" w:eastAsia="Times New Roman" w:cs="Times New Roman"/>
        <w:b w:val="0"/>
        <w:i w:val="0"/>
        <w:strike w:val="0"/>
        <w:dstrike w:val="0"/>
        <w:color w:val="000000"/>
        <w:sz w:val="32"/>
        <w:szCs w:val="32"/>
        <w:u w:val="none" w:color="000000"/>
        <w:shd w:val="clear" w:color="auto" w:fill="auto"/>
        <w:vertAlign w:val="baseline"/>
      </w:rPr>
    </w:lvl>
    <w:lvl w:ilvl="8" w:tentative="0">
      <w:start w:val="1"/>
      <w:numFmt w:val="lowerRoman"/>
      <w:lvlText w:val="%9"/>
      <w:lvlJc w:val="left"/>
      <w:pPr>
        <w:ind w:left="6754"/>
      </w:pPr>
      <w:rPr>
        <w:rFonts w:ascii="Times New Roman" w:hAnsi="Times New Roman" w:eastAsia="Times New Roman" w:cs="Times New Roman"/>
        <w:b w:val="0"/>
        <w:i w:val="0"/>
        <w:strike w:val="0"/>
        <w:dstrike w:val="0"/>
        <w:color w:val="000000"/>
        <w:sz w:val="32"/>
        <w:szCs w:val="32"/>
        <w:u w:val="none" w:color="000000"/>
        <w:shd w:val="clear" w:color="auto" w:fill="auto"/>
        <w:vertAlign w:val="baseline"/>
      </w:rPr>
    </w:lvl>
  </w:abstractNum>
  <w:abstractNum w:abstractNumId="4">
    <w:nsid w:val="4A334D1A"/>
    <w:multiLevelType w:val="multilevel"/>
    <w:tmpl w:val="4A334D1A"/>
    <w:lvl w:ilvl="0" w:tentative="0">
      <w:start w:val="1"/>
      <w:numFmt w:val="ideographDigital"/>
      <w:lvlText w:val="（%1）"/>
      <w:lvlJc w:val="left"/>
      <w:pPr>
        <w:ind w:left="0"/>
      </w:pPr>
      <w:rPr>
        <w:rFonts w:ascii="楷体" w:hAnsi="楷体" w:eastAsia="楷体" w:cs="楷体"/>
        <w:b w:val="0"/>
        <w:i w:val="0"/>
        <w:strike w:val="0"/>
        <w:dstrike w:val="0"/>
        <w:color w:val="000000"/>
        <w:sz w:val="32"/>
        <w:szCs w:val="32"/>
        <w:u w:val="none" w:color="000000"/>
        <w:shd w:val="clear" w:color="auto" w:fill="auto"/>
        <w:vertAlign w:val="baseline"/>
      </w:rPr>
    </w:lvl>
    <w:lvl w:ilvl="1" w:tentative="0">
      <w:start w:val="1"/>
      <w:numFmt w:val="lowerLetter"/>
      <w:lvlText w:val="%2"/>
      <w:lvlJc w:val="left"/>
      <w:pPr>
        <w:ind w:left="1727"/>
      </w:pPr>
      <w:rPr>
        <w:rFonts w:ascii="楷体" w:hAnsi="楷体" w:eastAsia="楷体" w:cs="楷体"/>
        <w:b w:val="0"/>
        <w:i w:val="0"/>
        <w:strike w:val="0"/>
        <w:dstrike w:val="0"/>
        <w:color w:val="000000"/>
        <w:sz w:val="32"/>
        <w:szCs w:val="32"/>
        <w:u w:val="none" w:color="000000"/>
        <w:shd w:val="clear" w:color="auto" w:fill="auto"/>
        <w:vertAlign w:val="baseline"/>
      </w:rPr>
    </w:lvl>
    <w:lvl w:ilvl="2" w:tentative="0">
      <w:start w:val="1"/>
      <w:numFmt w:val="lowerRoman"/>
      <w:lvlText w:val="%3"/>
      <w:lvlJc w:val="left"/>
      <w:pPr>
        <w:ind w:left="2447"/>
      </w:pPr>
      <w:rPr>
        <w:rFonts w:ascii="楷体" w:hAnsi="楷体" w:eastAsia="楷体" w:cs="楷体"/>
        <w:b w:val="0"/>
        <w:i w:val="0"/>
        <w:strike w:val="0"/>
        <w:dstrike w:val="0"/>
        <w:color w:val="000000"/>
        <w:sz w:val="32"/>
        <w:szCs w:val="32"/>
        <w:u w:val="none" w:color="000000"/>
        <w:shd w:val="clear" w:color="auto" w:fill="auto"/>
        <w:vertAlign w:val="baseline"/>
      </w:rPr>
    </w:lvl>
    <w:lvl w:ilvl="3" w:tentative="0">
      <w:start w:val="1"/>
      <w:numFmt w:val="decimal"/>
      <w:lvlText w:val="%4"/>
      <w:lvlJc w:val="left"/>
      <w:pPr>
        <w:ind w:left="3167"/>
      </w:pPr>
      <w:rPr>
        <w:rFonts w:ascii="楷体" w:hAnsi="楷体" w:eastAsia="楷体" w:cs="楷体"/>
        <w:b w:val="0"/>
        <w:i w:val="0"/>
        <w:strike w:val="0"/>
        <w:dstrike w:val="0"/>
        <w:color w:val="000000"/>
        <w:sz w:val="32"/>
        <w:szCs w:val="32"/>
        <w:u w:val="none" w:color="000000"/>
        <w:shd w:val="clear" w:color="auto" w:fill="auto"/>
        <w:vertAlign w:val="baseline"/>
      </w:rPr>
    </w:lvl>
    <w:lvl w:ilvl="4" w:tentative="0">
      <w:start w:val="1"/>
      <w:numFmt w:val="lowerLetter"/>
      <w:lvlText w:val="%5"/>
      <w:lvlJc w:val="left"/>
      <w:pPr>
        <w:ind w:left="3887"/>
      </w:pPr>
      <w:rPr>
        <w:rFonts w:ascii="楷体" w:hAnsi="楷体" w:eastAsia="楷体" w:cs="楷体"/>
        <w:b w:val="0"/>
        <w:i w:val="0"/>
        <w:strike w:val="0"/>
        <w:dstrike w:val="0"/>
        <w:color w:val="000000"/>
        <w:sz w:val="32"/>
        <w:szCs w:val="32"/>
        <w:u w:val="none" w:color="000000"/>
        <w:shd w:val="clear" w:color="auto" w:fill="auto"/>
        <w:vertAlign w:val="baseline"/>
      </w:rPr>
    </w:lvl>
    <w:lvl w:ilvl="5" w:tentative="0">
      <w:start w:val="1"/>
      <w:numFmt w:val="lowerRoman"/>
      <w:lvlText w:val="%6"/>
      <w:lvlJc w:val="left"/>
      <w:pPr>
        <w:ind w:left="4607"/>
      </w:pPr>
      <w:rPr>
        <w:rFonts w:ascii="楷体" w:hAnsi="楷体" w:eastAsia="楷体" w:cs="楷体"/>
        <w:b w:val="0"/>
        <w:i w:val="0"/>
        <w:strike w:val="0"/>
        <w:dstrike w:val="0"/>
        <w:color w:val="000000"/>
        <w:sz w:val="32"/>
        <w:szCs w:val="32"/>
        <w:u w:val="none" w:color="000000"/>
        <w:shd w:val="clear" w:color="auto" w:fill="auto"/>
        <w:vertAlign w:val="baseline"/>
      </w:rPr>
    </w:lvl>
    <w:lvl w:ilvl="6" w:tentative="0">
      <w:start w:val="1"/>
      <w:numFmt w:val="decimal"/>
      <w:lvlText w:val="%7"/>
      <w:lvlJc w:val="left"/>
      <w:pPr>
        <w:ind w:left="5327"/>
      </w:pPr>
      <w:rPr>
        <w:rFonts w:ascii="楷体" w:hAnsi="楷体" w:eastAsia="楷体" w:cs="楷体"/>
        <w:b w:val="0"/>
        <w:i w:val="0"/>
        <w:strike w:val="0"/>
        <w:dstrike w:val="0"/>
        <w:color w:val="000000"/>
        <w:sz w:val="32"/>
        <w:szCs w:val="32"/>
        <w:u w:val="none" w:color="000000"/>
        <w:shd w:val="clear" w:color="auto" w:fill="auto"/>
        <w:vertAlign w:val="baseline"/>
      </w:rPr>
    </w:lvl>
    <w:lvl w:ilvl="7" w:tentative="0">
      <w:start w:val="1"/>
      <w:numFmt w:val="lowerLetter"/>
      <w:lvlText w:val="%8"/>
      <w:lvlJc w:val="left"/>
      <w:pPr>
        <w:ind w:left="6047"/>
      </w:pPr>
      <w:rPr>
        <w:rFonts w:ascii="楷体" w:hAnsi="楷体" w:eastAsia="楷体" w:cs="楷体"/>
        <w:b w:val="0"/>
        <w:i w:val="0"/>
        <w:strike w:val="0"/>
        <w:dstrike w:val="0"/>
        <w:color w:val="000000"/>
        <w:sz w:val="32"/>
        <w:szCs w:val="32"/>
        <w:u w:val="none" w:color="000000"/>
        <w:shd w:val="clear" w:color="auto" w:fill="auto"/>
        <w:vertAlign w:val="baseline"/>
      </w:rPr>
    </w:lvl>
    <w:lvl w:ilvl="8" w:tentative="0">
      <w:start w:val="1"/>
      <w:numFmt w:val="lowerRoman"/>
      <w:lvlText w:val="%9"/>
      <w:lvlJc w:val="left"/>
      <w:pPr>
        <w:ind w:left="6767"/>
      </w:pPr>
      <w:rPr>
        <w:rFonts w:ascii="楷体" w:hAnsi="楷体" w:eastAsia="楷体" w:cs="楷体"/>
        <w:b w:val="0"/>
        <w:i w:val="0"/>
        <w:strike w:val="0"/>
        <w:dstrike w:val="0"/>
        <w:color w:val="000000"/>
        <w:sz w:val="32"/>
        <w:szCs w:val="32"/>
        <w:u w:val="none" w:color="000000"/>
        <w:shd w:val="clear" w:color="auto" w:fill="auto"/>
        <w:vertAlign w:val="baseline"/>
      </w:rPr>
    </w:lvl>
  </w:abstractNum>
  <w:abstractNum w:abstractNumId="5">
    <w:nsid w:val="4EEF5E32"/>
    <w:multiLevelType w:val="multilevel"/>
    <w:tmpl w:val="4EEF5E32"/>
    <w:lvl w:ilvl="0" w:tentative="0">
      <w:start w:val="1"/>
      <w:numFmt w:val="ideographDigital"/>
      <w:lvlText w:val="（%1）"/>
      <w:lvlJc w:val="left"/>
      <w:pPr>
        <w:ind w:left="0"/>
      </w:pPr>
      <w:rPr>
        <w:rFonts w:ascii="楷体" w:hAnsi="楷体" w:eastAsia="楷体" w:cs="楷体"/>
        <w:b w:val="0"/>
        <w:i w:val="0"/>
        <w:strike w:val="0"/>
        <w:dstrike w:val="0"/>
        <w:color w:val="000000"/>
        <w:sz w:val="32"/>
        <w:szCs w:val="32"/>
        <w:u w:val="none" w:color="000000"/>
        <w:shd w:val="clear" w:color="auto" w:fill="auto"/>
        <w:vertAlign w:val="baseline"/>
      </w:rPr>
    </w:lvl>
    <w:lvl w:ilvl="1" w:tentative="0">
      <w:start w:val="1"/>
      <w:numFmt w:val="lowerLetter"/>
      <w:lvlText w:val="%2"/>
      <w:lvlJc w:val="left"/>
      <w:pPr>
        <w:ind w:left="1699"/>
      </w:pPr>
      <w:rPr>
        <w:rFonts w:ascii="楷体" w:hAnsi="楷体" w:eastAsia="楷体" w:cs="楷体"/>
        <w:b w:val="0"/>
        <w:i w:val="0"/>
        <w:strike w:val="0"/>
        <w:dstrike w:val="0"/>
        <w:color w:val="000000"/>
        <w:sz w:val="32"/>
        <w:szCs w:val="32"/>
        <w:u w:val="none" w:color="000000"/>
        <w:shd w:val="clear" w:color="auto" w:fill="auto"/>
        <w:vertAlign w:val="baseline"/>
      </w:rPr>
    </w:lvl>
    <w:lvl w:ilvl="2" w:tentative="0">
      <w:start w:val="1"/>
      <w:numFmt w:val="lowerRoman"/>
      <w:lvlText w:val="%3"/>
      <w:lvlJc w:val="left"/>
      <w:pPr>
        <w:ind w:left="2419"/>
      </w:pPr>
      <w:rPr>
        <w:rFonts w:ascii="楷体" w:hAnsi="楷体" w:eastAsia="楷体" w:cs="楷体"/>
        <w:b w:val="0"/>
        <w:i w:val="0"/>
        <w:strike w:val="0"/>
        <w:dstrike w:val="0"/>
        <w:color w:val="000000"/>
        <w:sz w:val="32"/>
        <w:szCs w:val="32"/>
        <w:u w:val="none" w:color="000000"/>
        <w:shd w:val="clear" w:color="auto" w:fill="auto"/>
        <w:vertAlign w:val="baseline"/>
      </w:rPr>
    </w:lvl>
    <w:lvl w:ilvl="3" w:tentative="0">
      <w:start w:val="1"/>
      <w:numFmt w:val="decimal"/>
      <w:lvlText w:val="%4"/>
      <w:lvlJc w:val="left"/>
      <w:pPr>
        <w:ind w:left="3139"/>
      </w:pPr>
      <w:rPr>
        <w:rFonts w:ascii="楷体" w:hAnsi="楷体" w:eastAsia="楷体" w:cs="楷体"/>
        <w:b w:val="0"/>
        <w:i w:val="0"/>
        <w:strike w:val="0"/>
        <w:dstrike w:val="0"/>
        <w:color w:val="000000"/>
        <w:sz w:val="32"/>
        <w:szCs w:val="32"/>
        <w:u w:val="none" w:color="000000"/>
        <w:shd w:val="clear" w:color="auto" w:fill="auto"/>
        <w:vertAlign w:val="baseline"/>
      </w:rPr>
    </w:lvl>
    <w:lvl w:ilvl="4" w:tentative="0">
      <w:start w:val="1"/>
      <w:numFmt w:val="lowerLetter"/>
      <w:lvlText w:val="%5"/>
      <w:lvlJc w:val="left"/>
      <w:pPr>
        <w:ind w:left="3859"/>
      </w:pPr>
      <w:rPr>
        <w:rFonts w:ascii="楷体" w:hAnsi="楷体" w:eastAsia="楷体" w:cs="楷体"/>
        <w:b w:val="0"/>
        <w:i w:val="0"/>
        <w:strike w:val="0"/>
        <w:dstrike w:val="0"/>
        <w:color w:val="000000"/>
        <w:sz w:val="32"/>
        <w:szCs w:val="32"/>
        <w:u w:val="none" w:color="000000"/>
        <w:shd w:val="clear" w:color="auto" w:fill="auto"/>
        <w:vertAlign w:val="baseline"/>
      </w:rPr>
    </w:lvl>
    <w:lvl w:ilvl="5" w:tentative="0">
      <w:start w:val="1"/>
      <w:numFmt w:val="lowerRoman"/>
      <w:lvlText w:val="%6"/>
      <w:lvlJc w:val="left"/>
      <w:pPr>
        <w:ind w:left="4579"/>
      </w:pPr>
      <w:rPr>
        <w:rFonts w:ascii="楷体" w:hAnsi="楷体" w:eastAsia="楷体" w:cs="楷体"/>
        <w:b w:val="0"/>
        <w:i w:val="0"/>
        <w:strike w:val="0"/>
        <w:dstrike w:val="0"/>
        <w:color w:val="000000"/>
        <w:sz w:val="32"/>
        <w:szCs w:val="32"/>
        <w:u w:val="none" w:color="000000"/>
        <w:shd w:val="clear" w:color="auto" w:fill="auto"/>
        <w:vertAlign w:val="baseline"/>
      </w:rPr>
    </w:lvl>
    <w:lvl w:ilvl="6" w:tentative="0">
      <w:start w:val="1"/>
      <w:numFmt w:val="decimal"/>
      <w:lvlText w:val="%7"/>
      <w:lvlJc w:val="left"/>
      <w:pPr>
        <w:ind w:left="5299"/>
      </w:pPr>
      <w:rPr>
        <w:rFonts w:ascii="楷体" w:hAnsi="楷体" w:eastAsia="楷体" w:cs="楷体"/>
        <w:b w:val="0"/>
        <w:i w:val="0"/>
        <w:strike w:val="0"/>
        <w:dstrike w:val="0"/>
        <w:color w:val="000000"/>
        <w:sz w:val="32"/>
        <w:szCs w:val="32"/>
        <w:u w:val="none" w:color="000000"/>
        <w:shd w:val="clear" w:color="auto" w:fill="auto"/>
        <w:vertAlign w:val="baseline"/>
      </w:rPr>
    </w:lvl>
    <w:lvl w:ilvl="7" w:tentative="0">
      <w:start w:val="1"/>
      <w:numFmt w:val="lowerLetter"/>
      <w:lvlText w:val="%8"/>
      <w:lvlJc w:val="left"/>
      <w:pPr>
        <w:ind w:left="6019"/>
      </w:pPr>
      <w:rPr>
        <w:rFonts w:ascii="楷体" w:hAnsi="楷体" w:eastAsia="楷体" w:cs="楷体"/>
        <w:b w:val="0"/>
        <w:i w:val="0"/>
        <w:strike w:val="0"/>
        <w:dstrike w:val="0"/>
        <w:color w:val="000000"/>
        <w:sz w:val="32"/>
        <w:szCs w:val="32"/>
        <w:u w:val="none" w:color="000000"/>
        <w:shd w:val="clear" w:color="auto" w:fill="auto"/>
        <w:vertAlign w:val="baseline"/>
      </w:rPr>
    </w:lvl>
    <w:lvl w:ilvl="8" w:tentative="0">
      <w:start w:val="1"/>
      <w:numFmt w:val="lowerRoman"/>
      <w:lvlText w:val="%9"/>
      <w:lvlJc w:val="left"/>
      <w:pPr>
        <w:ind w:left="6739"/>
      </w:pPr>
      <w:rPr>
        <w:rFonts w:ascii="楷体" w:hAnsi="楷体" w:eastAsia="楷体" w:cs="楷体"/>
        <w:b w:val="0"/>
        <w:i w:val="0"/>
        <w:strike w:val="0"/>
        <w:dstrike w:val="0"/>
        <w:color w:val="000000"/>
        <w:sz w:val="32"/>
        <w:szCs w:val="32"/>
        <w:u w:val="none" w:color="000000"/>
        <w:shd w:val="clear" w:color="auto" w:fill="auto"/>
        <w:vertAlign w:val="baseline"/>
      </w:rPr>
    </w:lvl>
  </w:abstractNum>
  <w:num w:numId="1">
    <w:abstractNumId w:val="3"/>
  </w:num>
  <w:num w:numId="2">
    <w:abstractNumId w:val="0"/>
  </w:num>
  <w:num w:numId="3">
    <w:abstractNumId w:val="5"/>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2FF"/>
    <w:rsid w:val="001739B4"/>
    <w:rsid w:val="00F862FF"/>
    <w:rsid w:val="00FA3875"/>
    <w:rsid w:val="02E80535"/>
    <w:rsid w:val="0884694F"/>
    <w:rsid w:val="09372B3D"/>
    <w:rsid w:val="0AF27C09"/>
    <w:rsid w:val="103E361D"/>
    <w:rsid w:val="16F4175F"/>
    <w:rsid w:val="17E03149"/>
    <w:rsid w:val="1FEB6B57"/>
    <w:rsid w:val="287D63CD"/>
    <w:rsid w:val="35204BDE"/>
    <w:rsid w:val="38DA6023"/>
    <w:rsid w:val="39B551EF"/>
    <w:rsid w:val="4342581B"/>
    <w:rsid w:val="485A75C3"/>
    <w:rsid w:val="54B66686"/>
    <w:rsid w:val="55F42DFC"/>
    <w:rsid w:val="5A186DF0"/>
    <w:rsid w:val="5A7C2599"/>
    <w:rsid w:val="62865AFF"/>
    <w:rsid w:val="706A5052"/>
    <w:rsid w:val="74FC3A06"/>
    <w:rsid w:val="758860BE"/>
    <w:rsid w:val="77531DEB"/>
    <w:rsid w:val="7FAB6C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5" w:line="358" w:lineRule="auto"/>
      <w:ind w:left="644" w:right="924" w:hanging="10"/>
    </w:pPr>
    <w:rPr>
      <w:rFonts w:ascii="仿宋" w:hAnsi="仿宋" w:eastAsia="仿宋" w:cs="仿宋"/>
      <w:color w:val="000000"/>
      <w:kern w:val="2"/>
      <w:sz w:val="32"/>
      <w:szCs w:val="22"/>
      <w:lang w:val="en-US" w:eastAsia="zh-CN" w:bidi="ar-SA"/>
    </w:rPr>
  </w:style>
  <w:style w:type="paragraph" w:styleId="2">
    <w:name w:val="heading 1"/>
    <w:next w:val="1"/>
    <w:link w:val="6"/>
    <w:qFormat/>
    <w:uiPriority w:val="9"/>
    <w:pPr>
      <w:keepNext/>
      <w:keepLines/>
      <w:spacing w:after="157" w:line="259" w:lineRule="auto"/>
      <w:ind w:left="629" w:hanging="10"/>
      <w:outlineLvl w:val="0"/>
    </w:pPr>
    <w:rPr>
      <w:rFonts w:ascii="楷体" w:hAnsi="楷体" w:eastAsia="楷体" w:cs="楷体"/>
      <w:color w:val="000000"/>
      <w:kern w:val="2"/>
      <w:sz w:val="32"/>
      <w:szCs w:val="22"/>
      <w:lang w:val="en-US" w:eastAsia="zh-CN" w:bidi="ar-SA"/>
    </w:rPr>
  </w:style>
  <w:style w:type="paragraph" w:styleId="3">
    <w:name w:val="heading 2"/>
    <w:next w:val="1"/>
    <w:link w:val="7"/>
    <w:unhideWhenUsed/>
    <w:qFormat/>
    <w:uiPriority w:val="9"/>
    <w:pPr>
      <w:keepNext/>
      <w:keepLines/>
      <w:spacing w:after="157" w:line="259" w:lineRule="auto"/>
      <w:ind w:left="10" w:right="168" w:hanging="10"/>
      <w:outlineLvl w:val="1"/>
    </w:pPr>
    <w:rPr>
      <w:rFonts w:ascii="黑体" w:hAnsi="黑体" w:eastAsia="黑体" w:cs="黑体"/>
      <w:color w:val="000000"/>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character" w:customStyle="1" w:styleId="6">
    <w:name w:val="标题 1 字符"/>
    <w:link w:val="2"/>
    <w:qFormat/>
    <w:uiPriority w:val="0"/>
    <w:rPr>
      <w:rFonts w:ascii="楷体" w:hAnsi="楷体" w:eastAsia="楷体" w:cs="楷体"/>
      <w:color w:val="000000"/>
      <w:sz w:val="32"/>
    </w:rPr>
  </w:style>
  <w:style w:type="character" w:customStyle="1" w:styleId="7">
    <w:name w:val="标题 2 字符"/>
    <w:link w:val="3"/>
    <w:qFormat/>
    <w:uiPriority w:val="0"/>
    <w:rPr>
      <w:rFonts w:ascii="黑体" w:hAnsi="黑体" w:eastAsia="黑体" w:cs="黑体"/>
      <w:color w:val="000000"/>
      <w:sz w:val="32"/>
    </w:r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827</Words>
  <Characters>4715</Characters>
  <Lines>39</Lines>
  <Paragraphs>11</Paragraphs>
  <TotalTime>1</TotalTime>
  <ScaleCrop>false</ScaleCrop>
  <LinksUpToDate>false</LinksUpToDate>
  <CharactersWithSpaces>5531</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2021-04-02T01:45:00Z</dcterms:created>
  <dc:creator>朱娜</dc:creator>
  <cp:lastModifiedBy>Administrator</cp:lastModifiedBy>
  <dcterms:modified xsi:type="dcterms:W3CDTF">2021-04-07T07:25:42Z</dcterms:modified>
  <dc:title>湖南省财政厅处室便函</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y fmtid="{D5CDD505-2E9C-101B-9397-08002B2CF9AE}" pid="3" name="ICV">
    <vt:lpwstr>3F89764C25FF4F6B974795802B5099C7</vt:lpwstr>
  </property>
</Properties>
</file>