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lang w:val="en-US" w:eastAsia="zh-CN"/>
        </w:rPr>
      </w:pPr>
      <w:r>
        <w:rPr>
          <w:sz w:val="44"/>
        </w:rPr>
        <mc:AlternateContent>
          <mc:Choice Requires="wps">
            <w:drawing>
              <wp:anchor distT="0" distB="0" distL="114300" distR="114300" simplePos="0" relativeHeight="251658240" behindDoc="0" locked="0" layoutInCell="1" allowOverlap="1">
                <wp:simplePos x="0" y="0"/>
                <wp:positionH relativeFrom="column">
                  <wp:posOffset>-22860</wp:posOffset>
                </wp:positionH>
                <wp:positionV relativeFrom="paragraph">
                  <wp:posOffset>-472440</wp:posOffset>
                </wp:positionV>
                <wp:extent cx="1972945" cy="462280"/>
                <wp:effectExtent l="4445" t="4445" r="22860" b="9525"/>
                <wp:wrapNone/>
                <wp:docPr id="2" name="文本框 2"/>
                <wp:cNvGraphicFramePr/>
                <a:graphic xmlns:a="http://schemas.openxmlformats.org/drawingml/2006/main">
                  <a:graphicData uri="http://schemas.microsoft.com/office/word/2010/wordprocessingShape">
                    <wps:wsp>
                      <wps:cNvSpPr txBox="1"/>
                      <wps:spPr>
                        <a:xfrm>
                          <a:off x="1247775" y="1697990"/>
                          <a:ext cx="1972945" cy="462280"/>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pPr>
                              <w:pStyle w:val="3"/>
                              <w:keepNext w:val="0"/>
                              <w:keepLines w:val="0"/>
                              <w:widowControl/>
                              <w:suppressLineNumbers w:val="0"/>
                              <w:spacing w:before="0" w:beforeAutospacing="0" w:after="0" w:afterAutospacing="0"/>
                              <w:ind w:left="0" w:right="0"/>
                              <w:jc w:val="both"/>
                              <w:rPr>
                                <w:rFonts w:hint="eastAsia" w:ascii="楷体_GB2312" w:hAnsi="楷体_GB2312" w:eastAsia="楷体_GB2312" w:cs="楷体_GB2312"/>
                                <w:b/>
                                <w:bCs/>
                                <w:color w:val="000000"/>
                                <w:kern w:val="0"/>
                                <w:sz w:val="32"/>
                                <w:szCs w:val="32"/>
                                <w:lang w:val="en-US" w:eastAsia="zh-CN" w:bidi="ar"/>
                              </w:rPr>
                            </w:pPr>
                            <w:r>
                              <w:rPr>
                                <w:rFonts w:hint="eastAsia" w:ascii="楷体_GB2312" w:hAnsi="楷体_GB2312" w:eastAsia="楷体_GB2312" w:cs="楷体_GB2312"/>
                                <w:b/>
                                <w:bCs/>
                                <w:color w:val="000000"/>
                                <w:kern w:val="0"/>
                                <w:sz w:val="32"/>
                                <w:szCs w:val="32"/>
                                <w:lang w:val="en-US" w:eastAsia="zh-CN" w:bidi="ar"/>
                              </w:rPr>
                              <w:t>HNDR-2020-10001</w:t>
                            </w:r>
                          </w:p>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8pt;margin-top:-37.2pt;height:36.4pt;width:155.35pt;z-index:251658240;mso-width-relative:page;mso-height-relative:page;" fillcolor="#FFFFFF [3201]" filled="t" stroked="t" coordsize="21600,21600" o:gfxdata="UEsDBAoAAAAAAIdO4kAAAAAAAAAAAAAAAAAEAAAAZHJzL1BLAwQUAAAACACHTuJA9R801dgAAAAJ&#10;AQAADwAAAGRycy9kb3ducmV2LnhtbE2PTW+DMAyG75P2HyJP2q0NrB1FlNDDpN2mSXTdxzElLqAS&#10;h5IA3b+fd9pOlu1Hrx/nu6vtxISDbx0piJcRCKTKmZZqBYe350UKwgdNRneOUME3etgVtze5zoyb&#10;qcRpH2rBIeQzraAJoc+k9FWDVvul65F4d3KD1YHboZZm0DOH204+RFEirW6JLzS6x6cGq/N+tApe&#10;p9G91x+P1Sd9zaVPT5fyJb0odX8XR1sQAa/hD4ZffVaHgp2ObiTjRadgsUqY5LpZr0EwsIo2MYgj&#10;T+IEZJHL/x8UP1BLAwQUAAAACACHTuJA0qi8m0MCAAB2BAAADgAAAGRycy9lMm9Eb2MueG1srVTB&#10;jtMwEL0j8Q+W7zRtSJtN1XRVuipCWrErFcTZdZwmkuMxttukfAD8AScu3PmufgdjN93tAgeE6MGd&#10;8bw+z7yZ6ey6ayTZC2NrUDkdDYaUCMWhqNU2p+/frV5cUWIdUwWToEROD8LS6/nzZ7NWT0UMFchC&#10;GIIkyk5bndPKOT2NIssr0TA7AC0UBkswDXPomm1UGNYieyOjeDicRC2YQhvgwlq8vTkF6Tzwl6Xg&#10;7q4srXBE5hRzc+E04dz4M5rP2HRrmK5q3qfB/iGLhtUKH32gumGOkZ2pf6Nqam7AQukGHJoIyrLm&#10;ItSA1YyGv1SzrpgWoRYUx+oHmez/o+Vv9/eG1EVOY0oUa7BFx69fjt9+HL9/JrGXp9V2iqi1Rpzr&#10;XkGHbT7fW7z0VXelafw31kN8PE7SNB1TckB7kqVZ1gstOke4B2RpnCUI4IhIJnF8FQDRI5M21r0W&#10;0BBv5NRgI4O+bH9rHWaF0DPEP2xB1sWqljI4ZrtZSkP2DJu+Ch+fMP7kCUwq0uZ08nI8DMxPYvZv&#10;KJBQKuT1Cp2U8JbrNl0v2waKA6pm4DR2VvNVjeXcMuvumcE5w4nE3XF3eJQSMBvoLUoqMJ/+dO/x&#10;2H6MUtLi3ObUftwxIyiRbxQORjZKEj/owUnGaYyOuYxsLiNq1ywBVRrhlmoeTI938myWBpoPuGIL&#10;/yqGmOL4dk7d2Vy60zbhinKxWAQQjrZm7latNffUvicKFjsHZR1652U6adOrh8Md+tMvot+eSz+g&#10;Hv8u5j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9R801dgAAAAJAQAADwAAAAAAAAABACAAAAAi&#10;AAAAZHJzL2Rvd25yZXYueG1sUEsBAhQAFAAAAAgAh07iQNKovJtDAgAAdgQAAA4AAAAAAAAAAQAg&#10;AAAAJwEAAGRycy9lMm9Eb2MueG1sUEsFBgAAAAAGAAYAWQEAANwFAAAAAA==&#10;">
                <v:fill on="t" focussize="0,0"/>
                <v:stroke weight="0.5pt" color="#FFFFFF [3212]" joinstyle="round"/>
                <v:imagedata o:title=""/>
                <o:lock v:ext="edit" aspectratio="f"/>
                <v:textbox>
                  <w:txbxContent>
                    <w:p>
                      <w:pPr>
                        <w:pStyle w:val="3"/>
                        <w:keepNext w:val="0"/>
                        <w:keepLines w:val="0"/>
                        <w:widowControl/>
                        <w:suppressLineNumbers w:val="0"/>
                        <w:spacing w:before="0" w:beforeAutospacing="0" w:after="0" w:afterAutospacing="0"/>
                        <w:ind w:left="0" w:right="0"/>
                        <w:jc w:val="both"/>
                        <w:rPr>
                          <w:rFonts w:hint="eastAsia" w:ascii="楷体_GB2312" w:hAnsi="楷体_GB2312" w:eastAsia="楷体_GB2312" w:cs="楷体_GB2312"/>
                          <w:b/>
                          <w:bCs/>
                          <w:color w:val="000000"/>
                          <w:kern w:val="0"/>
                          <w:sz w:val="32"/>
                          <w:szCs w:val="32"/>
                          <w:lang w:val="en-US" w:eastAsia="zh-CN" w:bidi="ar"/>
                        </w:rPr>
                      </w:pPr>
                      <w:r>
                        <w:rPr>
                          <w:rFonts w:hint="eastAsia" w:ascii="楷体_GB2312" w:hAnsi="楷体_GB2312" w:eastAsia="楷体_GB2312" w:cs="楷体_GB2312"/>
                          <w:b/>
                          <w:bCs/>
                          <w:color w:val="000000"/>
                          <w:kern w:val="0"/>
                          <w:sz w:val="32"/>
                          <w:szCs w:val="32"/>
                          <w:lang w:val="en-US" w:eastAsia="zh-CN" w:bidi="ar"/>
                        </w:rPr>
                        <w:t>HNDR-2020-10001</w:t>
                      </w:r>
                    </w:p>
                    <w:p/>
                  </w:txbxContent>
                </v:textbox>
              </v:shape>
            </w:pict>
          </mc:Fallback>
        </mc:AlternateContent>
      </w:r>
    </w:p>
    <w:p>
      <w:pPr>
        <w:pStyle w:val="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leftChars="0" w:right="0"/>
        <w:textAlignment w:val="auto"/>
        <w:rPr>
          <w:rFonts w:hint="eastAsia" w:ascii="仿宋_GB2312" w:hAnsi="仿宋_GB2312" w:eastAsia="仿宋_GB2312" w:cs="仿宋_GB2312"/>
          <w:b w:val="0"/>
          <w:bCs/>
          <w:sz w:val="32"/>
          <w:szCs w:val="32"/>
          <w:lang w:val="en-US" w:eastAsia="zh-CN"/>
        </w:rPr>
      </w:pPr>
    </w:p>
    <w:p>
      <w:pPr>
        <w:pStyle w:val="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leftChars="0" w:right="0"/>
        <w:textAlignment w:val="auto"/>
        <w:rPr>
          <w:rFonts w:hint="eastAsia" w:ascii="仿宋_GB2312" w:hAnsi="仿宋_GB2312" w:eastAsia="仿宋_GB2312" w:cs="仿宋_GB2312"/>
          <w:b w:val="0"/>
          <w:bCs/>
          <w:sz w:val="32"/>
          <w:szCs w:val="32"/>
          <w:lang w:val="en-US" w:eastAsia="zh-CN"/>
        </w:rPr>
      </w:pPr>
    </w:p>
    <w:p>
      <w:pPr>
        <w:pStyle w:val="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leftChars="0" w:right="0"/>
        <w:textAlignment w:val="auto"/>
        <w:rPr>
          <w:rFonts w:hint="eastAsia" w:ascii="仿宋_GB2312" w:hAnsi="仿宋_GB2312" w:eastAsia="仿宋_GB2312" w:cs="仿宋_GB2312"/>
          <w:b w:val="0"/>
          <w:bCs/>
          <w:sz w:val="32"/>
          <w:szCs w:val="32"/>
          <w:lang w:val="en-US" w:eastAsia="zh-CN"/>
        </w:rPr>
      </w:pPr>
    </w:p>
    <w:p>
      <w:pPr>
        <w:pStyle w:val="3"/>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600" w:lineRule="exact"/>
        <w:ind w:left="0" w:leftChars="0" w:right="0"/>
        <w:textAlignment w:val="auto"/>
        <w:rPr>
          <w:rFonts w:hint="eastAsia" w:ascii="仿宋_GB2312" w:hAnsi="仿宋_GB2312" w:eastAsia="仿宋_GB2312" w:cs="仿宋_GB2312"/>
          <w:b w:val="0"/>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jc w:val="center"/>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清民发〔2020〕33号</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leftChars="0" w:right="0"/>
        <w:jc w:val="center"/>
        <w:textAlignment w:val="auto"/>
        <w:rPr>
          <w:rFonts w:hint="eastAsia" w:ascii="仿宋_GB2312" w:hAnsi="仿宋_GB2312" w:eastAsia="仿宋_GB2312" w:cs="仿宋_GB2312"/>
          <w:color w:val="000000"/>
          <w:kern w:val="0"/>
          <w:sz w:val="32"/>
          <w:szCs w:val="32"/>
          <w:lang w:val="en-US" w:eastAsia="zh-CN" w:bidi="ar"/>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40" w:lineRule="exact"/>
        <w:ind w:left="0" w:leftChars="0" w:right="0"/>
        <w:jc w:val="center"/>
        <w:textAlignment w:val="auto"/>
        <w:rPr>
          <w:rFonts w:hint="eastAsia" w:ascii="仿宋_GB2312" w:hAnsi="仿宋_GB2312" w:eastAsia="仿宋_GB2312" w:cs="仿宋_GB2312"/>
          <w:color w:val="000000"/>
          <w:kern w:val="0"/>
          <w:sz w:val="32"/>
          <w:szCs w:val="32"/>
          <w:lang w:val="en-US" w:eastAsia="zh-CN" w:bidi="ar"/>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r>
        <w:rPr>
          <w:rFonts w:hint="eastAsia" w:ascii="方正小标宋简体" w:hAnsi="方正小标宋简体" w:eastAsia="方正小标宋简体" w:cs="方正小标宋简体"/>
          <w:b/>
          <w:bCs/>
          <w:kern w:val="2"/>
          <w:sz w:val="44"/>
          <w:szCs w:val="44"/>
          <w:lang w:val="en-US" w:eastAsia="zh-CN" w:bidi="ar-SA"/>
        </w:rPr>
        <w:t>衡南县民政局</w:t>
      </w: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r>
        <w:rPr>
          <w:rFonts w:hint="eastAsia" w:ascii="方正小标宋简体" w:hAnsi="方正小标宋简体" w:eastAsia="方正小标宋简体" w:cs="方正小标宋简体"/>
          <w:b/>
          <w:bCs/>
          <w:kern w:val="2"/>
          <w:sz w:val="44"/>
          <w:szCs w:val="44"/>
          <w:lang w:val="en-US" w:eastAsia="zh-CN" w:bidi="ar-SA"/>
        </w:rPr>
        <w:t>关于印发行政执法有关制度的通知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jc w:val="both"/>
        <w:textAlignment w:val="auto"/>
        <w:rPr>
          <w:rFonts w:hint="eastAsia" w:ascii="方正小标宋简体" w:hAnsi="方正小标宋简体" w:eastAsia="方正小标宋简体" w:cs="方正小标宋简体"/>
          <w:b/>
          <w:bCs/>
          <w:color w:val="000000"/>
          <w:kern w:val="0"/>
          <w:sz w:val="44"/>
          <w:szCs w:val="44"/>
          <w:lang w:val="en-US" w:eastAsia="zh-CN" w:bidi="ar"/>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局机关各股室、局属各单位：</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现将《衡南县民政行政执法规程》</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eastAsia="zh-CN"/>
        </w:rPr>
        <w:t>衡南县</w:t>
      </w:r>
      <w:r>
        <w:rPr>
          <w:rFonts w:hint="eastAsia" w:ascii="仿宋_GB2312" w:hAnsi="仿宋_GB2312" w:eastAsia="仿宋_GB2312" w:cs="仿宋_GB2312"/>
          <w:b w:val="0"/>
          <w:bCs w:val="0"/>
          <w:color w:val="auto"/>
          <w:sz w:val="32"/>
          <w:szCs w:val="32"/>
          <w:lang w:val="en-US" w:eastAsia="zh-CN"/>
        </w:rPr>
        <w:t>民政局</w:t>
      </w:r>
      <w:r>
        <w:rPr>
          <w:rFonts w:hint="eastAsia" w:ascii="仿宋_GB2312" w:hAnsi="仿宋_GB2312" w:eastAsia="仿宋_GB2312" w:cs="仿宋_GB2312"/>
          <w:b w:val="0"/>
          <w:bCs w:val="0"/>
          <w:color w:val="auto"/>
          <w:sz w:val="32"/>
          <w:szCs w:val="32"/>
        </w:rPr>
        <w:t>行政执法公示</w:t>
      </w:r>
      <w:r>
        <w:rPr>
          <w:rFonts w:hint="eastAsia" w:ascii="仿宋_GB2312" w:hAnsi="仿宋_GB2312" w:eastAsia="仿宋_GB2312" w:cs="仿宋_GB2312"/>
          <w:b w:val="0"/>
          <w:bCs w:val="0"/>
          <w:color w:val="auto"/>
          <w:sz w:val="32"/>
          <w:szCs w:val="32"/>
          <w:lang w:val="en-US" w:eastAsia="zh-CN"/>
        </w:rPr>
        <w:t>实施细则</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eastAsia="zh-CN"/>
        </w:rPr>
        <w:t>衡南县</w:t>
      </w:r>
      <w:r>
        <w:rPr>
          <w:rFonts w:hint="eastAsia" w:ascii="仿宋_GB2312" w:hAnsi="仿宋_GB2312" w:eastAsia="仿宋_GB2312" w:cs="仿宋_GB2312"/>
          <w:b w:val="0"/>
          <w:bCs w:val="0"/>
          <w:color w:val="auto"/>
          <w:sz w:val="32"/>
          <w:szCs w:val="32"/>
          <w:lang w:val="en-US" w:eastAsia="zh-CN"/>
        </w:rPr>
        <w:t>民政局</w:t>
      </w:r>
      <w:r>
        <w:rPr>
          <w:rFonts w:hint="eastAsia" w:ascii="仿宋_GB2312" w:hAnsi="仿宋_GB2312" w:eastAsia="仿宋_GB2312" w:cs="仿宋_GB2312"/>
          <w:b w:val="0"/>
          <w:bCs w:val="0"/>
          <w:color w:val="auto"/>
          <w:sz w:val="32"/>
          <w:szCs w:val="32"/>
        </w:rPr>
        <w:t>行政执法全过程记录</w:t>
      </w:r>
      <w:r>
        <w:rPr>
          <w:rFonts w:hint="eastAsia" w:ascii="仿宋_GB2312" w:hAnsi="仿宋_GB2312" w:eastAsia="仿宋_GB2312" w:cs="仿宋_GB2312"/>
          <w:b w:val="0"/>
          <w:bCs w:val="0"/>
          <w:color w:val="auto"/>
          <w:sz w:val="32"/>
          <w:szCs w:val="32"/>
          <w:lang w:val="en-US" w:eastAsia="zh-CN"/>
        </w:rPr>
        <w:t>实施细则</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val="en-US" w:eastAsia="zh-CN"/>
        </w:rPr>
        <w:t>衡南县民政局</w:t>
      </w:r>
      <w:r>
        <w:rPr>
          <w:rFonts w:hint="eastAsia" w:ascii="仿宋_GB2312" w:hAnsi="仿宋_GB2312" w:eastAsia="仿宋_GB2312" w:cs="仿宋_GB2312"/>
          <w:b w:val="0"/>
          <w:bCs w:val="0"/>
          <w:color w:val="auto"/>
          <w:sz w:val="32"/>
          <w:szCs w:val="32"/>
        </w:rPr>
        <w:t>重大行政执法决定法制审核</w:t>
      </w:r>
      <w:r>
        <w:rPr>
          <w:rFonts w:hint="eastAsia" w:ascii="仿宋_GB2312" w:hAnsi="仿宋_GB2312" w:eastAsia="仿宋_GB2312" w:cs="仿宋_GB2312"/>
          <w:b w:val="0"/>
          <w:bCs w:val="0"/>
          <w:color w:val="auto"/>
          <w:sz w:val="32"/>
          <w:szCs w:val="32"/>
          <w:lang w:val="en-US" w:eastAsia="zh-CN"/>
        </w:rPr>
        <w:t>实施细则</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color w:val="000000"/>
          <w:kern w:val="0"/>
          <w:sz w:val="32"/>
          <w:szCs w:val="32"/>
          <w:lang w:val="en-US" w:eastAsia="zh-CN" w:bidi="ar"/>
        </w:rPr>
        <w:t>《衡南县民政局行政执法目录》《衡南县民政局行政处罚裁量权基准制度》《衡南县民政局行政处罚裁量权基准》印发给你们，请遵照执行。</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firstLine="5120" w:firstLineChars="1600"/>
        <w:jc w:val="both"/>
        <w:textAlignment w:val="auto"/>
        <w:rPr>
          <w:rFonts w:hint="eastAsia" w:ascii="仿宋_GB2312" w:hAnsi="仿宋_GB2312" w:eastAsia="仿宋_GB2312" w:cs="仿宋_GB2312"/>
          <w:color w:val="000000"/>
          <w:kern w:val="0"/>
          <w:sz w:val="32"/>
          <w:szCs w:val="32"/>
          <w:lang w:val="en-US" w:eastAsia="zh-CN" w:bidi="ar"/>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firstLine="5120" w:firstLineChars="1600"/>
        <w:jc w:val="both"/>
        <w:textAlignment w:val="auto"/>
        <w:rPr>
          <w:rFonts w:hint="eastAsia" w:ascii="仿宋_GB2312" w:hAnsi="仿宋_GB2312" w:eastAsia="仿宋_GB2312" w:cs="仿宋_GB2312"/>
          <w:color w:val="000000"/>
          <w:kern w:val="0"/>
          <w:sz w:val="32"/>
          <w:szCs w:val="32"/>
          <w:lang w:val="en-US" w:eastAsia="zh-CN" w:bidi="ar"/>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firstLine="5760" w:firstLineChars="18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衡南县民政局</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firstLine="5440" w:firstLineChars="1700"/>
        <w:jc w:val="both"/>
        <w:textAlignment w:val="auto"/>
        <w:rPr>
          <w:rFonts w:hint="eastAsia" w:ascii="仿宋_GB2312" w:hAnsi="仿宋_GB2312" w:eastAsia="仿宋_GB2312" w:cs="仿宋_GB2312"/>
          <w:color w:val="000000"/>
          <w:kern w:val="0"/>
          <w:sz w:val="32"/>
          <w:szCs w:val="32"/>
          <w:lang w:val="en-US" w:eastAsia="zh-CN" w:bidi="ar"/>
        </w:rPr>
      </w:pPr>
      <w:r>
        <w:rPr>
          <w:rFonts w:hint="eastAsia" w:ascii="仿宋_GB2312" w:hAnsi="仿宋_GB2312" w:eastAsia="仿宋_GB2312" w:cs="仿宋_GB2312"/>
          <w:color w:val="000000"/>
          <w:kern w:val="0"/>
          <w:sz w:val="32"/>
          <w:szCs w:val="32"/>
          <w:lang w:val="en-US" w:eastAsia="zh-CN" w:bidi="ar"/>
        </w:rPr>
        <w:t>2020年9月21日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firstLine="5440" w:firstLineChars="1700"/>
        <w:jc w:val="both"/>
        <w:textAlignment w:val="auto"/>
        <w:rPr>
          <w:rFonts w:hint="eastAsia" w:ascii="仿宋_GB2312" w:hAnsi="仿宋_GB2312" w:eastAsia="仿宋_GB2312" w:cs="仿宋_GB2312"/>
          <w:color w:val="000000"/>
          <w:kern w:val="0"/>
          <w:sz w:val="32"/>
          <w:szCs w:val="32"/>
          <w:lang w:val="en-US" w:eastAsia="zh-CN" w:bidi="ar"/>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leftChars="0" w:right="0" w:firstLine="5440" w:firstLineChars="1700"/>
        <w:jc w:val="both"/>
        <w:textAlignment w:val="auto"/>
        <w:rPr>
          <w:rFonts w:hint="eastAsia" w:ascii="仿宋_GB2312" w:hAnsi="仿宋_GB2312" w:eastAsia="仿宋_GB2312" w:cs="仿宋_GB2312"/>
          <w:color w:val="000000"/>
          <w:kern w:val="0"/>
          <w:sz w:val="32"/>
          <w:szCs w:val="32"/>
          <w:lang w:val="en-US" w:eastAsia="zh-CN" w:bidi="ar"/>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r>
        <w:rPr>
          <w:rFonts w:hint="eastAsia" w:ascii="方正小标宋简体" w:hAnsi="方正小标宋简体" w:eastAsia="方正小标宋简体" w:cs="方正小标宋简体"/>
          <w:b/>
          <w:bCs/>
          <w:kern w:val="2"/>
          <w:sz w:val="44"/>
          <w:szCs w:val="44"/>
          <w:lang w:val="en-US" w:eastAsia="zh-CN" w:bidi="ar-SA"/>
        </w:rPr>
        <w:t>衡南县民政行政执法规程</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left"/>
        <w:textAlignment w:val="auto"/>
        <w:rPr>
          <w:rFonts w:hint="eastAsia" w:ascii="仿宋_GB2312" w:hAnsi="仿宋_GB2312" w:eastAsia="仿宋_GB2312" w:cs="仿宋_GB2312"/>
          <w:i w:val="0"/>
          <w:caps w:val="0"/>
          <w:color w:val="auto"/>
          <w:spacing w:val="0"/>
          <w:sz w:val="32"/>
          <w:szCs w:val="32"/>
          <w:shd w:val="clear" w:fill="FFFFFF"/>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rPr>
      </w:pPr>
      <w:r>
        <w:rPr>
          <w:rFonts w:hint="eastAsia" w:ascii="黑体" w:hAnsi="黑体" w:eastAsia="黑体" w:cs="黑体"/>
          <w:b w:val="0"/>
          <w:bCs w:val="0"/>
          <w:i w:val="0"/>
          <w:caps w:val="0"/>
          <w:color w:val="auto"/>
          <w:spacing w:val="0"/>
          <w:sz w:val="32"/>
          <w:szCs w:val="32"/>
          <w:shd w:val="clear" w:fill="FFFFFF"/>
        </w:rPr>
        <w:t>第一章</w:t>
      </w:r>
      <w:r>
        <w:rPr>
          <w:rFonts w:hint="eastAsia" w:ascii="黑体" w:hAnsi="黑体" w:eastAsia="黑体" w:cs="黑体"/>
          <w:b w:val="0"/>
          <w:bCs w:val="0"/>
          <w:i w:val="0"/>
          <w:caps w:val="0"/>
          <w:color w:val="auto"/>
          <w:spacing w:val="0"/>
          <w:sz w:val="32"/>
          <w:szCs w:val="32"/>
          <w:shd w:val="clear" w:fill="FFFFFF"/>
          <w:lang w:eastAsia="zh-CN"/>
        </w:rPr>
        <w:t xml:space="preserve"> </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rPr>
        <w:t>总</w:t>
      </w:r>
      <w:r>
        <w:rPr>
          <w:rFonts w:hint="eastAsia" w:ascii="黑体" w:hAnsi="黑体" w:eastAsia="黑体" w:cs="黑体"/>
          <w:b w:val="0"/>
          <w:bCs w:val="0"/>
          <w:i w:val="0"/>
          <w:caps w:val="0"/>
          <w:color w:val="auto"/>
          <w:spacing w:val="0"/>
          <w:sz w:val="32"/>
          <w:szCs w:val="32"/>
          <w:shd w:val="clear" w:fill="FFFFFF"/>
          <w:lang w:eastAsia="zh-CN"/>
        </w:rPr>
        <w:t xml:space="preserve">  </w:t>
      </w:r>
      <w:r>
        <w:rPr>
          <w:rFonts w:hint="eastAsia" w:ascii="黑体" w:hAnsi="黑体" w:eastAsia="黑体" w:cs="黑体"/>
          <w:b w:val="0"/>
          <w:bCs w:val="0"/>
          <w:i w:val="0"/>
          <w:caps w:val="0"/>
          <w:color w:val="auto"/>
          <w:spacing w:val="0"/>
          <w:sz w:val="32"/>
          <w:szCs w:val="32"/>
          <w:shd w:val="clear" w:fill="FFFFFF"/>
        </w:rPr>
        <w:t>则</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第一条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为了规范</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民政局行政执法行为，促进依法行政，切实保障公民、法人和其他组织的合法权益，根据《中华人民共和国行政处罚法》《中华人民共和国行政许可法》《中华人民共和国行政强制法》《</w:t>
      </w:r>
      <w:r>
        <w:rPr>
          <w:rFonts w:hint="eastAsia" w:ascii="仿宋_GB2312" w:hAnsi="仿宋_GB2312" w:eastAsia="仿宋_GB2312" w:cs="仿宋_GB2312"/>
          <w:i w:val="0"/>
          <w:caps w:val="0"/>
          <w:color w:val="auto"/>
          <w:spacing w:val="0"/>
          <w:sz w:val="32"/>
          <w:szCs w:val="32"/>
          <w:shd w:val="clear" w:fill="FFFFFF"/>
          <w:lang w:eastAsia="zh-CN"/>
        </w:rPr>
        <w:t>湖南</w:t>
      </w:r>
      <w:r>
        <w:rPr>
          <w:rFonts w:hint="eastAsia" w:ascii="仿宋_GB2312" w:hAnsi="仿宋_GB2312" w:eastAsia="仿宋_GB2312" w:cs="仿宋_GB2312"/>
          <w:i w:val="0"/>
          <w:caps w:val="0"/>
          <w:color w:val="auto"/>
          <w:spacing w:val="0"/>
          <w:sz w:val="32"/>
          <w:szCs w:val="32"/>
          <w:shd w:val="clear" w:fill="FFFFFF"/>
        </w:rPr>
        <w:t>省行政程序规定》等有关法律、法规和规章，制定</w:t>
      </w:r>
      <w:r>
        <w:rPr>
          <w:rFonts w:hint="eastAsia" w:ascii="仿宋_GB2312" w:hAnsi="仿宋_GB2312" w:eastAsia="仿宋_GB2312" w:cs="仿宋_GB2312"/>
          <w:i w:val="0"/>
          <w:caps w:val="0"/>
          <w:color w:val="auto"/>
          <w:spacing w:val="0"/>
          <w:sz w:val="32"/>
          <w:szCs w:val="32"/>
          <w:shd w:val="clear" w:fill="FFFFFF"/>
          <w:lang w:eastAsia="zh-CN"/>
        </w:rPr>
        <w:t>本规程</w:t>
      </w:r>
      <w:r>
        <w:rPr>
          <w:rFonts w:hint="eastAsia" w:ascii="仿宋_GB2312" w:hAnsi="仿宋_GB2312" w:eastAsia="仿宋_GB2312" w:cs="仿宋_GB2312"/>
          <w:i w:val="0"/>
          <w:caps w:val="0"/>
          <w:color w:val="auto"/>
          <w:spacing w:val="0"/>
          <w:sz w:val="32"/>
          <w:szCs w:val="32"/>
          <w:shd w:val="clear" w:fill="FFFFFF"/>
        </w:rPr>
        <w:t>。</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本规</w:t>
      </w:r>
      <w:r>
        <w:rPr>
          <w:rFonts w:hint="eastAsia" w:ascii="仿宋_GB2312" w:hAnsi="仿宋_GB2312" w:eastAsia="仿宋_GB2312" w:cs="仿宋_GB2312"/>
          <w:i w:val="0"/>
          <w:caps w:val="0"/>
          <w:color w:val="auto"/>
          <w:spacing w:val="0"/>
          <w:sz w:val="32"/>
          <w:szCs w:val="32"/>
          <w:shd w:val="clear" w:fill="FFFFFF"/>
          <w:lang w:val="en-US" w:eastAsia="zh-CN"/>
        </w:rPr>
        <w:t>程</w:t>
      </w:r>
      <w:r>
        <w:rPr>
          <w:rFonts w:hint="eastAsia" w:ascii="仿宋_GB2312" w:hAnsi="仿宋_GB2312" w:eastAsia="仿宋_GB2312" w:cs="仿宋_GB2312"/>
          <w:i w:val="0"/>
          <w:caps w:val="0"/>
          <w:color w:val="auto"/>
          <w:spacing w:val="0"/>
          <w:sz w:val="32"/>
          <w:szCs w:val="32"/>
          <w:shd w:val="clear" w:fill="FFFFFF"/>
        </w:rPr>
        <w:t>所称行政执法，是指</w:t>
      </w:r>
      <w:r>
        <w:rPr>
          <w:rFonts w:hint="eastAsia" w:ascii="仿宋_GB2312" w:hAnsi="仿宋_GB2312" w:eastAsia="仿宋_GB2312" w:cs="仿宋_GB2312"/>
          <w:b w:val="0"/>
          <w:bCs w:val="0"/>
          <w:color w:val="auto"/>
          <w:sz w:val="32"/>
          <w:szCs w:val="32"/>
          <w:lang w:val="en-US" w:eastAsia="zh-CN"/>
        </w:rPr>
        <w:t>衡南县</w:t>
      </w:r>
      <w:r>
        <w:rPr>
          <w:rFonts w:hint="eastAsia" w:ascii="仿宋_GB2312" w:hAnsi="仿宋_GB2312" w:eastAsia="仿宋_GB2312" w:cs="仿宋_GB2312"/>
          <w:b w:val="0"/>
          <w:bCs w:val="0"/>
          <w:color w:val="auto"/>
          <w:sz w:val="32"/>
          <w:szCs w:val="32"/>
          <w:lang w:val="zh-CN" w:eastAsia="zh-CN"/>
        </w:rPr>
        <w:t>民政局及其下设执法机构（含法律法规授权的具有管理公共事务的组织，以及依法受行政执法机关委托从事行政执法活动的组织，以下统称民政执法机关）</w:t>
      </w:r>
      <w:r>
        <w:rPr>
          <w:rFonts w:hint="eastAsia" w:ascii="仿宋_GB2312" w:hAnsi="仿宋_GB2312" w:eastAsia="仿宋_GB2312" w:cs="仿宋_GB2312"/>
          <w:i w:val="0"/>
          <w:caps w:val="0"/>
          <w:color w:val="auto"/>
          <w:spacing w:val="0"/>
          <w:sz w:val="32"/>
          <w:szCs w:val="32"/>
          <w:shd w:val="clear" w:fill="FFFFFF"/>
        </w:rPr>
        <w:t>依据法律、法规和规章，对公民、法人或者其他组织违反民政行政管理秩序的行为依法进行调查和处理的活动，包括行政处罚、行政强制等。</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b w:val="0"/>
          <w:bCs w:val="0"/>
          <w:color w:val="auto"/>
          <w:sz w:val="32"/>
          <w:szCs w:val="32"/>
          <w:lang w:val="zh-CN" w:eastAsia="zh-CN"/>
        </w:rPr>
        <w:t>民政执法机关</w:t>
      </w:r>
      <w:r>
        <w:rPr>
          <w:rFonts w:hint="eastAsia" w:ascii="仿宋_GB2312" w:hAnsi="仿宋_GB2312" w:eastAsia="仿宋_GB2312" w:cs="仿宋_GB2312"/>
          <w:i w:val="0"/>
          <w:caps w:val="0"/>
          <w:color w:val="auto"/>
          <w:spacing w:val="0"/>
          <w:sz w:val="32"/>
          <w:szCs w:val="32"/>
          <w:shd w:val="clear" w:fill="FFFFFF"/>
        </w:rPr>
        <w:t>实施行政执法行为，应当遵守本规</w:t>
      </w:r>
      <w:r>
        <w:rPr>
          <w:rFonts w:hint="eastAsia" w:ascii="仿宋_GB2312" w:hAnsi="仿宋_GB2312" w:eastAsia="仿宋_GB2312" w:cs="仿宋_GB2312"/>
          <w:i w:val="0"/>
          <w:caps w:val="0"/>
          <w:color w:val="auto"/>
          <w:spacing w:val="0"/>
          <w:sz w:val="32"/>
          <w:szCs w:val="32"/>
          <w:shd w:val="clear" w:fill="FFFFFF"/>
          <w:lang w:val="en-US" w:eastAsia="zh-CN"/>
        </w:rPr>
        <w:t>程</w:t>
      </w:r>
      <w:r>
        <w:rPr>
          <w:rFonts w:hint="eastAsia" w:ascii="仿宋_GB2312" w:hAnsi="仿宋_GB2312" w:eastAsia="仿宋_GB2312" w:cs="仿宋_GB2312"/>
          <w:i w:val="0"/>
          <w:caps w:val="0"/>
          <w:color w:val="auto"/>
          <w:spacing w:val="0"/>
          <w:sz w:val="32"/>
          <w:szCs w:val="32"/>
          <w:shd w:val="clear" w:fill="FFFFFF"/>
        </w:rPr>
        <w:t>。法律、法规、规章对行政执法程序另有规定的，从其规定。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lang w:val="en-US" w:eastAsia="zh-CN"/>
        </w:rPr>
        <w:t>衡南县民政局</w:t>
      </w:r>
      <w:r>
        <w:rPr>
          <w:rFonts w:hint="eastAsia" w:ascii="仿宋_GB2312" w:hAnsi="仿宋_GB2312" w:eastAsia="仿宋_GB2312" w:cs="仿宋_GB2312"/>
          <w:i w:val="0"/>
          <w:caps w:val="0"/>
          <w:color w:val="auto"/>
          <w:spacing w:val="0"/>
          <w:sz w:val="32"/>
          <w:szCs w:val="32"/>
          <w:shd w:val="clear" w:fill="FFFFFF"/>
        </w:rPr>
        <w:t>组织实施对违反民政法律、法规或规章行为的查处工作，具体工作由其执法机构按照职责分工承担。</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6"/>
          <w:sz w:val="32"/>
          <w:szCs w:val="32"/>
          <w:shd w:val="clear" w:fill="FFFFFF"/>
        </w:rPr>
      </w:pPr>
      <w:r>
        <w:rPr>
          <w:rFonts w:hint="eastAsia" w:ascii="黑体" w:hAnsi="黑体" w:eastAsia="黑体" w:cs="黑体"/>
          <w:i w:val="0"/>
          <w:caps w:val="0"/>
          <w:color w:val="auto"/>
          <w:spacing w:val="0"/>
          <w:sz w:val="32"/>
          <w:szCs w:val="32"/>
          <w:shd w:val="clear" w:fill="FFFFFF"/>
        </w:rPr>
        <w:t>第五条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6"/>
          <w:sz w:val="32"/>
          <w:szCs w:val="32"/>
          <w:shd w:val="clear" w:fill="FFFFFF"/>
          <w:lang w:eastAsia="zh-CN"/>
        </w:rPr>
        <w:t>民政执法机关</w:t>
      </w:r>
      <w:r>
        <w:rPr>
          <w:rFonts w:hint="eastAsia" w:ascii="仿宋_GB2312" w:hAnsi="仿宋_GB2312" w:eastAsia="仿宋_GB2312" w:cs="仿宋_GB2312"/>
          <w:i w:val="0"/>
          <w:caps w:val="0"/>
          <w:color w:val="auto"/>
          <w:spacing w:val="-6"/>
          <w:sz w:val="32"/>
          <w:szCs w:val="32"/>
          <w:shd w:val="clear" w:fill="FFFFFF"/>
        </w:rPr>
        <w:t>行政执法人员应当按照规定参加培训，经考试合格，并取得《</w:t>
      </w:r>
      <w:r>
        <w:rPr>
          <w:rFonts w:hint="eastAsia" w:ascii="仿宋_GB2312" w:hAnsi="仿宋_GB2312" w:eastAsia="仿宋_GB2312" w:cs="仿宋_GB2312"/>
          <w:i w:val="0"/>
          <w:caps w:val="0"/>
          <w:color w:val="auto"/>
          <w:spacing w:val="-6"/>
          <w:sz w:val="32"/>
          <w:szCs w:val="32"/>
          <w:shd w:val="clear" w:fill="FFFFFF"/>
          <w:lang w:eastAsia="zh-CN"/>
        </w:rPr>
        <w:t>湖南</w:t>
      </w:r>
      <w:r>
        <w:rPr>
          <w:rFonts w:hint="eastAsia" w:ascii="仿宋_GB2312" w:hAnsi="仿宋_GB2312" w:eastAsia="仿宋_GB2312" w:cs="仿宋_GB2312"/>
          <w:i w:val="0"/>
          <w:caps w:val="0"/>
          <w:color w:val="auto"/>
          <w:spacing w:val="-6"/>
          <w:sz w:val="32"/>
          <w:szCs w:val="32"/>
          <w:shd w:val="clear" w:fill="FFFFFF"/>
        </w:rPr>
        <w:t>省行政执法证》，持证上岗。</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第六条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在行政执法过程中应当依法告知当事人、利害关系人相关的执法事实、理由、依据、期限、法定权利和义务等。行政执法的告知应当采用书面形式。情况紧急时，可以采用口头等其他方式。但是依法应当采取书面形式告知的除外。</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第七条</w:t>
      </w:r>
      <w:r>
        <w:rPr>
          <w:rFonts w:hint="eastAsia" w:ascii="仿宋_GB2312" w:hAnsi="仿宋_GB2312" w:eastAsia="仿宋_GB2312" w:cs="仿宋_GB2312"/>
          <w:i w:val="0"/>
          <w:caps w:val="0"/>
          <w:color w:val="auto"/>
          <w:spacing w:val="0"/>
          <w:sz w:val="32"/>
          <w:szCs w:val="32"/>
          <w:shd w:val="clear" w:fill="FFFFFF"/>
          <w:lang w:eastAsia="zh-CN"/>
        </w:rPr>
        <w:t xml:space="preserve">  民政执法机关</w:t>
      </w:r>
      <w:r>
        <w:rPr>
          <w:rFonts w:hint="eastAsia" w:ascii="仿宋_GB2312" w:hAnsi="仿宋_GB2312" w:eastAsia="仿宋_GB2312" w:cs="仿宋_GB2312"/>
          <w:i w:val="0"/>
          <w:caps w:val="0"/>
          <w:color w:val="auto"/>
          <w:spacing w:val="0"/>
          <w:sz w:val="32"/>
          <w:szCs w:val="32"/>
          <w:shd w:val="clear" w:fill="FFFFFF"/>
        </w:rPr>
        <w:t>实施行政处罚应当依据《</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民政局行政处罚裁量权基准</w:t>
      </w:r>
      <w:r>
        <w:rPr>
          <w:rFonts w:hint="eastAsia" w:ascii="仿宋_GB2312" w:hAnsi="仿宋_GB2312" w:eastAsia="仿宋_GB2312" w:cs="仿宋_GB2312"/>
          <w:i w:val="0"/>
          <w:caps w:val="0"/>
          <w:color w:val="auto"/>
          <w:spacing w:val="0"/>
          <w:sz w:val="32"/>
          <w:szCs w:val="32"/>
          <w:shd w:val="clear" w:fill="FFFFFF"/>
          <w:lang w:val="en-US" w:eastAsia="zh-CN"/>
        </w:rPr>
        <w:t>制度</w:t>
      </w:r>
      <w:r>
        <w:rPr>
          <w:rFonts w:hint="eastAsia" w:ascii="仿宋_GB2312" w:hAnsi="仿宋_GB2312" w:eastAsia="仿宋_GB2312" w:cs="仿宋_GB2312"/>
          <w:i w:val="0"/>
          <w:caps w:val="0"/>
          <w:color w:val="auto"/>
          <w:spacing w:val="0"/>
          <w:sz w:val="32"/>
          <w:szCs w:val="32"/>
          <w:shd w:val="clear" w:fill="FFFFFF"/>
        </w:rPr>
        <w:t>》，确保行政处罚的合法性、合理性、公平性。</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第八条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lang w:val="en-US" w:eastAsia="zh-CN"/>
        </w:rPr>
        <w:t>衡南县民政局</w:t>
      </w:r>
      <w:r>
        <w:rPr>
          <w:rFonts w:hint="eastAsia" w:ascii="仿宋_GB2312" w:hAnsi="仿宋_GB2312" w:eastAsia="仿宋_GB2312" w:cs="仿宋_GB2312"/>
          <w:i w:val="0"/>
          <w:caps w:val="0"/>
          <w:color w:val="auto"/>
          <w:spacing w:val="0"/>
          <w:sz w:val="32"/>
          <w:szCs w:val="32"/>
          <w:shd w:val="clear" w:fill="FFFFFF"/>
        </w:rPr>
        <w:t>建立行政执法全过程记录制度，通过调查笔录、执法设备、视频监控设施等手段，加强对执法活动全过程的记录跟踪。</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第九条</w:t>
      </w:r>
      <w:r>
        <w:rPr>
          <w:rFonts w:hint="eastAsia" w:ascii="仿宋_GB2312" w:hAnsi="仿宋_GB2312" w:eastAsia="仿宋_GB2312" w:cs="仿宋_GB2312"/>
          <w:i w:val="0"/>
          <w:caps w:val="0"/>
          <w:color w:val="auto"/>
          <w:spacing w:val="0"/>
          <w:sz w:val="32"/>
          <w:szCs w:val="32"/>
          <w:shd w:val="clear" w:fill="FFFFFF"/>
          <w:lang w:eastAsia="zh-CN"/>
        </w:rPr>
        <w:t xml:space="preserve">  衡南县</w:t>
      </w:r>
      <w:r>
        <w:rPr>
          <w:rFonts w:hint="eastAsia" w:ascii="仿宋_GB2312" w:hAnsi="仿宋_GB2312" w:eastAsia="仿宋_GB2312" w:cs="仿宋_GB2312"/>
          <w:i w:val="0"/>
          <w:caps w:val="0"/>
          <w:color w:val="auto"/>
          <w:spacing w:val="0"/>
          <w:sz w:val="32"/>
          <w:szCs w:val="32"/>
          <w:shd w:val="clear" w:fill="FFFFFF"/>
        </w:rPr>
        <w:t>民政局建立行政执法公示制度，在</w:t>
      </w:r>
      <w:r>
        <w:rPr>
          <w:rFonts w:hint="eastAsia" w:ascii="仿宋_GB2312" w:hAnsi="仿宋_GB2312" w:eastAsia="仿宋_GB2312" w:cs="仿宋_GB2312"/>
          <w:i w:val="0"/>
          <w:caps w:val="0"/>
          <w:color w:val="auto"/>
          <w:spacing w:val="0"/>
          <w:sz w:val="32"/>
          <w:szCs w:val="32"/>
          <w:shd w:val="clear" w:fill="FFFFFF"/>
          <w:lang w:val="en-US" w:eastAsia="zh-CN"/>
        </w:rPr>
        <w:t>政府执法公示平台</w:t>
      </w:r>
      <w:r>
        <w:rPr>
          <w:rFonts w:hint="eastAsia" w:ascii="仿宋_GB2312" w:hAnsi="仿宋_GB2312" w:eastAsia="仿宋_GB2312" w:cs="仿宋_GB2312"/>
          <w:i w:val="0"/>
          <w:caps w:val="0"/>
          <w:color w:val="auto"/>
          <w:spacing w:val="0"/>
          <w:sz w:val="32"/>
          <w:szCs w:val="32"/>
          <w:shd w:val="clear" w:fill="FFFFFF"/>
        </w:rPr>
        <w:t>或者其他一定载体和方式公开职责权限、执法依据、裁量基准、执法流程、执法结果、救济途径等。</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第十条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依据《</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w:t>
      </w:r>
      <w:r>
        <w:rPr>
          <w:rFonts w:hint="eastAsia" w:ascii="仿宋_GB2312" w:hAnsi="仿宋_GB2312" w:eastAsia="仿宋_GB2312" w:cs="仿宋_GB2312"/>
          <w:i w:val="0"/>
          <w:caps w:val="0"/>
          <w:color w:val="auto"/>
          <w:spacing w:val="0"/>
          <w:sz w:val="32"/>
          <w:szCs w:val="32"/>
          <w:shd w:val="clear" w:fill="FFFFFF"/>
          <w:lang w:val="en-US" w:eastAsia="zh-CN"/>
        </w:rPr>
        <w:t>局</w:t>
      </w:r>
      <w:r>
        <w:rPr>
          <w:rFonts w:hint="eastAsia" w:ascii="仿宋_GB2312" w:hAnsi="仿宋_GB2312" w:eastAsia="仿宋_GB2312" w:cs="仿宋_GB2312"/>
          <w:i w:val="0"/>
          <w:caps w:val="0"/>
          <w:color w:val="auto"/>
          <w:spacing w:val="0"/>
          <w:sz w:val="32"/>
          <w:szCs w:val="32"/>
          <w:shd w:val="clear" w:fill="FFFFFF"/>
        </w:rPr>
        <w:t>重大行政执法决定法制审核</w:t>
      </w:r>
      <w:r>
        <w:rPr>
          <w:rFonts w:hint="eastAsia" w:ascii="仿宋_GB2312" w:hAnsi="仿宋_GB2312" w:eastAsia="仿宋_GB2312" w:cs="仿宋_GB2312"/>
          <w:i w:val="0"/>
          <w:caps w:val="0"/>
          <w:color w:val="auto"/>
          <w:spacing w:val="0"/>
          <w:sz w:val="32"/>
          <w:szCs w:val="32"/>
          <w:shd w:val="clear" w:fill="FFFFFF"/>
          <w:lang w:val="en-US" w:eastAsia="zh-CN"/>
        </w:rPr>
        <w:t>实施细则</w:t>
      </w:r>
      <w:r>
        <w:rPr>
          <w:rFonts w:hint="eastAsia" w:ascii="仿宋_GB2312" w:hAnsi="仿宋_GB2312" w:eastAsia="仿宋_GB2312" w:cs="仿宋_GB2312"/>
          <w:i w:val="0"/>
          <w:caps w:val="0"/>
          <w:color w:val="auto"/>
          <w:spacing w:val="0"/>
          <w:sz w:val="32"/>
          <w:szCs w:val="32"/>
          <w:shd w:val="clear" w:fill="FFFFFF"/>
        </w:rPr>
        <w:t>》，在作出重大执法决定之前，必须进行法制审核，未经法制审核或者审核未通过的，不得作出决定。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6"/>
          <w:sz w:val="32"/>
          <w:szCs w:val="32"/>
          <w:shd w:val="clear" w:fill="FFFFFF"/>
        </w:rPr>
      </w:pPr>
      <w:r>
        <w:rPr>
          <w:rFonts w:hint="eastAsia" w:ascii="黑体" w:hAnsi="黑体" w:eastAsia="黑体" w:cs="黑体"/>
          <w:i w:val="0"/>
          <w:caps w:val="0"/>
          <w:color w:val="auto"/>
          <w:spacing w:val="0"/>
          <w:sz w:val="32"/>
          <w:szCs w:val="32"/>
          <w:shd w:val="clear" w:fill="FFFFFF"/>
        </w:rPr>
        <w:t>第十一条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当事人及有关责任人员涉嫌犯罪依法需要追</w:t>
      </w:r>
      <w:r>
        <w:rPr>
          <w:rFonts w:hint="eastAsia" w:ascii="仿宋_GB2312" w:hAnsi="仿宋_GB2312" w:eastAsia="仿宋_GB2312" w:cs="仿宋_GB2312"/>
          <w:i w:val="0"/>
          <w:caps w:val="0"/>
          <w:color w:val="auto"/>
          <w:spacing w:val="-6"/>
          <w:sz w:val="32"/>
          <w:szCs w:val="32"/>
          <w:shd w:val="clear" w:fill="FFFFFF"/>
        </w:rPr>
        <w:t>究刑事责任的，应当将案件移送公安、检察机关或者监察机关。</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第十二条</w:t>
      </w:r>
      <w:r>
        <w:rPr>
          <w:rFonts w:hint="eastAsia" w:ascii="黑体" w:hAnsi="黑体" w:eastAsia="黑体" w:cs="黑体"/>
          <w:i w:val="0"/>
          <w:caps w:val="0"/>
          <w:color w:val="auto"/>
          <w:spacing w:val="0"/>
          <w:sz w:val="32"/>
          <w:szCs w:val="32"/>
          <w:shd w:val="clear" w:fill="FFFFFF"/>
          <w:lang w:val="en-US" w:eastAsia="zh-CN"/>
        </w:rPr>
        <w:t xml:space="preserve">  </w:t>
      </w:r>
      <w:r>
        <w:rPr>
          <w:rFonts w:hint="eastAsia" w:ascii="仿宋_GB2312" w:hAnsi="仿宋_GB2312" w:eastAsia="仿宋_GB2312" w:cs="仿宋_GB2312"/>
          <w:i w:val="0"/>
          <w:caps w:val="0"/>
          <w:color w:val="auto"/>
          <w:spacing w:val="0"/>
          <w:sz w:val="32"/>
          <w:szCs w:val="32"/>
          <w:shd w:val="clear" w:fill="FFFFFF"/>
        </w:rPr>
        <w:t>行政执法相关法律文书样式及制作的要求，依据</w:t>
      </w:r>
      <w:r>
        <w:rPr>
          <w:rFonts w:hint="eastAsia" w:ascii="仿宋_GB2312" w:hAnsi="仿宋_GB2312" w:eastAsia="仿宋_GB2312" w:cs="仿宋_GB2312"/>
          <w:i w:val="0"/>
          <w:caps w:val="0"/>
          <w:color w:val="auto"/>
          <w:spacing w:val="0"/>
          <w:sz w:val="32"/>
          <w:szCs w:val="32"/>
          <w:shd w:val="clear" w:fill="FFFFFF"/>
          <w:lang w:val="en-US" w:eastAsia="zh-CN"/>
        </w:rPr>
        <w:t>衡南县民政局</w:t>
      </w:r>
      <w:r>
        <w:rPr>
          <w:rFonts w:hint="eastAsia" w:ascii="仿宋_GB2312" w:hAnsi="仿宋_GB2312" w:eastAsia="仿宋_GB2312" w:cs="仿宋_GB2312"/>
          <w:i w:val="0"/>
          <w:caps w:val="0"/>
          <w:color w:val="auto"/>
          <w:spacing w:val="0"/>
          <w:sz w:val="32"/>
          <w:szCs w:val="32"/>
          <w:shd w:val="clear" w:fill="FFFFFF"/>
        </w:rPr>
        <w:t>行政执法文书参考样式等规定执行。</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仿宋_GB2312" w:hAnsi="仿宋_GB2312" w:eastAsia="仿宋_GB2312" w:cs="仿宋_GB2312"/>
          <w:b w:val="0"/>
          <w:bCs w:val="0"/>
          <w:i w:val="0"/>
          <w:caps w:val="0"/>
          <w:color w:val="auto"/>
          <w:spacing w:val="0"/>
          <w:sz w:val="32"/>
          <w:szCs w:val="32"/>
          <w:shd w:val="clear" w:fill="FFFFFF"/>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第二章</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程序启动</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第十三条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行政执法程序依法由</w:t>
      </w: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依职权启动，或者依公民、法人和其他组织的申请启动。依职权启动程序，应当经</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民政局负责人批准。情况紧急的，可以事后补报。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第十四条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公民、法人和其他组织申请启动行政执法程序应当采取书面形式。</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申请书应当载明下列事项：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（一）申请人的基本情况；</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（二）申请事项；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（三）申请的事实和理由；</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（四）申请人签名或者盖章；</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（五）申请时间。</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申请人书写确有困难，或者没有必要以书面形式申请，以及在紧急情况下，可以口头申请，</w:t>
      </w: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应当当场记录，经申请人阅读或者向其宣读，确认内容无误后由其签名或者盖章。</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第十五条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对当事人提出的申请，根据下列情况分别作出处理：</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（一）申请事项依法不属于</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民政局职权范围的，应当即时作出不予受理的书面决定，并告知当事人向有关行政机关申请；</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（二）申请材料存在可以当场更正的错误的，应当允许当事人当场更正；</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（三）申请材料不齐全或者不符合法定形式的，应当当场或者在五日内一次告知当事人需要补正的全部内容，逾期不告知的，自收到申请材料之日起即为受理；当事人在限期内不作补充的，视为撤回申请；</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（四）申请事项属于</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民政局职权范围，申请材料齐全、符合法定形式，或者当事人按照</w:t>
      </w: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的要求提交全部补正申请材料的，应当受理当事人的申请。</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受理或者不受理当事人申请的，应当出具加盖</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民政局印章和注明日期的《案件受理登记表》。</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lang w:eastAsia="zh-CN"/>
        </w:rPr>
      </w:pPr>
      <w:r>
        <w:rPr>
          <w:rFonts w:hint="eastAsia" w:ascii="黑体" w:hAnsi="黑体" w:eastAsia="黑体" w:cs="黑体"/>
          <w:i w:val="0"/>
          <w:caps w:val="0"/>
          <w:color w:val="auto"/>
          <w:spacing w:val="0"/>
          <w:sz w:val="32"/>
          <w:szCs w:val="32"/>
          <w:shd w:val="clear" w:fill="FFFFFF"/>
        </w:rPr>
        <w:t>第十六条</w:t>
      </w:r>
      <w:r>
        <w:rPr>
          <w:rFonts w:hint="eastAsia" w:ascii="仿宋_GB2312" w:hAnsi="仿宋_GB2312" w:eastAsia="仿宋_GB2312" w:cs="仿宋_GB2312"/>
          <w:i w:val="0"/>
          <w:caps w:val="0"/>
          <w:color w:val="auto"/>
          <w:spacing w:val="0"/>
          <w:sz w:val="32"/>
          <w:szCs w:val="32"/>
          <w:shd w:val="clear" w:fill="FFFFFF"/>
          <w:lang w:eastAsia="zh-CN"/>
        </w:rPr>
        <w:t xml:space="preserve">  民政执法机关</w:t>
      </w:r>
      <w:r>
        <w:rPr>
          <w:rFonts w:hint="eastAsia" w:ascii="仿宋_GB2312" w:hAnsi="仿宋_GB2312" w:eastAsia="仿宋_GB2312" w:cs="仿宋_GB2312"/>
          <w:i w:val="0"/>
          <w:caps w:val="0"/>
          <w:color w:val="auto"/>
          <w:spacing w:val="0"/>
          <w:sz w:val="32"/>
          <w:szCs w:val="32"/>
          <w:shd w:val="clear" w:fill="FFFFFF"/>
        </w:rPr>
        <w:t>受理案件后，执法机构负责人应当安排不少于两名执法人员进行初步核查。</w:t>
      </w:r>
      <w:r>
        <w:rPr>
          <w:rFonts w:hint="eastAsia" w:ascii="仿宋_GB2312" w:hAnsi="仿宋_GB2312" w:eastAsia="仿宋_GB2312" w:cs="仿宋_GB2312"/>
          <w:i w:val="0"/>
          <w:caps w:val="0"/>
          <w:color w:val="auto"/>
          <w:spacing w:val="0"/>
          <w:sz w:val="32"/>
          <w:szCs w:val="32"/>
          <w:shd w:val="clear" w:fill="FFFFFF"/>
          <w:lang w:eastAsia="zh-CN"/>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第十七条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经初步核查的案件，应当填写《立案审批表》，载明案件来源、当事人基本情况、涉嫌违法事实、相关建议等，由执法机构负责人签署意见后报</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民政局负责人审批。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第十八条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经批准立案的，执法机构应当确定不少于两名执法人员，作为案件承办人。</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第十九条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案件承办人具体负责案件调查取证、起草相关法律文书、提出处理建议等。</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案件承办人与案件有利害关系或者可能影响公正处理的，应当主动申请回避。当事人认为承办人应当回避而没有回避的，可以申请承办人回避。</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承办人的回避，由执法机构负责人决定；执法机构负责人的回避，由</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民政局负责人决定。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 xml:space="preserve">第三章  </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调  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第二十一条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行政执法程序启动后，</w:t>
      </w: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应当核实材料，收集证据，查明事实。</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第二十二条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调查取证应当由不少于两名行政执法人员进行。调查取证时，行政执法人员应当向当事人或者有关人员主动出示《</w:t>
      </w:r>
      <w:r>
        <w:rPr>
          <w:rFonts w:hint="eastAsia" w:ascii="仿宋_GB2312" w:hAnsi="仿宋_GB2312" w:eastAsia="仿宋_GB2312" w:cs="仿宋_GB2312"/>
          <w:i w:val="0"/>
          <w:caps w:val="0"/>
          <w:color w:val="auto"/>
          <w:spacing w:val="0"/>
          <w:sz w:val="32"/>
          <w:szCs w:val="32"/>
          <w:shd w:val="clear" w:fill="FFFFFF"/>
          <w:lang w:eastAsia="zh-CN"/>
        </w:rPr>
        <w:t>湖南</w:t>
      </w:r>
      <w:r>
        <w:rPr>
          <w:rFonts w:hint="eastAsia" w:ascii="仿宋_GB2312" w:hAnsi="仿宋_GB2312" w:eastAsia="仿宋_GB2312" w:cs="仿宋_GB2312"/>
          <w:i w:val="0"/>
          <w:caps w:val="0"/>
          <w:color w:val="auto"/>
          <w:spacing w:val="0"/>
          <w:sz w:val="32"/>
          <w:szCs w:val="32"/>
          <w:shd w:val="clear" w:fill="FFFFFF"/>
        </w:rPr>
        <w:t>省行政执法证》，说明调查事项和依据，否则当事人或者有关人员有权拒绝接受调查和提供证据。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第二十三条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调查取证应当制作笔录，由行政执法人员、当事人或者其代理人、见证人签字；当事人或者其代理人、见证人拒绝签字的，不影响调查结果的效力，但是应当在笔录中载明。</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第二十四条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调查取证时，执法人员可以采取下列措施：</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（一）送达《协助调查通知书》，要求被调查的单位或者个人协助案件调查；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（二）询问当事人以及相关人员，进入有关现场进行检查、勘验、拍照、录音、摄像，查阅和复印相关材料；</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（三）责令当事人停止正在进行的违法行为；</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（四）根据需要对可能灭失或者以后难以取得的证据先行登记保存；</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（五）依据法律、法规的规定实施查封、扣押等行政强制措施；</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（六）依法可以采取的其他措施。</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第二十五条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被调查人员拒绝、逃避或者采取暴力、威胁等方式阻碍调查取证的，可以商请当事人所在单位或者违法行为发生地基层组织协助调查，也可以提请公安机关等相关行政机关予以行政协助。</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第二十六条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对当事人、证人等进行询问时，应当个别进行，并制作《询问笔录》。</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《询问笔录》内容应包括反映本案事实的时间、地点、行为及行为人、情节、后果等。同时应有告知当事人享有陈述权和申辩权的记载，使用专门告知文书的除外。</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第二十七条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《询问笔录》经核对无误后，执法人员和被询问人应当在笔录上逐页签名或者摁手印。</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被询问人拒绝签字的，应当由执法人员在笔录上签名注明情况。</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第二十八条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因调查事实、收集证据确需勘查现场的，应当通知当事人或者其代理人到场；当事人或者其代理人拒绝到场的，应当在勘验笔录中载明。</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第二十九条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lang w:val="en-US" w:eastAsia="zh-CN"/>
        </w:rPr>
        <w:t>民政执法</w:t>
      </w:r>
      <w:r>
        <w:rPr>
          <w:rFonts w:hint="eastAsia" w:ascii="仿宋_GB2312" w:hAnsi="仿宋_GB2312" w:eastAsia="仿宋_GB2312" w:cs="仿宋_GB2312"/>
          <w:i w:val="0"/>
          <w:caps w:val="0"/>
          <w:color w:val="auto"/>
          <w:spacing w:val="0"/>
          <w:sz w:val="32"/>
          <w:szCs w:val="32"/>
          <w:shd w:val="clear" w:fill="FFFFFF"/>
        </w:rPr>
        <w:t>机关在作出行政处罚决定之前，应当制作行政处罚事先告知书，告知当事人拟作出行政处罚的事实、理由及依据，并告知当事人依法享有陈述、申辩的权利和其他权利。</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当事人可以自收到行政处罚事先告知书之日起三日内提出陈述和申辩。陈述和申辩可以书面或者口头形式提出。对于当事人、利害关系人的陈述和申辩，应当予以记录并归入案卷。</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16" w:firstLineChars="200"/>
        <w:jc w:val="left"/>
        <w:textAlignment w:val="auto"/>
        <w:rPr>
          <w:rFonts w:hint="eastAsia" w:ascii="仿宋_GB2312" w:hAnsi="仿宋_GB2312" w:eastAsia="仿宋_GB2312" w:cs="仿宋_GB2312"/>
          <w:i w:val="0"/>
          <w:caps w:val="0"/>
          <w:color w:val="auto"/>
          <w:spacing w:val="-6"/>
          <w:sz w:val="32"/>
          <w:szCs w:val="32"/>
          <w:shd w:val="clear" w:fill="FFFFFF"/>
        </w:rPr>
      </w:pPr>
      <w:r>
        <w:rPr>
          <w:rFonts w:hint="eastAsia" w:ascii="仿宋_GB2312" w:hAnsi="仿宋_GB2312" w:eastAsia="仿宋_GB2312" w:cs="仿宋_GB2312"/>
          <w:i w:val="0"/>
          <w:caps w:val="0"/>
          <w:color w:val="auto"/>
          <w:spacing w:val="-6"/>
          <w:sz w:val="32"/>
          <w:szCs w:val="32"/>
          <w:shd w:val="clear" w:fill="FFFFFF"/>
        </w:rPr>
        <w:t>对当事人、利害关系人提出的事实、理由和证据，应当进行审查，并采纳其合理的意见；不予采纳的，应当说明理由。</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left"/>
        <w:textAlignment w:val="auto"/>
        <w:rPr>
          <w:rFonts w:hint="eastAsia" w:ascii="仿宋_GB2312" w:hAnsi="仿宋_GB2312" w:eastAsia="仿宋_GB2312" w:cs="仿宋_GB2312"/>
          <w:i w:val="0"/>
          <w:caps w:val="0"/>
          <w:color w:val="auto"/>
          <w:spacing w:val="0"/>
          <w:sz w:val="32"/>
          <w:szCs w:val="32"/>
          <w:shd w:val="clear" w:fill="FFFFFF"/>
          <w:lang w:eastAsia="zh-CN"/>
        </w:rPr>
      </w:pPr>
      <w:r>
        <w:rPr>
          <w:rFonts w:hint="eastAsia" w:ascii="仿宋_GB2312" w:hAnsi="仿宋_GB2312" w:eastAsia="仿宋_GB2312" w:cs="仿宋_GB2312"/>
          <w:i w:val="0"/>
          <w:caps w:val="0"/>
          <w:color w:val="auto"/>
          <w:spacing w:val="0"/>
          <w:sz w:val="32"/>
          <w:szCs w:val="32"/>
          <w:shd w:val="clear" w:fill="FFFFFF"/>
          <w:lang w:eastAsia="zh-CN"/>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 xml:space="preserve">第四章 </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证  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第三十一条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应当采取合法手段和依照法定程序，全面、客观、公正地收集证据，不得仅收集对当事人不利的证据。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当事人可以以书面、口头或者其他方式向</w:t>
      </w: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提供证据。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第三十二条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行政执法证据包括：</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（一）书证；</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（二）物证；</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（三）当事人陈述；</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（四）证人证言；</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（五）视听资料；</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（六）电子数据；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（七）鉴定意见；</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（八）勘验笔录、现场笔录；</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（九）法律、法规规定的其他证据。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第三十三条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下列证据材料不得作为行政执法决定的依据：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（一）严重违反法定程序收集的；</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（二）以非法偷拍、偷录、窃听等手段侵害他人合法权益取得的；</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（三）以利诱、欺诈、胁迫、暴力等不正当手段取得的；</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（四）没有其他证据印证且相关人员不予认可的证据的复印件或者复制品；</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（五）无法辨认真伪的；</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（六）不能正确表达意志的证人提供的证言；</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（七）在中华人民共和国领域以外形成的未办理法定证明手续的；</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（八）不具备合法性、真实性和关联性的其他证据材料。</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第三十四条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调查取证应当提取证据原件。收集原件确有困难的，可以收集与原件核对无误的复制品、复印件或者证明该物件的照片、录像等其他证据，并由原件保管人员注明“经核对与原件无误”，签名或者盖章，并签署时间。</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第三十五</w:t>
      </w:r>
      <w:r>
        <w:rPr>
          <w:rFonts w:hint="eastAsia" w:ascii="仿宋_GB2312" w:hAnsi="仿宋_GB2312" w:eastAsia="仿宋_GB2312" w:cs="仿宋_GB2312"/>
          <w:i w:val="0"/>
          <w:caps w:val="0"/>
          <w:color w:val="auto"/>
          <w:spacing w:val="0"/>
          <w:sz w:val="32"/>
          <w:szCs w:val="32"/>
          <w:shd w:val="clear" w:fill="FFFFFF"/>
        </w:rPr>
        <w:t>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执法人员必须对证据的真实性、合法性和关联性进行审查。经查证属实的，才能作为认定案件事实和作出处理决定的依据。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第三十六条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证据应当确凿、充分、合法、有效，能准确反映违法事实情况，足以证明违法行为的性质、情节、程度和后果。</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第三十七条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需要对案件证据等进行鉴定的，应当委托有资质的机构进行，出具相应的鉴定意见。</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第三十八条</w:t>
      </w:r>
      <w:r>
        <w:rPr>
          <w:rFonts w:hint="eastAsia" w:ascii="仿宋_GB2312" w:hAnsi="仿宋_GB2312" w:eastAsia="仿宋_GB2312" w:cs="仿宋_GB2312"/>
          <w:i w:val="0"/>
          <w:caps w:val="0"/>
          <w:color w:val="auto"/>
          <w:spacing w:val="0"/>
          <w:sz w:val="32"/>
          <w:szCs w:val="32"/>
          <w:shd w:val="clear" w:fill="FFFFFF"/>
          <w:lang w:eastAsia="zh-CN"/>
        </w:rPr>
        <w:t xml:space="preserve">  衡南县</w:t>
      </w:r>
      <w:r>
        <w:rPr>
          <w:rFonts w:hint="eastAsia" w:ascii="仿宋_GB2312" w:hAnsi="仿宋_GB2312" w:eastAsia="仿宋_GB2312" w:cs="仿宋_GB2312"/>
          <w:i w:val="0"/>
          <w:caps w:val="0"/>
          <w:color w:val="auto"/>
          <w:spacing w:val="0"/>
          <w:sz w:val="32"/>
          <w:szCs w:val="32"/>
          <w:shd w:val="clear" w:fill="FFFFFF"/>
        </w:rPr>
        <w:t>民政局对依职权作出的行政执法决定的合法性、适当性承担举证责任。</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第五章</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 xml:space="preserve"> 听</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证</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第三十九条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有下列情形之一的，在作出行政处罚决定前应当举行听证：</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（一）法律、法规、规章规定应当举行听证的；</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（二）依法告知听证权利后，当事人、利害关系人申请听证的；</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w:t>
      </w:r>
      <w:r>
        <w:rPr>
          <w:rFonts w:hint="eastAsia" w:ascii="仿宋_GB2312" w:hAnsi="仿宋_GB2312" w:eastAsia="仿宋_GB2312" w:cs="仿宋_GB2312"/>
          <w:i w:val="0"/>
          <w:caps w:val="0"/>
          <w:color w:val="auto"/>
          <w:spacing w:val="0"/>
          <w:sz w:val="32"/>
          <w:szCs w:val="32"/>
          <w:shd w:val="clear" w:fill="FFFFFF"/>
          <w:lang w:val="en-US" w:eastAsia="zh-CN"/>
        </w:rPr>
        <w:t>衡南县民政局</w:t>
      </w:r>
      <w:r>
        <w:rPr>
          <w:rFonts w:hint="eastAsia" w:ascii="仿宋_GB2312" w:hAnsi="仿宋_GB2312" w:eastAsia="仿宋_GB2312" w:cs="仿宋_GB2312"/>
          <w:i w:val="0"/>
          <w:caps w:val="0"/>
          <w:color w:val="auto"/>
          <w:spacing w:val="0"/>
          <w:sz w:val="32"/>
          <w:szCs w:val="32"/>
          <w:shd w:val="clear" w:fill="FFFFFF"/>
        </w:rPr>
        <w:t>认为有必要举行听证的其他情形。</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当事人要求听证的，应当在</w:t>
      </w:r>
      <w:r>
        <w:rPr>
          <w:rFonts w:hint="eastAsia" w:ascii="仿宋_GB2312" w:hAnsi="仿宋_GB2312" w:eastAsia="仿宋_GB2312" w:cs="仿宋_GB2312"/>
          <w:i w:val="0"/>
          <w:caps w:val="0"/>
          <w:color w:val="auto"/>
          <w:spacing w:val="0"/>
          <w:sz w:val="32"/>
          <w:szCs w:val="32"/>
          <w:shd w:val="clear" w:fill="FFFFFF"/>
          <w:lang w:eastAsia="zh-CN"/>
        </w:rPr>
        <w:t>民政执法机关</w:t>
      </w:r>
      <w:r>
        <w:rPr>
          <w:rFonts w:hint="eastAsia" w:ascii="仿宋_GB2312" w:hAnsi="仿宋_GB2312" w:eastAsia="仿宋_GB2312" w:cs="仿宋_GB2312"/>
          <w:i w:val="0"/>
          <w:caps w:val="0"/>
          <w:color w:val="auto"/>
          <w:spacing w:val="0"/>
          <w:sz w:val="32"/>
          <w:szCs w:val="32"/>
          <w:shd w:val="clear" w:fill="FFFFFF"/>
        </w:rPr>
        <w:t>告知之日起三日内提出。</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第四十一条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lang w:val="en-US" w:eastAsia="zh-CN"/>
        </w:rPr>
        <w:t>衡南县民政局</w:t>
      </w:r>
      <w:r>
        <w:rPr>
          <w:rFonts w:hint="eastAsia" w:ascii="仿宋_GB2312" w:hAnsi="仿宋_GB2312" w:eastAsia="仿宋_GB2312" w:cs="仿宋_GB2312"/>
          <w:i w:val="0"/>
          <w:caps w:val="0"/>
          <w:color w:val="auto"/>
          <w:spacing w:val="0"/>
          <w:sz w:val="32"/>
          <w:szCs w:val="32"/>
          <w:shd w:val="clear" w:fill="FFFFFF"/>
        </w:rPr>
        <w:t>决定听证的，应当在收到当事人听证要求后三日内，确定听证主持人、听证员和举行听证的时间、地点、方式，并在举行听证的七日前，向当事人、案件调查人和其他听证参与人送达听证通知书。</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听证通知书应当载明下列事项：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（一）当事人的姓名或者名称；</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（二）举行听证的时间、地点、方式；</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（三）听证主持人的姓名；</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（四）告知当事人有权申请回避；</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（五）告知当事人准备有关证据材料。</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听证通知书须盖有</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民政局的印章。</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第四十二条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听证依照以下程序组织：</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（一）听证主持人宣布听证事由及听证纪律；</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（二）听证主持人核对案件调查人和当事人的身份；</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（三）听证主持人宣布听证的组成人员，告知听证的权利和义务，询问当事人是否申请回避，当事人申请听证主持人回避的，听证主持人应当宣布暂停听证，报请</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民政局负责人决定是否回避；申请听证员、记录人、鉴定人、翻译人回避的，由听证主持人当场决定；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（四）案件调查人提出当事人的违法事实、证据和行政处罚建议及法律依据；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（五）当事人进行陈述、申辩和质证；</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（六）听证主持人就案件事实、证据和有关法律依据进行询问；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（七）案件调查人、当事人作最后陈述；</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（八）听证主持人宣布听证结束。</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当事人委托代理人参加听证的，应当在听证举行前，将委托代理书交</w:t>
      </w:r>
      <w:r>
        <w:rPr>
          <w:rFonts w:hint="eastAsia" w:ascii="仿宋_GB2312" w:hAnsi="仿宋_GB2312" w:eastAsia="仿宋_GB2312" w:cs="仿宋_GB2312"/>
          <w:i w:val="0"/>
          <w:caps w:val="0"/>
          <w:color w:val="auto"/>
          <w:spacing w:val="0"/>
          <w:sz w:val="32"/>
          <w:szCs w:val="32"/>
          <w:shd w:val="clear" w:fill="FFFFFF"/>
          <w:lang w:val="en-US" w:eastAsia="zh-CN"/>
        </w:rPr>
        <w:t>民政执法机关</w:t>
      </w:r>
      <w:r>
        <w:rPr>
          <w:rFonts w:hint="eastAsia" w:ascii="仿宋_GB2312" w:hAnsi="仿宋_GB2312" w:eastAsia="仿宋_GB2312" w:cs="仿宋_GB2312"/>
          <w:i w:val="0"/>
          <w:caps w:val="0"/>
          <w:color w:val="auto"/>
          <w:spacing w:val="0"/>
          <w:sz w:val="32"/>
          <w:szCs w:val="32"/>
          <w:shd w:val="clear" w:fill="FFFFFF"/>
        </w:rPr>
        <w:t>。</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第四十三条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听证应当制作笔录。听证笔录应当载明下列事项：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（一）案由；</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（二）当事人的姓名、名称、法定代理人及委托代理人，案件调查人的姓名；</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（三）听证主持人、听证员、记录人姓名；</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（四）举行听证的时间、地点和方式；</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（五）案件调查人提出的事实、证据和行政处罚建议及法律依据；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（六）当事人陈述、申辩和质证的内容；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（七）其他需要载明的事项。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听证笔录应当经当事人、案件调查人、听证主持人、听证员阅读核对无误后签名或者盖章；笔录中有关证人证言部分，应当交证人阅读核对无误后签名或者盖章，当事人拒绝签名或者盖章的，由听证主持人在听证笔录上记明情况。</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left"/>
        <w:textAlignment w:val="auto"/>
        <w:rPr>
          <w:rFonts w:hint="eastAsia" w:ascii="仿宋_GB2312" w:hAnsi="仿宋_GB2312" w:eastAsia="仿宋_GB2312" w:cs="仿宋_GB2312"/>
          <w:i w:val="0"/>
          <w:caps w:val="0"/>
          <w:color w:val="auto"/>
          <w:spacing w:val="0"/>
          <w:sz w:val="32"/>
          <w:szCs w:val="32"/>
          <w:shd w:val="clear" w:fill="FFFFFF"/>
          <w:lang w:eastAsia="zh-CN"/>
        </w:rPr>
      </w:pPr>
      <w:r>
        <w:rPr>
          <w:rFonts w:hint="eastAsia" w:ascii="仿宋_GB2312" w:hAnsi="仿宋_GB2312" w:eastAsia="仿宋_GB2312" w:cs="仿宋_GB2312"/>
          <w:i w:val="0"/>
          <w:caps w:val="0"/>
          <w:color w:val="auto"/>
          <w:spacing w:val="0"/>
          <w:sz w:val="32"/>
          <w:szCs w:val="32"/>
          <w:shd w:val="clear" w:fill="FFFFFF"/>
          <w:lang w:eastAsia="zh-CN"/>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 xml:space="preserve">第六章 </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决  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第四十四条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调查取证结束，案件承办人应当起草《案件调查终结报告》，内容主要包括：案由、立案时间、当事人基本情况、案件事实、案件性质、处理依据、处理意见建议等。</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第四十五条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《案件调查终结报告》形成后，由执法机构组织开展集体讨论。</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案件承办人应当按照讨论意见，对《案件调查终结报告》进行修改补充，予以完善，并草拟行政执法决定书。</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第四十六条</w:t>
      </w:r>
      <w:r>
        <w:rPr>
          <w:rFonts w:hint="eastAsia" w:ascii="仿宋_GB2312" w:hAnsi="仿宋_GB2312" w:eastAsia="仿宋_GB2312" w:cs="仿宋_GB2312"/>
          <w:i w:val="0"/>
          <w:caps w:val="0"/>
          <w:color w:val="auto"/>
          <w:spacing w:val="0"/>
          <w:sz w:val="32"/>
          <w:szCs w:val="32"/>
          <w:shd w:val="clear" w:fill="FFFFFF"/>
          <w:lang w:eastAsia="zh-CN"/>
        </w:rPr>
        <w:t xml:space="preserve">  衡南县</w:t>
      </w:r>
      <w:r>
        <w:rPr>
          <w:rFonts w:hint="eastAsia" w:ascii="仿宋_GB2312" w:hAnsi="仿宋_GB2312" w:eastAsia="仿宋_GB2312" w:cs="仿宋_GB2312"/>
          <w:i w:val="0"/>
          <w:caps w:val="0"/>
          <w:color w:val="auto"/>
          <w:spacing w:val="0"/>
          <w:sz w:val="32"/>
          <w:szCs w:val="32"/>
          <w:shd w:val="clear" w:fill="FFFFFF"/>
        </w:rPr>
        <w:t>民政局</w:t>
      </w:r>
      <w:r>
        <w:rPr>
          <w:rFonts w:hint="eastAsia" w:ascii="仿宋_GB2312" w:hAnsi="仿宋_GB2312" w:eastAsia="仿宋_GB2312" w:cs="仿宋_GB2312"/>
          <w:i w:val="0"/>
          <w:caps w:val="0"/>
          <w:color w:val="auto"/>
          <w:spacing w:val="0"/>
          <w:sz w:val="32"/>
          <w:szCs w:val="32"/>
          <w:shd w:val="clear" w:fill="FFFFFF"/>
          <w:lang w:val="en-US" w:eastAsia="zh-CN"/>
        </w:rPr>
        <w:t>办公室（</w:t>
      </w:r>
      <w:r>
        <w:rPr>
          <w:rFonts w:hint="eastAsia" w:ascii="仿宋_GB2312" w:hAnsi="仿宋_GB2312" w:eastAsia="仿宋_GB2312" w:cs="仿宋_GB2312"/>
          <w:i w:val="0"/>
          <w:caps w:val="0"/>
          <w:color w:val="auto"/>
          <w:spacing w:val="0"/>
          <w:sz w:val="32"/>
          <w:szCs w:val="32"/>
          <w:shd w:val="clear" w:fill="FFFFFF"/>
        </w:rPr>
        <w:t>政策法规</w:t>
      </w:r>
      <w:r>
        <w:rPr>
          <w:rFonts w:hint="eastAsia" w:ascii="仿宋_GB2312" w:hAnsi="仿宋_GB2312" w:eastAsia="仿宋_GB2312" w:cs="仿宋_GB2312"/>
          <w:i w:val="0"/>
          <w:caps w:val="0"/>
          <w:color w:val="auto"/>
          <w:spacing w:val="0"/>
          <w:sz w:val="32"/>
          <w:szCs w:val="32"/>
          <w:shd w:val="clear" w:fill="FFFFFF"/>
          <w:lang w:val="en-US" w:eastAsia="zh-CN"/>
        </w:rPr>
        <w:t>股）</w:t>
      </w:r>
      <w:r>
        <w:rPr>
          <w:rFonts w:hint="eastAsia" w:ascii="仿宋_GB2312" w:hAnsi="仿宋_GB2312" w:eastAsia="仿宋_GB2312" w:cs="仿宋_GB2312"/>
          <w:i w:val="0"/>
          <w:caps w:val="0"/>
          <w:color w:val="auto"/>
          <w:spacing w:val="0"/>
          <w:sz w:val="32"/>
          <w:szCs w:val="32"/>
          <w:shd w:val="clear" w:fill="FFFFFF"/>
        </w:rPr>
        <w:t>负责重大行政执法决定的法制审核工作，重点审核执法主体、管辖权限、执法程序、事实认定、自由裁量权运用和法律适用，并出具法制审核意见书。</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第四十七条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行政执法决定应当以书面形式作出。但是法律、法规、规章另有规定的除外。</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行政执法决定应当载明下列事项：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（一）当事人的基本情况；</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（二）事实以及认定事实的证据；</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（三）适用的法律规范；</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（四）决定内容；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（五）履行的方式和时间；</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（六）救济的途径和期限；</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（七）</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民政局的印章与决定日期；</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（八）应当载明的其他事项。</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第四十八条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行政执法决定限制公民、法人和其他组织权利或者增加其义务的，应当说明决定的理由。</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第四十九条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行政执法决定书由</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民政局负责人签发。重大的行政执法案件，应当经本机关负责人集体讨论决定。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行政执法决定自送达之日起生效。</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0"/>
        <w:jc w:val="left"/>
        <w:textAlignment w:val="auto"/>
        <w:rPr>
          <w:rFonts w:hint="eastAsia" w:ascii="仿宋_GB2312" w:hAnsi="仿宋_GB2312" w:eastAsia="仿宋_GB2312" w:cs="仿宋_GB2312"/>
          <w:i w:val="0"/>
          <w:caps w:val="0"/>
          <w:color w:val="auto"/>
          <w:spacing w:val="0"/>
          <w:sz w:val="32"/>
          <w:szCs w:val="32"/>
          <w:shd w:val="clear" w:fill="FFFFFF"/>
          <w:lang w:eastAsia="zh-CN"/>
        </w:rPr>
      </w:pPr>
      <w:r>
        <w:rPr>
          <w:rFonts w:hint="eastAsia" w:ascii="仿宋_GB2312" w:hAnsi="仿宋_GB2312" w:eastAsia="仿宋_GB2312" w:cs="仿宋_GB2312"/>
          <w:i w:val="0"/>
          <w:caps w:val="0"/>
          <w:color w:val="auto"/>
          <w:spacing w:val="0"/>
          <w:sz w:val="32"/>
          <w:szCs w:val="32"/>
          <w:shd w:val="clear" w:fill="FFFFFF"/>
          <w:lang w:eastAsia="zh-CN"/>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第七章  期限和送达</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第五十一条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法律、法规、规章对行政执法事项有明确期限规定的，必须在法定期限内办结。</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对行政执法事项的办理期限作出明确承诺的，应当在承诺期限内办结。</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第五十二条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作出行政执法决定，如依法需要听证、检验、检测、检疫、鉴定、专家评审等，所需时间不计算在规定的期限内。</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第五十三条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送达行政执法决定应当由受送达人在送达回证或者附卷的决定书上注明收到日期，盖章、签名或摁手印。</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受送达人在送达回证或者附卷的决定书上的签收日期为送达日期。</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送达程序参照《中华人民共和国民事诉讼法》有关规定执行。</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4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第五十四条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公告送达，可以在受送达人原住所地张贴公告，也可以在市级有一定影响力的报纸上刊登公告。自发出公告之日起，经过六十日，即视为送达。</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left"/>
        <w:textAlignment w:val="auto"/>
        <w:rPr>
          <w:rFonts w:hint="eastAsia" w:ascii="仿宋_GB2312" w:hAnsi="仿宋_GB2312" w:eastAsia="仿宋_GB2312" w:cs="仿宋_GB2312"/>
          <w:i w:val="0"/>
          <w:caps w:val="0"/>
          <w:color w:val="auto"/>
          <w:spacing w:val="0"/>
          <w:sz w:val="32"/>
          <w:szCs w:val="32"/>
          <w:shd w:val="clear" w:fill="FFFFFF"/>
          <w:lang w:eastAsia="zh-CN"/>
        </w:rPr>
      </w:pPr>
      <w:r>
        <w:rPr>
          <w:rFonts w:hint="eastAsia" w:ascii="仿宋_GB2312" w:hAnsi="仿宋_GB2312" w:eastAsia="仿宋_GB2312" w:cs="仿宋_GB2312"/>
          <w:i w:val="0"/>
          <w:caps w:val="0"/>
          <w:color w:val="auto"/>
          <w:spacing w:val="0"/>
          <w:sz w:val="32"/>
          <w:szCs w:val="32"/>
          <w:shd w:val="clear" w:fill="FFFFFF"/>
          <w:lang w:eastAsia="zh-CN"/>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第八章</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 xml:space="preserve">  简易程序</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第五十五条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对事实简单、当场可以查实、有法定依据且对当事人合法权益影响较小的事项，执法人员可以适用简易程序作出行政执法决定。法律、法规对简易程序的适用范围另有规定的，从其规定。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第五十六条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对适用简易程序的事项可以口头告知当事人行政执法决定的事实、依据和理由，并当场听取当事人的陈述与申辩。</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当事人提出的事实、理由或者证据成立的，应当采纳；不采纳的应当说明理由。</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第五十七条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适用简易程序的，可以当场作出行政执法决定。</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仿宋_GB2312" w:hAnsi="仿宋_GB2312" w:eastAsia="仿宋_GB2312" w:cs="仿宋_GB2312"/>
          <w:i w:val="0"/>
          <w:caps w:val="0"/>
          <w:color w:val="auto"/>
          <w:spacing w:val="0"/>
          <w:sz w:val="32"/>
          <w:szCs w:val="32"/>
          <w:shd w:val="clear" w:fill="FFFFFF"/>
        </w:rPr>
        <w:t>行政执法人员当场作出行政执法决定的，应当报局机关备案。</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left"/>
        <w:textAlignment w:val="auto"/>
        <w:rPr>
          <w:rFonts w:hint="eastAsia" w:ascii="仿宋_GB2312" w:hAnsi="仿宋_GB2312" w:eastAsia="仿宋_GB2312" w:cs="仿宋_GB2312"/>
          <w:i w:val="0"/>
          <w:caps w:val="0"/>
          <w:color w:val="auto"/>
          <w:spacing w:val="0"/>
          <w:sz w:val="32"/>
          <w:szCs w:val="32"/>
          <w:shd w:val="clear" w:fill="FFFFFF"/>
          <w:lang w:eastAsia="zh-CN"/>
        </w:rPr>
      </w:pPr>
      <w:r>
        <w:rPr>
          <w:rFonts w:hint="eastAsia" w:ascii="仿宋_GB2312" w:hAnsi="仿宋_GB2312" w:eastAsia="仿宋_GB2312" w:cs="仿宋_GB2312"/>
          <w:i w:val="0"/>
          <w:caps w:val="0"/>
          <w:color w:val="auto"/>
          <w:spacing w:val="0"/>
          <w:sz w:val="32"/>
          <w:szCs w:val="32"/>
          <w:shd w:val="clear" w:fill="FFFFFF"/>
          <w:lang w:eastAsia="zh-CN"/>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第九章  立卷归档</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第五十八条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案件承办人员应当将办案过程中形成的全部材料及时整理装订成卷，送</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民政局档案室归档。</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第五十九条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作出的重大行政执法决定，应当自作出决定之日起十五日内将行政执法决定书和必要材料报</w:t>
      </w:r>
      <w:r>
        <w:rPr>
          <w:rFonts w:hint="eastAsia" w:ascii="仿宋_GB2312" w:hAnsi="仿宋_GB2312" w:eastAsia="仿宋_GB2312" w:cs="仿宋_GB2312"/>
          <w:i w:val="0"/>
          <w:caps w:val="0"/>
          <w:color w:val="auto"/>
          <w:spacing w:val="0"/>
          <w:sz w:val="32"/>
          <w:szCs w:val="32"/>
          <w:shd w:val="clear" w:fill="FFFFFF"/>
          <w:lang w:val="en-US" w:eastAsia="zh-CN"/>
        </w:rPr>
        <w:t>县</w:t>
      </w:r>
      <w:r>
        <w:rPr>
          <w:rFonts w:hint="eastAsia" w:ascii="仿宋_GB2312" w:hAnsi="仿宋_GB2312" w:eastAsia="仿宋_GB2312" w:cs="仿宋_GB2312"/>
          <w:i w:val="0"/>
          <w:caps w:val="0"/>
          <w:color w:val="auto"/>
          <w:spacing w:val="0"/>
          <w:sz w:val="32"/>
          <w:szCs w:val="32"/>
          <w:shd w:val="clear" w:fill="FFFFFF"/>
        </w:rPr>
        <w:t>人民政府法制工作机构和</w:t>
      </w:r>
      <w:r>
        <w:rPr>
          <w:rFonts w:hint="eastAsia" w:ascii="仿宋_GB2312" w:hAnsi="仿宋_GB2312" w:eastAsia="仿宋_GB2312" w:cs="仿宋_GB2312"/>
          <w:i w:val="0"/>
          <w:caps w:val="0"/>
          <w:color w:val="auto"/>
          <w:spacing w:val="0"/>
          <w:sz w:val="32"/>
          <w:szCs w:val="32"/>
          <w:shd w:val="clear" w:fill="FFFFFF"/>
          <w:lang w:val="en-US" w:eastAsia="zh-CN"/>
        </w:rPr>
        <w:t>市</w:t>
      </w:r>
      <w:r>
        <w:rPr>
          <w:rFonts w:hint="eastAsia" w:ascii="仿宋_GB2312" w:hAnsi="仿宋_GB2312" w:eastAsia="仿宋_GB2312" w:cs="仿宋_GB2312"/>
          <w:i w:val="0"/>
          <w:caps w:val="0"/>
          <w:color w:val="auto"/>
          <w:spacing w:val="0"/>
          <w:sz w:val="32"/>
          <w:szCs w:val="32"/>
          <w:shd w:val="clear" w:fill="FFFFFF"/>
        </w:rPr>
        <w:t>民政</w:t>
      </w:r>
      <w:r>
        <w:rPr>
          <w:rFonts w:hint="eastAsia" w:ascii="仿宋_GB2312" w:hAnsi="仿宋_GB2312" w:eastAsia="仿宋_GB2312" w:cs="仿宋_GB2312"/>
          <w:i w:val="0"/>
          <w:caps w:val="0"/>
          <w:color w:val="auto"/>
          <w:spacing w:val="0"/>
          <w:sz w:val="32"/>
          <w:szCs w:val="32"/>
          <w:shd w:val="clear" w:fill="FFFFFF"/>
          <w:lang w:val="en-US" w:eastAsia="zh-CN"/>
        </w:rPr>
        <w:t>局</w:t>
      </w:r>
      <w:r>
        <w:rPr>
          <w:rFonts w:hint="eastAsia" w:ascii="仿宋_GB2312" w:hAnsi="仿宋_GB2312" w:eastAsia="仿宋_GB2312" w:cs="仿宋_GB2312"/>
          <w:i w:val="0"/>
          <w:caps w:val="0"/>
          <w:color w:val="auto"/>
          <w:spacing w:val="0"/>
          <w:sz w:val="32"/>
          <w:szCs w:val="32"/>
          <w:shd w:val="clear" w:fill="FFFFFF"/>
        </w:rPr>
        <w:t>备案。</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第六十条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lang w:eastAsia="zh-CN"/>
        </w:rPr>
        <w:t>衡南县</w:t>
      </w:r>
      <w:r>
        <w:rPr>
          <w:rFonts w:hint="eastAsia" w:ascii="仿宋_GB2312" w:hAnsi="仿宋_GB2312" w:eastAsia="仿宋_GB2312" w:cs="仿宋_GB2312"/>
          <w:i w:val="0"/>
          <w:caps w:val="0"/>
          <w:color w:val="auto"/>
          <w:spacing w:val="0"/>
          <w:sz w:val="32"/>
          <w:szCs w:val="32"/>
          <w:shd w:val="clear" w:fill="FFFFFF"/>
        </w:rPr>
        <w:t>民政局</w:t>
      </w:r>
      <w:r>
        <w:rPr>
          <w:rFonts w:hint="eastAsia" w:ascii="仿宋_GB2312" w:hAnsi="仿宋_GB2312" w:eastAsia="仿宋_GB2312" w:cs="仿宋_GB2312"/>
          <w:i w:val="0"/>
          <w:caps w:val="0"/>
          <w:color w:val="auto"/>
          <w:spacing w:val="0"/>
          <w:sz w:val="32"/>
          <w:szCs w:val="32"/>
          <w:shd w:val="clear" w:fill="FFFFFF"/>
          <w:lang w:val="en-US" w:eastAsia="zh-CN"/>
        </w:rPr>
        <w:t>办公室（</w:t>
      </w:r>
      <w:r>
        <w:rPr>
          <w:rFonts w:hint="eastAsia" w:ascii="仿宋_GB2312" w:hAnsi="仿宋_GB2312" w:eastAsia="仿宋_GB2312" w:cs="仿宋_GB2312"/>
          <w:i w:val="0"/>
          <w:caps w:val="0"/>
          <w:color w:val="auto"/>
          <w:spacing w:val="0"/>
          <w:sz w:val="32"/>
          <w:szCs w:val="32"/>
          <w:shd w:val="clear" w:fill="FFFFFF"/>
        </w:rPr>
        <w:t>政策法规</w:t>
      </w:r>
      <w:r>
        <w:rPr>
          <w:rFonts w:hint="eastAsia" w:ascii="仿宋_GB2312" w:hAnsi="仿宋_GB2312" w:eastAsia="仿宋_GB2312" w:cs="仿宋_GB2312"/>
          <w:i w:val="0"/>
          <w:caps w:val="0"/>
          <w:color w:val="auto"/>
          <w:spacing w:val="0"/>
          <w:sz w:val="32"/>
          <w:szCs w:val="32"/>
          <w:shd w:val="clear" w:fill="FFFFFF"/>
          <w:lang w:val="en-US" w:eastAsia="zh-CN"/>
        </w:rPr>
        <w:t>股）</w:t>
      </w:r>
      <w:r>
        <w:rPr>
          <w:rFonts w:hint="eastAsia" w:ascii="仿宋_GB2312" w:hAnsi="仿宋_GB2312" w:eastAsia="仿宋_GB2312" w:cs="仿宋_GB2312"/>
          <w:i w:val="0"/>
          <w:caps w:val="0"/>
          <w:color w:val="auto"/>
          <w:spacing w:val="0"/>
          <w:sz w:val="32"/>
          <w:szCs w:val="32"/>
          <w:shd w:val="clear" w:fill="FFFFFF"/>
        </w:rPr>
        <w:t>定期组织对行政执法案卷进行评查，并将评查情况进行通报。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left"/>
        <w:textAlignment w:val="auto"/>
        <w:rPr>
          <w:rFonts w:hint="eastAsia" w:ascii="仿宋_GB2312" w:hAnsi="仿宋_GB2312" w:eastAsia="仿宋_GB2312" w:cs="仿宋_GB2312"/>
          <w:i w:val="0"/>
          <w:caps w:val="0"/>
          <w:color w:val="auto"/>
          <w:spacing w:val="0"/>
          <w:sz w:val="32"/>
          <w:szCs w:val="32"/>
          <w:shd w:val="clear" w:fill="FFFFFF"/>
          <w:lang w:eastAsia="zh-CN"/>
        </w:rPr>
      </w:pPr>
      <w:r>
        <w:rPr>
          <w:rFonts w:hint="eastAsia" w:ascii="仿宋_GB2312" w:hAnsi="仿宋_GB2312" w:eastAsia="仿宋_GB2312" w:cs="仿宋_GB2312"/>
          <w:i w:val="0"/>
          <w:caps w:val="0"/>
          <w:color w:val="auto"/>
          <w:spacing w:val="0"/>
          <w:sz w:val="32"/>
          <w:szCs w:val="32"/>
          <w:shd w:val="clear" w:fill="FFFFFF"/>
          <w:lang w:eastAsia="zh-CN"/>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第十章  附  则</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第六十一条</w:t>
      </w:r>
      <w:r>
        <w:rPr>
          <w:rFonts w:hint="eastAsia" w:ascii="仿宋_GB2312" w:hAnsi="仿宋_GB2312" w:eastAsia="仿宋_GB2312" w:cs="仿宋_GB2312"/>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本规</w:t>
      </w:r>
      <w:r>
        <w:rPr>
          <w:rFonts w:hint="eastAsia" w:ascii="仿宋_GB2312" w:hAnsi="仿宋_GB2312" w:eastAsia="仿宋_GB2312" w:cs="仿宋_GB2312"/>
          <w:i w:val="0"/>
          <w:caps w:val="0"/>
          <w:color w:val="auto"/>
          <w:spacing w:val="0"/>
          <w:sz w:val="32"/>
          <w:szCs w:val="32"/>
          <w:shd w:val="clear" w:fill="FFFFFF"/>
          <w:lang w:val="en-US" w:eastAsia="zh-CN"/>
        </w:rPr>
        <w:t>程</w:t>
      </w:r>
      <w:r>
        <w:rPr>
          <w:rFonts w:hint="eastAsia" w:ascii="仿宋_GB2312" w:hAnsi="仿宋_GB2312" w:eastAsia="仿宋_GB2312" w:cs="仿宋_GB2312"/>
          <w:i w:val="0"/>
          <w:caps w:val="0"/>
          <w:color w:val="auto"/>
          <w:spacing w:val="0"/>
          <w:sz w:val="32"/>
          <w:szCs w:val="32"/>
          <w:shd w:val="clear" w:fill="FFFFFF"/>
        </w:rPr>
        <w:t>有关期间的规定均以工作日计算，不含法定节假日。</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r>
        <w:rPr>
          <w:rFonts w:hint="eastAsia" w:ascii="黑体" w:hAnsi="黑体" w:eastAsia="黑体" w:cs="黑体"/>
          <w:i w:val="0"/>
          <w:caps w:val="0"/>
          <w:color w:val="auto"/>
          <w:spacing w:val="0"/>
          <w:sz w:val="32"/>
          <w:szCs w:val="32"/>
          <w:shd w:val="clear" w:fill="FFFFFF"/>
        </w:rPr>
        <w:t>第六十二条</w:t>
      </w:r>
      <w:r>
        <w:rPr>
          <w:rFonts w:hint="eastAsia" w:ascii="黑体" w:hAnsi="黑体" w:eastAsia="黑体" w:cs="黑体"/>
          <w:i w:val="0"/>
          <w:caps w:val="0"/>
          <w:color w:val="auto"/>
          <w:spacing w:val="0"/>
          <w:sz w:val="32"/>
          <w:szCs w:val="32"/>
          <w:shd w:val="clear" w:fill="FFFFFF"/>
          <w:lang w:eastAsia="zh-CN"/>
        </w:rPr>
        <w:t xml:space="preserve">  </w:t>
      </w:r>
      <w:r>
        <w:rPr>
          <w:rFonts w:hint="eastAsia" w:ascii="仿宋_GB2312" w:hAnsi="仿宋_GB2312" w:eastAsia="仿宋_GB2312" w:cs="仿宋_GB2312"/>
          <w:i w:val="0"/>
          <w:caps w:val="0"/>
          <w:color w:val="auto"/>
          <w:spacing w:val="0"/>
          <w:sz w:val="32"/>
          <w:szCs w:val="32"/>
          <w:shd w:val="clear" w:fill="FFFFFF"/>
        </w:rPr>
        <w:t>本规</w:t>
      </w:r>
      <w:r>
        <w:rPr>
          <w:rFonts w:hint="eastAsia" w:ascii="仿宋_GB2312" w:hAnsi="仿宋_GB2312" w:eastAsia="仿宋_GB2312" w:cs="仿宋_GB2312"/>
          <w:i w:val="0"/>
          <w:caps w:val="0"/>
          <w:color w:val="auto"/>
          <w:spacing w:val="0"/>
          <w:sz w:val="32"/>
          <w:szCs w:val="32"/>
          <w:shd w:val="clear" w:fill="FFFFFF"/>
          <w:lang w:val="en-US" w:eastAsia="zh-CN"/>
        </w:rPr>
        <w:t>程</w:t>
      </w:r>
      <w:r>
        <w:rPr>
          <w:rFonts w:hint="eastAsia" w:ascii="仿宋_GB2312" w:hAnsi="仿宋_GB2312" w:eastAsia="仿宋_GB2312" w:cs="仿宋_GB2312"/>
          <w:i w:val="0"/>
          <w:caps w:val="0"/>
          <w:color w:val="auto"/>
          <w:spacing w:val="0"/>
          <w:sz w:val="32"/>
          <w:szCs w:val="32"/>
          <w:shd w:val="clear" w:fill="FFFFFF"/>
        </w:rPr>
        <w:t>自</w:t>
      </w:r>
      <w:r>
        <w:rPr>
          <w:rFonts w:hint="eastAsia" w:ascii="仿宋_GB2312" w:hAnsi="仿宋_GB2312" w:eastAsia="仿宋_GB2312" w:cs="仿宋_GB2312"/>
          <w:i w:val="0"/>
          <w:caps w:val="0"/>
          <w:color w:val="auto"/>
          <w:spacing w:val="0"/>
          <w:sz w:val="32"/>
          <w:szCs w:val="32"/>
          <w:shd w:val="clear" w:fill="FFFFFF"/>
          <w:lang w:val="en-US" w:eastAsia="zh-CN"/>
        </w:rPr>
        <w:t>印发之日</w:t>
      </w:r>
      <w:r>
        <w:rPr>
          <w:rFonts w:hint="eastAsia" w:ascii="仿宋_GB2312" w:hAnsi="仿宋_GB2312" w:eastAsia="仿宋_GB2312" w:cs="仿宋_GB2312"/>
          <w:i w:val="0"/>
          <w:caps w:val="0"/>
          <w:color w:val="auto"/>
          <w:spacing w:val="0"/>
          <w:sz w:val="32"/>
          <w:szCs w:val="32"/>
          <w:shd w:val="clear" w:fill="FFFFFF"/>
        </w:rPr>
        <w:t>起施行。</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auto"/>
          <w:spacing w:val="0"/>
          <w:sz w:val="32"/>
          <w:szCs w:val="32"/>
          <w:shd w:val="clear" w:fill="FFFFFF"/>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640" w:firstLineChars="200"/>
        <w:jc w:val="left"/>
        <w:textAlignment w:val="auto"/>
        <w:rPr>
          <w:rFonts w:hint="eastAsia" w:ascii="仿宋_GB2312" w:hAnsi="仿宋_GB2312" w:eastAsia="仿宋_GB2312" w:cs="仿宋_GB2312"/>
          <w:i w:val="0"/>
          <w:caps w:val="0"/>
          <w:color w:val="333333"/>
          <w:spacing w:val="0"/>
          <w:sz w:val="32"/>
          <w:szCs w:val="32"/>
          <w:shd w:val="clear" w:fill="FFFFFF"/>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仿宋_GB2312" w:hAnsi="仿宋_GB2312" w:eastAsia="仿宋_GB2312" w:cs="仿宋_GB2312"/>
          <w:color w:val="auto"/>
          <w:spacing w:val="-2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仿宋_GB2312" w:hAnsi="仿宋_GB2312" w:eastAsia="仿宋_GB2312" w:cs="仿宋_GB2312"/>
          <w:color w:val="auto"/>
          <w:spacing w:val="-20"/>
          <w:sz w:val="32"/>
          <w:szCs w:val="32"/>
          <w:lang w:eastAsia="zh-CN"/>
        </w:rPr>
      </w:pPr>
    </w:p>
    <w:p>
      <w:pPr>
        <w:rPr>
          <w:rFonts w:hint="eastAsia" w:ascii="仿宋_GB2312" w:hAnsi="仿宋_GB2312" w:eastAsia="仿宋_GB2312" w:cs="仿宋_GB2312"/>
          <w:color w:val="auto"/>
          <w:spacing w:val="-20"/>
          <w:sz w:val="32"/>
          <w:szCs w:val="32"/>
          <w:lang w:eastAsia="zh-CN"/>
        </w:rPr>
      </w:pPr>
      <w:r>
        <w:rPr>
          <w:rFonts w:hint="eastAsia" w:ascii="仿宋_GB2312" w:hAnsi="仿宋_GB2312" w:eastAsia="仿宋_GB2312" w:cs="仿宋_GB2312"/>
          <w:color w:val="auto"/>
          <w:spacing w:val="-20"/>
          <w:sz w:val="32"/>
          <w:szCs w:val="32"/>
          <w:lang w:eastAsia="zh-CN"/>
        </w:rPr>
        <w:br w:type="page"/>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仿宋_GB2312" w:hAnsi="仿宋_GB2312" w:eastAsia="仿宋_GB2312" w:cs="仿宋_GB2312"/>
          <w:color w:val="auto"/>
          <w:spacing w:val="-20"/>
          <w:sz w:val="32"/>
          <w:szCs w:val="32"/>
          <w:lang w:eastAsia="zh-CN"/>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r>
        <w:rPr>
          <w:rFonts w:hint="eastAsia" w:ascii="方正小标宋简体" w:hAnsi="方正小标宋简体" w:eastAsia="方正小标宋简体" w:cs="方正小标宋简体"/>
          <w:b/>
          <w:bCs/>
          <w:kern w:val="2"/>
          <w:sz w:val="44"/>
          <w:szCs w:val="44"/>
          <w:lang w:val="en-US" w:eastAsia="zh-CN" w:bidi="ar-SA"/>
        </w:rPr>
        <w:t>衡南县民政局行政执法公示实施细则</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color w:val="auto"/>
          <w:sz w:val="32"/>
          <w:szCs w:val="32"/>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第一章  总  则</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第一条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为规范和监督</w:t>
      </w:r>
      <w:r>
        <w:rPr>
          <w:rFonts w:hint="eastAsia" w:ascii="仿宋_GB2312" w:hAnsi="仿宋_GB2312" w:eastAsia="仿宋_GB2312" w:cs="仿宋_GB2312"/>
          <w:b w:val="0"/>
          <w:bCs w:val="0"/>
          <w:color w:val="auto"/>
          <w:sz w:val="32"/>
          <w:szCs w:val="32"/>
          <w:lang w:eastAsia="zh-CN"/>
        </w:rPr>
        <w:t>民政</w:t>
      </w:r>
      <w:r>
        <w:rPr>
          <w:rFonts w:hint="eastAsia" w:ascii="仿宋_GB2312" w:hAnsi="仿宋_GB2312" w:eastAsia="仿宋_GB2312" w:cs="仿宋_GB2312"/>
          <w:b w:val="0"/>
          <w:bCs w:val="0"/>
          <w:color w:val="auto"/>
          <w:sz w:val="32"/>
          <w:szCs w:val="32"/>
        </w:rPr>
        <w:t>行政执法行为，增强</w:t>
      </w:r>
      <w:r>
        <w:rPr>
          <w:rFonts w:hint="eastAsia" w:ascii="仿宋_GB2312" w:hAnsi="仿宋_GB2312" w:eastAsia="仿宋_GB2312" w:cs="仿宋_GB2312"/>
          <w:b w:val="0"/>
          <w:bCs w:val="0"/>
          <w:color w:val="auto"/>
          <w:sz w:val="32"/>
          <w:szCs w:val="32"/>
          <w:lang w:eastAsia="zh-CN"/>
        </w:rPr>
        <w:t>民政</w:t>
      </w:r>
      <w:r>
        <w:rPr>
          <w:rFonts w:hint="eastAsia" w:ascii="仿宋_GB2312" w:hAnsi="仿宋_GB2312" w:eastAsia="仿宋_GB2312" w:cs="仿宋_GB2312"/>
          <w:b w:val="0"/>
          <w:bCs w:val="0"/>
          <w:color w:val="auto"/>
          <w:sz w:val="32"/>
          <w:szCs w:val="32"/>
        </w:rPr>
        <w:t>行政执法的透明度，保障公民、法人和其他组织依法获取行政执法信息，根据有关法律、法规、规章和《</w:t>
      </w:r>
      <w:r>
        <w:rPr>
          <w:rFonts w:hint="eastAsia" w:ascii="仿宋_GB2312" w:hAnsi="仿宋_GB2312" w:eastAsia="仿宋_GB2312" w:cs="仿宋_GB2312"/>
          <w:b w:val="0"/>
          <w:bCs w:val="0"/>
          <w:color w:val="auto"/>
          <w:sz w:val="32"/>
          <w:szCs w:val="32"/>
          <w:lang w:eastAsia="zh-CN"/>
        </w:rPr>
        <w:t>衡南县</w:t>
      </w:r>
      <w:r>
        <w:rPr>
          <w:rFonts w:hint="eastAsia" w:ascii="仿宋_GB2312" w:hAnsi="仿宋_GB2312" w:eastAsia="仿宋_GB2312" w:cs="仿宋_GB2312"/>
          <w:b w:val="0"/>
          <w:bCs w:val="0"/>
          <w:color w:val="auto"/>
          <w:sz w:val="32"/>
          <w:szCs w:val="32"/>
        </w:rPr>
        <w:t>行政执法公示办法》规定，结合</w:t>
      </w:r>
      <w:r>
        <w:rPr>
          <w:rFonts w:hint="eastAsia" w:ascii="仿宋_GB2312" w:hAnsi="仿宋_GB2312" w:eastAsia="仿宋_GB2312" w:cs="仿宋_GB2312"/>
          <w:b w:val="0"/>
          <w:bCs w:val="0"/>
          <w:color w:val="auto"/>
          <w:sz w:val="32"/>
          <w:szCs w:val="32"/>
          <w:lang w:eastAsia="zh-CN"/>
        </w:rPr>
        <w:t>我县</w:t>
      </w:r>
      <w:r>
        <w:rPr>
          <w:rFonts w:hint="eastAsia" w:ascii="仿宋_GB2312" w:hAnsi="仿宋_GB2312" w:eastAsia="仿宋_GB2312" w:cs="仿宋_GB2312"/>
          <w:b w:val="0"/>
          <w:bCs w:val="0"/>
          <w:color w:val="auto"/>
          <w:sz w:val="32"/>
          <w:szCs w:val="32"/>
        </w:rPr>
        <w:t>民政行政执法工作实际，制定本细则。</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第二条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本细则所称行政执法公示，是指</w:t>
      </w:r>
      <w:r>
        <w:rPr>
          <w:rFonts w:hint="eastAsia" w:ascii="仿宋_GB2312" w:hAnsi="仿宋_GB2312" w:eastAsia="仿宋_GB2312" w:cs="仿宋_GB2312"/>
          <w:b w:val="0"/>
          <w:bCs w:val="0"/>
          <w:color w:val="auto"/>
          <w:sz w:val="32"/>
          <w:szCs w:val="32"/>
          <w:lang w:eastAsia="zh-CN"/>
        </w:rPr>
        <w:t>我</w:t>
      </w:r>
      <w:r>
        <w:rPr>
          <w:rFonts w:hint="eastAsia" w:ascii="仿宋_GB2312" w:hAnsi="仿宋_GB2312" w:eastAsia="仿宋_GB2312" w:cs="仿宋_GB2312"/>
          <w:b w:val="0"/>
          <w:bCs w:val="0"/>
          <w:color w:val="auto"/>
          <w:sz w:val="32"/>
          <w:szCs w:val="32"/>
        </w:rPr>
        <w:t>局</w:t>
      </w:r>
      <w:r>
        <w:rPr>
          <w:rFonts w:hint="eastAsia" w:ascii="仿宋_GB2312" w:hAnsi="仿宋_GB2312" w:eastAsia="仿宋_GB2312" w:cs="仿宋_GB2312"/>
          <w:b w:val="0"/>
          <w:bCs w:val="0"/>
          <w:color w:val="auto"/>
          <w:sz w:val="32"/>
          <w:szCs w:val="32"/>
          <w:lang w:eastAsia="zh-CN"/>
        </w:rPr>
        <w:t>依法</w:t>
      </w:r>
      <w:r>
        <w:rPr>
          <w:rFonts w:hint="eastAsia" w:ascii="仿宋_GB2312" w:hAnsi="仿宋_GB2312" w:eastAsia="仿宋_GB2312" w:cs="仿宋_GB2312"/>
          <w:b w:val="0"/>
          <w:bCs w:val="0"/>
          <w:color w:val="auto"/>
          <w:sz w:val="32"/>
          <w:szCs w:val="32"/>
        </w:rPr>
        <w:t>将行政执法的主体、人员、职责、权限、依据、程序、结果、监督方式、救济途径等行政执法信息，主动向社会公开的活动。</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依申请公开行政执法信息的活动不适用本细则。</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第三条 </w:t>
      </w:r>
      <w:r>
        <w:rPr>
          <w:rFonts w:hint="eastAsia" w:ascii="仿宋_GB2312" w:hAnsi="仿宋_GB2312" w:eastAsia="仿宋_GB2312" w:cs="仿宋_GB2312"/>
          <w:b w:val="0"/>
          <w:bCs w:val="0"/>
          <w:color w:val="auto"/>
          <w:sz w:val="32"/>
          <w:szCs w:val="32"/>
          <w:lang w:val="en-US" w:eastAsia="zh-CN"/>
        </w:rPr>
        <w:t xml:space="preserve"> 衡南县</w:t>
      </w:r>
      <w:r>
        <w:rPr>
          <w:rFonts w:hint="eastAsia" w:ascii="仿宋_GB2312" w:hAnsi="仿宋_GB2312" w:eastAsia="仿宋_GB2312" w:cs="仿宋_GB2312"/>
          <w:b w:val="0"/>
          <w:bCs w:val="0"/>
          <w:color w:val="auto"/>
          <w:sz w:val="32"/>
          <w:szCs w:val="32"/>
          <w:lang w:val="zh-CN" w:eastAsia="zh-CN"/>
        </w:rPr>
        <w:t>民政局及其下设执法机构（含法律法规授权的具有管理公共事务的组织，以及依法受行政执法机关委托从事行政执法活动的组织，以下统称民政执法机关）应当在行政许可、行政处罚、行政强制、行政检查</w:t>
      </w:r>
      <w:r>
        <w:rPr>
          <w:rFonts w:hint="eastAsia" w:ascii="仿宋_GB2312" w:hAnsi="仿宋_GB2312" w:eastAsia="仿宋_GB2312" w:cs="仿宋_GB2312"/>
          <w:b w:val="0"/>
          <w:bCs w:val="0"/>
          <w:color w:val="auto"/>
          <w:sz w:val="32"/>
          <w:szCs w:val="32"/>
          <w:lang w:val="en-US" w:eastAsia="zh-CN"/>
        </w:rPr>
        <w:t>四</w:t>
      </w:r>
      <w:r>
        <w:rPr>
          <w:rFonts w:hint="eastAsia" w:ascii="仿宋_GB2312" w:hAnsi="仿宋_GB2312" w:eastAsia="仿宋_GB2312" w:cs="仿宋_GB2312"/>
          <w:b w:val="0"/>
          <w:bCs w:val="0"/>
          <w:color w:val="auto"/>
          <w:sz w:val="32"/>
          <w:szCs w:val="32"/>
          <w:lang w:val="zh-CN" w:eastAsia="zh-CN"/>
        </w:rPr>
        <w:t>类行政执法行为中全面推行行政执法公示制度。其他行政执法行为的公示公开，可参照本办法执行。</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第四条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行政执法公示坚持以公开为原则、以不公开为例外，遵循合法、及时、准确、便民的原则。</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第五条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办公室</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eastAsia="zh-CN"/>
        </w:rPr>
        <w:t>股）</w:t>
      </w:r>
      <w:r>
        <w:rPr>
          <w:rFonts w:hint="eastAsia" w:ascii="仿宋_GB2312" w:hAnsi="仿宋_GB2312" w:eastAsia="仿宋_GB2312" w:cs="仿宋_GB2312"/>
          <w:b w:val="0"/>
          <w:bCs w:val="0"/>
          <w:color w:val="auto"/>
          <w:sz w:val="32"/>
          <w:szCs w:val="32"/>
        </w:rPr>
        <w:t>负责将行政执法公示作为</w:t>
      </w:r>
      <w:r>
        <w:rPr>
          <w:rFonts w:hint="eastAsia" w:ascii="仿宋_GB2312" w:hAnsi="仿宋_GB2312" w:eastAsia="仿宋_GB2312" w:cs="仿宋_GB2312"/>
          <w:b w:val="0"/>
          <w:bCs w:val="0"/>
          <w:color w:val="auto"/>
          <w:sz w:val="32"/>
          <w:szCs w:val="32"/>
          <w:lang w:eastAsia="zh-CN"/>
        </w:rPr>
        <w:t>本局</w:t>
      </w:r>
      <w:r>
        <w:rPr>
          <w:rFonts w:hint="eastAsia" w:ascii="仿宋_GB2312" w:hAnsi="仿宋_GB2312" w:eastAsia="仿宋_GB2312" w:cs="仿宋_GB2312"/>
          <w:b w:val="0"/>
          <w:bCs w:val="0"/>
          <w:color w:val="auto"/>
          <w:sz w:val="32"/>
          <w:szCs w:val="32"/>
        </w:rPr>
        <w:t>政务公开的重要内容进行组织协调、统筹推进，负责</w:t>
      </w:r>
      <w:r>
        <w:rPr>
          <w:rFonts w:hint="eastAsia" w:ascii="仿宋_GB2312" w:hAnsi="仿宋_GB2312" w:eastAsia="仿宋_GB2312" w:cs="仿宋_GB2312"/>
          <w:b w:val="0"/>
          <w:bCs w:val="0"/>
          <w:color w:val="auto"/>
          <w:sz w:val="32"/>
          <w:szCs w:val="32"/>
          <w:lang w:eastAsia="zh-CN"/>
        </w:rPr>
        <w:t>本局</w:t>
      </w:r>
      <w:r>
        <w:rPr>
          <w:rFonts w:hint="eastAsia" w:ascii="仿宋_GB2312" w:hAnsi="仿宋_GB2312" w:eastAsia="仿宋_GB2312" w:cs="仿宋_GB2312"/>
          <w:b w:val="0"/>
          <w:bCs w:val="0"/>
          <w:color w:val="auto"/>
          <w:sz w:val="32"/>
          <w:szCs w:val="32"/>
        </w:rPr>
        <w:t>行政执法公示信息在政府执法公示平台的发布工作</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负责对行政执法公示工作进行监督、检查和指导。</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行政审批</w:t>
      </w:r>
      <w:r>
        <w:rPr>
          <w:rFonts w:hint="eastAsia" w:ascii="仿宋_GB2312" w:hAnsi="仿宋_GB2312" w:eastAsia="仿宋_GB2312" w:cs="仿宋_GB2312"/>
          <w:b w:val="0"/>
          <w:bCs w:val="0"/>
          <w:color w:val="auto"/>
          <w:sz w:val="32"/>
          <w:szCs w:val="32"/>
          <w:lang w:val="en-US" w:eastAsia="zh-CN"/>
        </w:rPr>
        <w:t>服务</w:t>
      </w:r>
      <w:r>
        <w:rPr>
          <w:rFonts w:hint="eastAsia" w:ascii="仿宋_GB2312" w:hAnsi="仿宋_GB2312" w:eastAsia="仿宋_GB2312" w:cs="仿宋_GB2312"/>
          <w:b w:val="0"/>
          <w:bCs w:val="0"/>
          <w:color w:val="auto"/>
          <w:sz w:val="32"/>
          <w:szCs w:val="32"/>
          <w:lang w:eastAsia="zh-CN"/>
        </w:rPr>
        <w:t>股</w:t>
      </w:r>
      <w:r>
        <w:rPr>
          <w:rFonts w:hint="eastAsia" w:ascii="仿宋_GB2312" w:hAnsi="仿宋_GB2312" w:eastAsia="仿宋_GB2312" w:cs="仿宋_GB2312"/>
          <w:b w:val="0"/>
          <w:bCs w:val="0"/>
          <w:color w:val="auto"/>
          <w:sz w:val="32"/>
          <w:szCs w:val="32"/>
        </w:rPr>
        <w:t>负责行政审批事项的公示发布工作。</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16" w:firstLineChars="200"/>
        <w:jc w:val="both"/>
        <w:textAlignment w:val="auto"/>
        <w:outlineLvl w:val="9"/>
        <w:rPr>
          <w:rFonts w:hint="eastAsia" w:ascii="仿宋_GB2312" w:hAnsi="仿宋_GB2312" w:eastAsia="仿宋_GB2312" w:cs="仿宋_GB2312"/>
          <w:b w:val="0"/>
          <w:bCs w:val="0"/>
          <w:color w:val="auto"/>
          <w:spacing w:val="-6"/>
          <w:sz w:val="32"/>
          <w:szCs w:val="32"/>
        </w:rPr>
      </w:pPr>
      <w:r>
        <w:rPr>
          <w:rFonts w:hint="eastAsia" w:ascii="仿宋_GB2312" w:hAnsi="仿宋_GB2312" w:eastAsia="仿宋_GB2312" w:cs="仿宋_GB2312"/>
          <w:b w:val="0"/>
          <w:bCs w:val="0"/>
          <w:color w:val="auto"/>
          <w:spacing w:val="-6"/>
          <w:sz w:val="32"/>
          <w:szCs w:val="32"/>
          <w:lang w:eastAsia="zh-CN"/>
        </w:rPr>
        <w:t>行政执法机构负责本部门行政执法公示制度的具体实施</w:t>
      </w:r>
      <w:r>
        <w:rPr>
          <w:rFonts w:hint="eastAsia" w:ascii="仿宋_GB2312" w:hAnsi="仿宋_GB2312" w:eastAsia="仿宋_GB2312" w:cs="仿宋_GB2312"/>
          <w:b w:val="0"/>
          <w:bCs w:val="0"/>
          <w:color w:val="auto"/>
          <w:spacing w:val="-6"/>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第六条</w:t>
      </w:r>
      <w:r>
        <w:rPr>
          <w:rFonts w:hint="eastAsia" w:ascii="仿宋_GB2312" w:hAnsi="仿宋_GB2312" w:eastAsia="仿宋_GB2312" w:cs="仿宋_GB2312"/>
          <w:b w:val="0"/>
          <w:bCs w:val="0"/>
          <w:color w:val="auto"/>
          <w:sz w:val="32"/>
          <w:szCs w:val="32"/>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zh-CN" w:eastAsia="zh-CN"/>
        </w:rPr>
        <w:t>民政执法机关</w:t>
      </w:r>
      <w:r>
        <w:rPr>
          <w:rFonts w:hint="eastAsia" w:ascii="仿宋_GB2312" w:hAnsi="仿宋_GB2312" w:eastAsia="仿宋_GB2312" w:cs="仿宋_GB2312"/>
          <w:b w:val="0"/>
          <w:bCs w:val="0"/>
          <w:color w:val="auto"/>
          <w:sz w:val="32"/>
          <w:szCs w:val="32"/>
        </w:rPr>
        <w:t>应当明确专人负责本机构执法公示内容的梳理、汇总、传递和更正、更新工作。</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eastAsia="zh-CN"/>
        </w:rPr>
        <w:t>应当建立健全行政执法信息公示审核制度</w:t>
      </w:r>
      <w:r>
        <w:rPr>
          <w:rFonts w:hint="eastAsia" w:ascii="仿宋_GB2312" w:hAnsi="仿宋_GB2312" w:eastAsia="仿宋_GB2312" w:cs="仿宋_GB2312"/>
          <w:b w:val="0"/>
          <w:bCs w:val="0"/>
          <w:color w:val="auto"/>
          <w:sz w:val="32"/>
          <w:szCs w:val="32"/>
        </w:rPr>
        <w:t>。根据相关法律、法规规定需经批准公开的行政执法信息，未经审查同意不得公开。</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第二章  行政执法事前公开</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第七条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事前公开主要是公开执法主体、职责、人员、依据、权限、程序、救济渠道、监督投诉方式等信息，并根据法律、法规、规章的立改废和部门、机构职能调整等情况进行动态调整。</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第八条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事前公开主要包括以下内容：</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（一）执法主体与职责。主动公开机构设置、具体职责权限、办公地址、联系方式等信息。其中职责权限公示信息包括地域管辖权限和级别管辖权限等内容。</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（二）执法人员。主动公开执法人员的姓名、单位及所在机构、职务、执法证件编号、执法类别、执法区域等。</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（三）执法依据。主动公开行政许可、行政处罚、行政强制等行政执法所依据的法律、法规、规章以及规范性文件。</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（四）执法权限。主动公开行政许可、行政处罚、行政强制等执法事项清单，对执法事项的项目名称、执法主体、承办机构、设定依据、执法对象、办结时限等内容予以明确</w:t>
      </w:r>
      <w:r>
        <w:rPr>
          <w:rFonts w:hint="eastAsia" w:ascii="仿宋_GB2312" w:hAnsi="仿宋_GB2312" w:eastAsia="仿宋_GB2312" w:cs="仿宋_GB2312"/>
          <w:b w:val="0"/>
          <w:bCs w:val="0"/>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（五）执法程序。公开行政许可、行政处罚、行政强制等行政执法流程图，公开行政审批服务指南及行政服务工作规范</w:t>
      </w:r>
      <w:r>
        <w:rPr>
          <w:rFonts w:hint="eastAsia" w:ascii="仿宋_GB2312" w:hAnsi="仿宋_GB2312" w:eastAsia="仿宋_GB2312" w:cs="仿宋_GB2312"/>
          <w:b w:val="0"/>
          <w:bCs w:val="0"/>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 xml:space="preserve">（六）救济途径。主动公开当事人依法享有的听证权、陈述权、申辩权，以及申请行政复议、提起行政诉讼等法定权利和救济途径。 </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（七）监督投诉方式。主动公开接受举报的监督投诉电话、电子邮箱、受理部门或机构、地址、邮编及受理反馈程序等信息。</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第九条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因法律、法规、规章的修改、废止，或者出现机构职能调整等情况，执法公示职责机构应当在20个工作日内更新相关公示内容。</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第十条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事前公开的行政执法信息在公示前，应当经</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eastAsia="zh-CN"/>
        </w:rPr>
        <w:t>股）</w:t>
      </w:r>
      <w:r>
        <w:rPr>
          <w:rFonts w:hint="eastAsia" w:ascii="仿宋_GB2312" w:hAnsi="仿宋_GB2312" w:eastAsia="仿宋_GB2312" w:cs="仿宋_GB2312"/>
          <w:b w:val="0"/>
          <w:bCs w:val="0"/>
          <w:color w:val="auto"/>
          <w:sz w:val="32"/>
          <w:szCs w:val="32"/>
        </w:rPr>
        <w:t>审核；涉及国家秘密的，公布前应当征求保密部门的意见。</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color w:val="auto"/>
          <w:sz w:val="32"/>
          <w:szCs w:val="32"/>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第三章  行政执法事中公示</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第十一条</w:t>
      </w:r>
      <w:r>
        <w:rPr>
          <w:rFonts w:hint="eastAsia" w:ascii="仿宋_GB2312" w:hAnsi="仿宋_GB2312" w:eastAsia="仿宋_GB2312" w:cs="仿宋_GB2312"/>
          <w:b w:val="0"/>
          <w:bCs w:val="0"/>
          <w:color w:val="auto"/>
          <w:sz w:val="32"/>
          <w:szCs w:val="32"/>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行政执法人员在从事调查取证、执行行政执法决定等直接面向公民、法人和其他组织的执法活动时，应当主动出示行政执法证件，法律法规规章另有规定的除外。</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第十二条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zh-CN" w:eastAsia="zh-CN"/>
        </w:rPr>
        <w:t>民政执法机关</w:t>
      </w:r>
      <w:r>
        <w:rPr>
          <w:rFonts w:hint="eastAsia" w:ascii="仿宋_GB2312" w:hAnsi="仿宋_GB2312" w:eastAsia="仿宋_GB2312" w:cs="仿宋_GB2312"/>
          <w:b w:val="0"/>
          <w:bCs w:val="0"/>
          <w:color w:val="auto"/>
          <w:sz w:val="32"/>
          <w:szCs w:val="32"/>
        </w:rPr>
        <w:t>作出行政执法决定前，应当告知行政相对人执法事实与理由、执法依据和权利义务等内容。其中对按照一般程序实施的行政处罚等执法行为，应当以书面形式告知，送达相关文书。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第十三条</w:t>
      </w:r>
      <w:r>
        <w:rPr>
          <w:rFonts w:hint="eastAsia" w:ascii="仿宋_GB2312" w:hAnsi="仿宋_GB2312" w:eastAsia="仿宋_GB2312" w:cs="仿宋_GB2312"/>
          <w:b w:val="0"/>
          <w:bCs w:val="0"/>
          <w:color w:val="auto"/>
          <w:sz w:val="32"/>
          <w:szCs w:val="32"/>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zh-CN" w:eastAsia="zh-CN"/>
        </w:rPr>
        <w:t>民政执法机关</w:t>
      </w:r>
      <w:r>
        <w:rPr>
          <w:rFonts w:hint="eastAsia" w:ascii="仿宋_GB2312" w:hAnsi="仿宋_GB2312" w:eastAsia="仿宋_GB2312" w:cs="仿宋_GB2312"/>
          <w:b w:val="0"/>
          <w:bCs w:val="0"/>
          <w:color w:val="auto"/>
          <w:sz w:val="32"/>
          <w:szCs w:val="32"/>
        </w:rPr>
        <w:t>在政务中心等办公场所提供办事服务的，应当摆放工作人员岗位信息公示牌，并公示下列信息：</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（一）服务事项名称、依据、内部办理机构；</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（二）工作人员姓名、职务；</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（三）服务事项申办条件、申请材料清单、表格下载方式；</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（四）办理流程、时限、进度查询方式；</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（五）办公时间、办公电话；</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（六）其它需要公示的信息。</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第十四条</w:t>
      </w:r>
      <w:r>
        <w:rPr>
          <w:rFonts w:hint="eastAsia" w:ascii="仿宋_GB2312" w:hAnsi="仿宋_GB2312" w:eastAsia="仿宋_GB2312" w:cs="仿宋_GB2312"/>
          <w:b w:val="0"/>
          <w:bCs w:val="0"/>
          <w:color w:val="auto"/>
          <w:sz w:val="32"/>
          <w:szCs w:val="32"/>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zh-CN" w:eastAsia="zh-CN"/>
        </w:rPr>
        <w:t>民政执法机关</w:t>
      </w:r>
      <w:r>
        <w:rPr>
          <w:rFonts w:hint="eastAsia" w:ascii="仿宋_GB2312" w:hAnsi="仿宋_GB2312" w:eastAsia="仿宋_GB2312" w:cs="仿宋_GB2312"/>
          <w:b w:val="0"/>
          <w:bCs w:val="0"/>
          <w:color w:val="auto"/>
          <w:sz w:val="32"/>
          <w:szCs w:val="32"/>
        </w:rPr>
        <w:t>在执法过程中形成的内部讨论记录、审核审批流程记录，以及与其他行政机关之间的磋商信函、请示报告等信息，不予公开。</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第四章  行政执法事后公开</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第十五条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zh-CN" w:eastAsia="zh-CN"/>
        </w:rPr>
        <w:t>民政执法机关</w:t>
      </w:r>
      <w:r>
        <w:rPr>
          <w:rFonts w:hint="eastAsia" w:ascii="仿宋_GB2312" w:hAnsi="仿宋_GB2312" w:eastAsia="仿宋_GB2312" w:cs="仿宋_GB2312"/>
          <w:b w:val="0"/>
          <w:bCs w:val="0"/>
          <w:color w:val="auto"/>
          <w:sz w:val="32"/>
          <w:szCs w:val="32"/>
        </w:rPr>
        <w:t>应当</w:t>
      </w:r>
      <w:r>
        <w:rPr>
          <w:rFonts w:hint="eastAsia" w:ascii="仿宋_GB2312" w:hAnsi="仿宋_GB2312" w:eastAsia="仿宋_GB2312" w:cs="仿宋_GB2312"/>
          <w:b w:val="0"/>
          <w:bCs w:val="0"/>
          <w:color w:val="auto"/>
          <w:sz w:val="32"/>
          <w:szCs w:val="32"/>
          <w:lang w:eastAsia="zh-CN"/>
        </w:rPr>
        <w:t>在</w:t>
      </w:r>
      <w:r>
        <w:rPr>
          <w:rFonts w:hint="eastAsia" w:ascii="仿宋_GB2312" w:hAnsi="仿宋_GB2312" w:eastAsia="仿宋_GB2312" w:cs="仿宋_GB2312"/>
          <w:b w:val="0"/>
          <w:bCs w:val="0"/>
          <w:color w:val="auto"/>
          <w:sz w:val="32"/>
          <w:szCs w:val="32"/>
          <w:lang w:val="en-US" w:eastAsia="zh-CN"/>
        </w:rPr>
        <w:t>政府统一的</w:t>
      </w:r>
      <w:r>
        <w:rPr>
          <w:rFonts w:hint="eastAsia" w:ascii="仿宋_GB2312" w:hAnsi="仿宋_GB2312" w:eastAsia="仿宋_GB2312" w:cs="仿宋_GB2312"/>
          <w:b w:val="0"/>
          <w:bCs w:val="0"/>
          <w:color w:val="auto"/>
          <w:sz w:val="32"/>
          <w:szCs w:val="32"/>
          <w:lang w:eastAsia="zh-CN"/>
        </w:rPr>
        <w:t>行政执法</w:t>
      </w:r>
      <w:r>
        <w:rPr>
          <w:rFonts w:hint="eastAsia" w:ascii="仿宋_GB2312" w:hAnsi="仿宋_GB2312" w:eastAsia="仿宋_GB2312" w:cs="仿宋_GB2312"/>
          <w:b w:val="0"/>
          <w:bCs w:val="0"/>
          <w:color w:val="auto"/>
          <w:sz w:val="32"/>
          <w:szCs w:val="32"/>
          <w:lang w:val="en-US" w:eastAsia="zh-CN"/>
        </w:rPr>
        <w:t>信息</w:t>
      </w:r>
      <w:r>
        <w:rPr>
          <w:rFonts w:hint="eastAsia" w:ascii="仿宋_GB2312" w:hAnsi="仿宋_GB2312" w:eastAsia="仿宋_GB2312" w:cs="仿宋_GB2312"/>
          <w:b w:val="0"/>
          <w:bCs w:val="0"/>
          <w:color w:val="auto"/>
          <w:sz w:val="32"/>
          <w:szCs w:val="32"/>
          <w:lang w:eastAsia="zh-CN"/>
        </w:rPr>
        <w:t>公示平台</w:t>
      </w:r>
      <w:r>
        <w:rPr>
          <w:rFonts w:hint="eastAsia" w:ascii="仿宋_GB2312" w:hAnsi="仿宋_GB2312" w:eastAsia="仿宋_GB2312" w:cs="仿宋_GB2312"/>
          <w:b w:val="0"/>
          <w:bCs w:val="0"/>
          <w:color w:val="auto"/>
          <w:sz w:val="32"/>
          <w:szCs w:val="32"/>
          <w:lang w:val="en-US" w:eastAsia="zh-CN"/>
        </w:rPr>
        <w:t>上</w:t>
      </w:r>
      <w:r>
        <w:rPr>
          <w:rFonts w:hint="eastAsia" w:ascii="仿宋_GB2312" w:hAnsi="仿宋_GB2312" w:eastAsia="仿宋_GB2312" w:cs="仿宋_GB2312"/>
          <w:b w:val="0"/>
          <w:bCs w:val="0"/>
          <w:color w:val="auto"/>
          <w:sz w:val="32"/>
          <w:szCs w:val="32"/>
          <w:lang w:eastAsia="zh-CN"/>
        </w:rPr>
        <w:t>主动公开行政执法决定书及行政执法决定的执行信息</w:t>
      </w:r>
      <w:r>
        <w:rPr>
          <w:rFonts w:hint="eastAsia" w:ascii="仿宋_GB2312" w:hAnsi="仿宋_GB2312" w:eastAsia="仿宋_GB2312" w:cs="仿宋_GB2312"/>
          <w:b w:val="0"/>
          <w:bCs w:val="0"/>
          <w:color w:val="auto"/>
          <w:sz w:val="32"/>
          <w:szCs w:val="32"/>
        </w:rPr>
        <w:t>。但涉及以下信息的，不予公开：</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（一）依法确定为国家秘密的信息；</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（二）涉及商业秘密的信息；</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（三）涉及他人身份、通讯、健康、婚姻、家庭、财产状况等个人隐私的信息；</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（四）法律、法规规定不予公开的其他信息。</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上述第（二）、（三）项信息，经权利人书面同意公开或者行政机关认为不公开可能对公共利益造成重大影响的，可以公开。</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第十六条</w:t>
      </w:r>
      <w:r>
        <w:rPr>
          <w:rFonts w:hint="eastAsia" w:ascii="仿宋_GB2312" w:hAnsi="仿宋_GB2312" w:eastAsia="仿宋_GB2312" w:cs="仿宋_GB2312"/>
          <w:b w:val="0"/>
          <w:bCs w:val="0"/>
          <w:color w:val="auto"/>
          <w:sz w:val="32"/>
          <w:szCs w:val="32"/>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行政执法决定书中含有本细则第十</w:t>
      </w:r>
      <w:r>
        <w:rPr>
          <w:rFonts w:hint="eastAsia" w:ascii="仿宋_GB2312" w:hAnsi="仿宋_GB2312" w:eastAsia="仿宋_GB2312" w:cs="仿宋_GB2312"/>
          <w:b w:val="0"/>
          <w:bCs w:val="0"/>
          <w:color w:val="auto"/>
          <w:sz w:val="32"/>
          <w:szCs w:val="32"/>
          <w:lang w:eastAsia="zh-CN"/>
        </w:rPr>
        <w:t>四</w:t>
      </w:r>
      <w:r>
        <w:rPr>
          <w:rFonts w:hint="eastAsia" w:ascii="仿宋_GB2312" w:hAnsi="仿宋_GB2312" w:eastAsia="仿宋_GB2312" w:cs="仿宋_GB2312"/>
          <w:b w:val="0"/>
          <w:bCs w:val="0"/>
          <w:color w:val="auto"/>
          <w:sz w:val="32"/>
          <w:szCs w:val="32"/>
        </w:rPr>
        <w:t>条不予公开的内容，但是能够作区分处理的，应当公开其中可以公开的信息。</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第十七条</w:t>
      </w:r>
      <w:r>
        <w:rPr>
          <w:rFonts w:hint="eastAsia" w:ascii="仿宋_GB2312" w:hAnsi="仿宋_GB2312" w:eastAsia="仿宋_GB2312" w:cs="仿宋_GB2312"/>
          <w:b w:val="0"/>
          <w:bCs w:val="0"/>
          <w:color w:val="auto"/>
          <w:sz w:val="32"/>
          <w:szCs w:val="32"/>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公开的行政检查结果信息，应当包括检查主体、检查对象、结论及日期等内容。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pacing w:val="-6"/>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第十八条  </w:t>
      </w:r>
      <w:r>
        <w:rPr>
          <w:rFonts w:hint="eastAsia" w:ascii="仿宋_GB2312" w:hAnsi="仿宋_GB2312" w:eastAsia="仿宋_GB2312" w:cs="仿宋_GB2312"/>
          <w:b w:val="0"/>
          <w:bCs w:val="0"/>
          <w:color w:val="auto"/>
          <w:spacing w:val="-6"/>
          <w:sz w:val="32"/>
          <w:szCs w:val="32"/>
        </w:rPr>
        <w:t>公开的行政执法决定的执行信息，应当包括行政执法决定书编号、执行主体、执行对象、执行结果等信息。</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第十九条</w:t>
      </w:r>
      <w:r>
        <w:rPr>
          <w:rFonts w:hint="eastAsia" w:ascii="仿宋_GB2312" w:hAnsi="仿宋_GB2312" w:eastAsia="仿宋_GB2312" w:cs="仿宋_GB2312"/>
          <w:b w:val="0"/>
          <w:bCs w:val="0"/>
          <w:color w:val="auto"/>
          <w:sz w:val="32"/>
          <w:szCs w:val="32"/>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依照本细则第十</w:t>
      </w:r>
      <w:r>
        <w:rPr>
          <w:rFonts w:hint="eastAsia" w:ascii="仿宋_GB2312" w:hAnsi="仿宋_GB2312" w:eastAsia="仿宋_GB2312" w:cs="仿宋_GB2312"/>
          <w:b w:val="0"/>
          <w:bCs w:val="0"/>
          <w:color w:val="auto"/>
          <w:sz w:val="32"/>
          <w:szCs w:val="32"/>
          <w:lang w:eastAsia="zh-CN"/>
        </w:rPr>
        <w:t>四</w:t>
      </w:r>
      <w:r>
        <w:rPr>
          <w:rFonts w:hint="eastAsia" w:ascii="仿宋_GB2312" w:hAnsi="仿宋_GB2312" w:eastAsia="仿宋_GB2312" w:cs="仿宋_GB2312"/>
          <w:b w:val="0"/>
          <w:bCs w:val="0"/>
          <w:color w:val="auto"/>
          <w:sz w:val="32"/>
          <w:szCs w:val="32"/>
        </w:rPr>
        <w:t>条至第十</w:t>
      </w:r>
      <w:r>
        <w:rPr>
          <w:rFonts w:hint="eastAsia" w:ascii="仿宋_GB2312" w:hAnsi="仿宋_GB2312" w:eastAsia="仿宋_GB2312" w:cs="仿宋_GB2312"/>
          <w:b w:val="0"/>
          <w:bCs w:val="0"/>
          <w:color w:val="auto"/>
          <w:sz w:val="32"/>
          <w:szCs w:val="32"/>
          <w:lang w:eastAsia="zh-CN"/>
        </w:rPr>
        <w:t>七</w:t>
      </w:r>
      <w:r>
        <w:rPr>
          <w:rFonts w:hint="eastAsia" w:ascii="仿宋_GB2312" w:hAnsi="仿宋_GB2312" w:eastAsia="仿宋_GB2312" w:cs="仿宋_GB2312"/>
          <w:b w:val="0"/>
          <w:bCs w:val="0"/>
          <w:color w:val="auto"/>
          <w:sz w:val="32"/>
          <w:szCs w:val="32"/>
        </w:rPr>
        <w:t>条应当公开的行政执法信息，应当自行政执法事项完成之日起20个工作日内公开。</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法律、法规、规章对公开的期限另有规定的，从其规定。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第二十条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行政执法事后公开的信息在</w:t>
      </w:r>
      <w:r>
        <w:rPr>
          <w:rFonts w:hint="eastAsia" w:ascii="仿宋_GB2312" w:hAnsi="仿宋_GB2312" w:eastAsia="仿宋_GB2312" w:cs="仿宋_GB2312"/>
          <w:b w:val="0"/>
          <w:bCs w:val="0"/>
          <w:color w:val="auto"/>
          <w:sz w:val="32"/>
          <w:szCs w:val="32"/>
          <w:lang w:eastAsia="zh-CN"/>
        </w:rPr>
        <w:t>本级</w:t>
      </w:r>
      <w:r>
        <w:rPr>
          <w:rFonts w:hint="eastAsia" w:ascii="仿宋_GB2312" w:hAnsi="仿宋_GB2312" w:eastAsia="仿宋_GB2312" w:cs="仿宋_GB2312"/>
          <w:b w:val="0"/>
          <w:bCs w:val="0"/>
          <w:color w:val="auto"/>
          <w:sz w:val="32"/>
          <w:szCs w:val="32"/>
        </w:rPr>
        <w:t>政府统一的行政执法信息公示平台上保留5年。已经公开的行政执法</w:t>
      </w:r>
      <w:r>
        <w:rPr>
          <w:rFonts w:hint="eastAsia" w:ascii="仿宋_GB2312" w:hAnsi="仿宋_GB2312" w:eastAsia="仿宋_GB2312" w:cs="仿宋_GB2312"/>
          <w:color w:val="auto"/>
          <w:sz w:val="32"/>
          <w:szCs w:val="32"/>
        </w:rPr>
        <w:t>信息出现被依法撤销、变更等情形的，由执法公示职责机构在前述情形发生之日起3个工作日内公开变更后的行政执法信息，并作出必要说明。</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第五章  监督检查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 xml:space="preserve">第二十一条  </w:t>
      </w:r>
      <w:r>
        <w:rPr>
          <w:rFonts w:hint="eastAsia" w:ascii="仿宋_GB2312" w:hAnsi="仿宋_GB2312" w:eastAsia="仿宋_GB2312" w:cs="仿宋_GB2312"/>
          <w:b w:val="0"/>
          <w:bCs w:val="0"/>
          <w:color w:val="auto"/>
          <w:sz w:val="32"/>
          <w:szCs w:val="32"/>
          <w:lang w:eastAsia="zh-CN"/>
        </w:rPr>
        <w:t>办公室（政策法规股）应</w:t>
      </w:r>
      <w:r>
        <w:rPr>
          <w:rFonts w:hint="eastAsia" w:ascii="仿宋_GB2312" w:hAnsi="仿宋_GB2312" w:eastAsia="仿宋_GB2312" w:cs="仿宋_GB2312"/>
          <w:b w:val="0"/>
          <w:bCs w:val="0"/>
          <w:color w:val="auto"/>
          <w:sz w:val="32"/>
          <w:szCs w:val="32"/>
        </w:rPr>
        <w:t>加强</w:t>
      </w:r>
      <w:r>
        <w:rPr>
          <w:rFonts w:hint="eastAsia" w:ascii="仿宋_GB2312" w:hAnsi="仿宋_GB2312" w:eastAsia="仿宋_GB2312" w:cs="仿宋_GB2312"/>
          <w:b w:val="0"/>
          <w:bCs w:val="0"/>
          <w:color w:val="auto"/>
          <w:sz w:val="32"/>
          <w:szCs w:val="32"/>
          <w:lang w:eastAsia="zh-CN"/>
        </w:rPr>
        <w:t>民政行政</w:t>
      </w:r>
      <w:r>
        <w:rPr>
          <w:rFonts w:hint="eastAsia" w:ascii="仿宋_GB2312" w:hAnsi="仿宋_GB2312" w:eastAsia="仿宋_GB2312" w:cs="仿宋_GB2312"/>
          <w:b w:val="0"/>
          <w:bCs w:val="0"/>
          <w:color w:val="auto"/>
          <w:sz w:val="32"/>
          <w:szCs w:val="32"/>
        </w:rPr>
        <w:t>执法公示工作的考核评价，通过实地检查、网络监测等方式，重点加强对公示信息的全面性、及时性、准确性和合法性的日常评估和考核，并作为重要的考核指标和考核依据，纳入绩效管理。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lang w:val="en-US" w:eastAsia="zh-CN"/>
        </w:rPr>
      </w:pPr>
      <w:r>
        <w:rPr>
          <w:rFonts w:hint="eastAsia" w:ascii="黑体" w:hAnsi="黑体" w:eastAsia="黑体" w:cs="黑体"/>
          <w:i w:val="0"/>
          <w:caps w:val="0"/>
          <w:color w:val="auto"/>
          <w:spacing w:val="0"/>
          <w:kern w:val="0"/>
          <w:sz w:val="32"/>
          <w:szCs w:val="32"/>
          <w:shd w:val="clear" w:fill="FFFFFF"/>
          <w:lang w:val="en-US" w:eastAsia="zh-CN" w:bidi="ar"/>
        </w:rPr>
        <w:t xml:space="preserve">第二十二条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zh-CN" w:eastAsia="zh-CN"/>
        </w:rPr>
        <w:t>民政执法机关</w:t>
      </w:r>
      <w:r>
        <w:rPr>
          <w:rFonts w:hint="eastAsia" w:ascii="仿宋_GB2312" w:hAnsi="仿宋_GB2312" w:eastAsia="仿宋_GB2312" w:cs="仿宋_GB2312"/>
          <w:b w:val="0"/>
          <w:bCs w:val="0"/>
          <w:color w:val="auto"/>
          <w:sz w:val="32"/>
          <w:szCs w:val="32"/>
          <w:lang w:val="en-US" w:eastAsia="zh-CN"/>
        </w:rPr>
        <w:t>发现公开的行政执法信息不准确的，应当及时更正。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公民、法人或者其他组织有证据证明公开的行政执法信息不准确的，有权要求行政执法机关予以更正，</w:t>
      </w:r>
      <w:r>
        <w:rPr>
          <w:rFonts w:hint="eastAsia" w:ascii="仿宋_GB2312" w:hAnsi="仿宋_GB2312" w:eastAsia="仿宋_GB2312" w:cs="仿宋_GB2312"/>
          <w:b w:val="0"/>
          <w:bCs w:val="0"/>
          <w:color w:val="auto"/>
          <w:sz w:val="32"/>
          <w:szCs w:val="32"/>
          <w:lang w:val="zh-CN" w:eastAsia="zh-CN"/>
        </w:rPr>
        <w:t>民政执法机关</w:t>
      </w:r>
      <w:r>
        <w:rPr>
          <w:rFonts w:hint="eastAsia" w:ascii="仿宋_GB2312" w:hAnsi="仿宋_GB2312" w:eastAsia="仿宋_GB2312" w:cs="仿宋_GB2312"/>
          <w:b w:val="0"/>
          <w:bCs w:val="0"/>
          <w:color w:val="auto"/>
          <w:sz w:val="32"/>
          <w:szCs w:val="32"/>
          <w:lang w:val="en-US" w:eastAsia="zh-CN"/>
        </w:rPr>
        <w:t>应当在收到其请求之日起10个工作日内作出处理决定；不及时更正将对行政相对人造成无法弥补的影响或损失的，</w:t>
      </w:r>
      <w:r>
        <w:rPr>
          <w:rFonts w:hint="eastAsia" w:ascii="仿宋_GB2312" w:hAnsi="仿宋_GB2312" w:eastAsia="仿宋_GB2312" w:cs="仿宋_GB2312"/>
          <w:b w:val="0"/>
          <w:bCs w:val="0"/>
          <w:color w:val="auto"/>
          <w:spacing w:val="-11"/>
          <w:sz w:val="32"/>
          <w:szCs w:val="32"/>
          <w:lang w:val="zh-CN" w:eastAsia="zh-CN"/>
        </w:rPr>
        <w:t>民政执法机关</w:t>
      </w:r>
      <w:r>
        <w:rPr>
          <w:rFonts w:hint="eastAsia" w:ascii="仿宋_GB2312" w:hAnsi="仿宋_GB2312" w:eastAsia="仿宋_GB2312" w:cs="仿宋_GB2312"/>
          <w:b w:val="0"/>
          <w:bCs w:val="0"/>
          <w:color w:val="auto"/>
          <w:spacing w:val="-11"/>
          <w:sz w:val="32"/>
          <w:szCs w:val="32"/>
          <w:lang w:val="en-US" w:eastAsia="zh-CN"/>
        </w:rPr>
        <w:t>应当在收到其请求之日起2个工作日内作出处</w:t>
      </w:r>
      <w:r>
        <w:rPr>
          <w:rFonts w:hint="eastAsia" w:ascii="仿宋_GB2312" w:hAnsi="仿宋_GB2312" w:eastAsia="仿宋_GB2312" w:cs="仿宋_GB2312"/>
          <w:b w:val="0"/>
          <w:bCs w:val="0"/>
          <w:color w:val="auto"/>
          <w:sz w:val="32"/>
          <w:szCs w:val="32"/>
          <w:lang w:val="en-US" w:eastAsia="zh-CN"/>
        </w:rPr>
        <w:t>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 xml:space="preserve">   </w:t>
      </w:r>
      <w:r>
        <w:rPr>
          <w:rFonts w:hint="eastAsia" w:ascii="黑体" w:hAnsi="黑体" w:eastAsia="黑体" w:cs="黑体"/>
          <w:i w:val="0"/>
          <w:caps w:val="0"/>
          <w:color w:val="auto"/>
          <w:spacing w:val="0"/>
          <w:kern w:val="0"/>
          <w:sz w:val="32"/>
          <w:szCs w:val="32"/>
          <w:shd w:val="clear" w:fill="FFFFFF"/>
          <w:lang w:val="en-US" w:eastAsia="zh-CN" w:bidi="ar"/>
        </w:rPr>
        <w:t xml:space="preserve">  第二十三条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实行行政执法公示工作责任追究制度，对各执法公示职责机构不按规定公示、选择性公示、更新维护不及时等问题，责令限期改正；造成不良影响或者情节、后果严重的，依法依规追究有关责任人员责任。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 </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第六章  附  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第二十四条</w:t>
      </w:r>
      <w:r>
        <w:rPr>
          <w:rFonts w:hint="eastAsia" w:ascii="仿宋_GB2312" w:hAnsi="仿宋_GB2312" w:eastAsia="仿宋_GB2312" w:cs="仿宋_GB2312"/>
          <w:b w:val="0"/>
          <w:bCs w:val="0"/>
          <w:color w:val="auto"/>
          <w:sz w:val="32"/>
          <w:szCs w:val="32"/>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本细则自</w:t>
      </w:r>
      <w:r>
        <w:rPr>
          <w:rFonts w:hint="eastAsia" w:ascii="仿宋_GB2312" w:hAnsi="仿宋_GB2312" w:eastAsia="仿宋_GB2312" w:cs="仿宋_GB2312"/>
          <w:b w:val="0"/>
          <w:bCs w:val="0"/>
          <w:color w:val="auto"/>
          <w:sz w:val="32"/>
          <w:szCs w:val="32"/>
          <w:lang w:val="en-US" w:eastAsia="zh-CN"/>
        </w:rPr>
        <w:t>印发</w:t>
      </w:r>
      <w:r>
        <w:rPr>
          <w:rFonts w:hint="eastAsia" w:ascii="仿宋_GB2312" w:hAnsi="仿宋_GB2312" w:eastAsia="仿宋_GB2312" w:cs="仿宋_GB2312"/>
          <w:b w:val="0"/>
          <w:bCs w:val="0"/>
          <w:color w:val="auto"/>
          <w:sz w:val="32"/>
          <w:szCs w:val="32"/>
        </w:rPr>
        <w:t>之日起</w:t>
      </w:r>
      <w:r>
        <w:rPr>
          <w:rFonts w:hint="eastAsia" w:ascii="仿宋_GB2312" w:hAnsi="仿宋_GB2312" w:eastAsia="仿宋_GB2312" w:cs="仿宋_GB2312"/>
          <w:b w:val="0"/>
          <w:bCs w:val="0"/>
          <w:color w:val="auto"/>
          <w:sz w:val="32"/>
          <w:szCs w:val="32"/>
          <w:lang w:val="en-US" w:eastAsia="zh-CN"/>
        </w:rPr>
        <w:t>施</w:t>
      </w:r>
      <w:r>
        <w:rPr>
          <w:rFonts w:hint="eastAsia" w:ascii="仿宋_GB2312" w:hAnsi="仿宋_GB2312" w:eastAsia="仿宋_GB2312" w:cs="仿宋_GB2312"/>
          <w:b w:val="0"/>
          <w:bCs w:val="0"/>
          <w:color w:val="auto"/>
          <w:sz w:val="32"/>
          <w:szCs w:val="32"/>
        </w:rPr>
        <w:t>行。</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仿宋_GB2312" w:hAnsi="仿宋_GB2312" w:eastAsia="仿宋_GB2312" w:cs="仿宋_GB2312"/>
          <w:color w:val="auto"/>
          <w:spacing w:val="-20"/>
          <w:sz w:val="32"/>
          <w:szCs w:val="32"/>
          <w:lang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仿宋_GB2312" w:hAnsi="仿宋_GB2312" w:eastAsia="仿宋_GB2312" w:cs="仿宋_GB2312"/>
          <w:color w:val="auto"/>
          <w:spacing w:val="-20"/>
          <w:sz w:val="32"/>
          <w:szCs w:val="32"/>
          <w:lang w:eastAsia="zh-CN"/>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r>
        <w:rPr>
          <w:rFonts w:hint="eastAsia" w:ascii="方正小标宋简体" w:hAnsi="方正小标宋简体" w:eastAsia="方正小标宋简体" w:cs="方正小标宋简体"/>
          <w:b/>
          <w:bCs/>
          <w:kern w:val="2"/>
          <w:sz w:val="44"/>
          <w:szCs w:val="44"/>
          <w:lang w:val="en-US" w:eastAsia="zh-CN" w:bidi="ar-SA"/>
        </w:rPr>
        <w:t>衡南县民政局行政执法全过程记录实施细则</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color w:val="auto"/>
          <w:sz w:val="32"/>
          <w:szCs w:val="32"/>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第一章  总则</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第一条</w:t>
      </w:r>
      <w:r>
        <w:rPr>
          <w:rFonts w:hint="eastAsia" w:ascii="黑体" w:hAnsi="黑体" w:eastAsia="黑体" w:cs="黑体"/>
          <w:i w:val="0"/>
          <w:caps w:val="0"/>
          <w:color w:val="auto"/>
          <w:spacing w:val="0"/>
          <w:kern w:val="0"/>
          <w:sz w:val="32"/>
          <w:szCs w:val="32"/>
          <w:shd w:val="clear" w:fill="FFFFFF"/>
          <w:lang w:val="en-US" w:eastAsia="zh-CN" w:bidi="ar"/>
        </w:rPr>
        <w:tab/>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rPr>
        <w:t>为了加强对</w:t>
      </w:r>
      <w:r>
        <w:rPr>
          <w:rFonts w:hint="eastAsia" w:ascii="仿宋_GB2312" w:hAnsi="仿宋_GB2312" w:eastAsia="仿宋_GB2312" w:cs="仿宋_GB2312"/>
          <w:b w:val="0"/>
          <w:bCs w:val="0"/>
          <w:color w:val="auto"/>
          <w:sz w:val="32"/>
          <w:szCs w:val="32"/>
          <w:lang w:eastAsia="zh-CN"/>
        </w:rPr>
        <w:t>民政</w:t>
      </w:r>
      <w:r>
        <w:rPr>
          <w:rFonts w:hint="eastAsia" w:ascii="仿宋_GB2312" w:hAnsi="仿宋_GB2312" w:eastAsia="仿宋_GB2312" w:cs="仿宋_GB2312"/>
          <w:b w:val="0"/>
          <w:bCs w:val="0"/>
          <w:color w:val="auto"/>
          <w:sz w:val="32"/>
          <w:szCs w:val="32"/>
        </w:rPr>
        <w:t>行政执法全过程信息的记录、保存、管理和使用，规范和监督</w:t>
      </w:r>
      <w:r>
        <w:rPr>
          <w:rFonts w:hint="eastAsia" w:ascii="仿宋_GB2312" w:hAnsi="仿宋_GB2312" w:eastAsia="仿宋_GB2312" w:cs="仿宋_GB2312"/>
          <w:b w:val="0"/>
          <w:bCs w:val="0"/>
          <w:color w:val="auto"/>
          <w:sz w:val="32"/>
          <w:szCs w:val="32"/>
          <w:lang w:eastAsia="zh-CN"/>
        </w:rPr>
        <w:t>民政</w:t>
      </w:r>
      <w:r>
        <w:rPr>
          <w:rFonts w:hint="eastAsia" w:ascii="仿宋_GB2312" w:hAnsi="仿宋_GB2312" w:eastAsia="仿宋_GB2312" w:cs="仿宋_GB2312"/>
          <w:b w:val="0"/>
          <w:bCs w:val="0"/>
          <w:color w:val="auto"/>
          <w:sz w:val="32"/>
          <w:szCs w:val="32"/>
        </w:rPr>
        <w:t>行政执法行为，保障公民、法人和其他组织的合法权益，根据有关法律、法规、规章及《</w:t>
      </w:r>
      <w:r>
        <w:rPr>
          <w:rFonts w:hint="eastAsia" w:ascii="仿宋_GB2312" w:hAnsi="仿宋_GB2312" w:eastAsia="仿宋_GB2312" w:cs="仿宋_GB2312"/>
          <w:b w:val="0"/>
          <w:bCs w:val="0"/>
          <w:color w:val="auto"/>
          <w:sz w:val="32"/>
          <w:szCs w:val="32"/>
          <w:lang w:eastAsia="zh-CN"/>
        </w:rPr>
        <w:t>衡南县</w:t>
      </w:r>
      <w:r>
        <w:rPr>
          <w:rFonts w:hint="eastAsia" w:ascii="仿宋_GB2312" w:hAnsi="仿宋_GB2312" w:eastAsia="仿宋_GB2312" w:cs="仿宋_GB2312"/>
          <w:b w:val="0"/>
          <w:bCs w:val="0"/>
          <w:color w:val="auto"/>
          <w:sz w:val="32"/>
          <w:szCs w:val="32"/>
        </w:rPr>
        <w:t>行政执法全过程记录办法》规定，结合</w:t>
      </w:r>
      <w:r>
        <w:rPr>
          <w:rFonts w:hint="eastAsia" w:ascii="仿宋_GB2312" w:hAnsi="仿宋_GB2312" w:eastAsia="仿宋_GB2312" w:cs="仿宋_GB2312"/>
          <w:b w:val="0"/>
          <w:bCs w:val="0"/>
          <w:color w:val="auto"/>
          <w:sz w:val="32"/>
          <w:szCs w:val="32"/>
          <w:lang w:eastAsia="zh-CN"/>
        </w:rPr>
        <w:t>我县民政</w:t>
      </w:r>
      <w:r>
        <w:rPr>
          <w:rFonts w:hint="eastAsia" w:ascii="仿宋_GB2312" w:hAnsi="仿宋_GB2312" w:eastAsia="仿宋_GB2312" w:cs="仿宋_GB2312"/>
          <w:b w:val="0"/>
          <w:bCs w:val="0"/>
          <w:color w:val="auto"/>
          <w:sz w:val="32"/>
          <w:szCs w:val="32"/>
        </w:rPr>
        <w:t>工作实际，制定本细则。</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黑体" w:hAnsi="黑体" w:eastAsia="黑体" w:cs="黑体"/>
          <w:i w:val="0"/>
          <w:caps w:val="0"/>
          <w:color w:val="auto"/>
          <w:spacing w:val="0"/>
          <w:kern w:val="0"/>
          <w:sz w:val="32"/>
          <w:szCs w:val="32"/>
          <w:shd w:val="clear" w:fill="FFFFFF"/>
          <w:lang w:val="zh-CN" w:eastAsia="zh-CN" w:bidi="ar"/>
        </w:rPr>
        <w:t>第二条</w:t>
      </w:r>
      <w:r>
        <w:rPr>
          <w:rFonts w:hint="eastAsia" w:ascii="仿宋_GB2312" w:hAnsi="仿宋_GB2312" w:eastAsia="仿宋_GB2312" w:cs="仿宋_GB2312"/>
          <w:color w:val="auto"/>
          <w:sz w:val="32"/>
          <w:szCs w:val="32"/>
          <w:lang w:val="en-US" w:eastAsia="zh-CN"/>
        </w:rPr>
        <w:t xml:space="preserve">  本办法适用于衡南县</w:t>
      </w:r>
      <w:r>
        <w:rPr>
          <w:rFonts w:hint="eastAsia" w:ascii="仿宋_GB2312" w:hAnsi="仿宋_GB2312" w:eastAsia="仿宋_GB2312" w:cs="仿宋_GB2312"/>
          <w:color w:val="auto"/>
          <w:sz w:val="32"/>
          <w:szCs w:val="32"/>
          <w:lang w:val="zh-CN" w:eastAsia="zh-CN"/>
        </w:rPr>
        <w:t>民政局及其下设执法机构（含法律法规授权的具有管理公共事务的组织，以及依法受行政执法机关委托从事行政执法活动的组织，以下统称民政执法机关）</w:t>
      </w:r>
      <w:r>
        <w:rPr>
          <w:rFonts w:hint="eastAsia" w:ascii="仿宋_GB2312" w:hAnsi="仿宋_GB2312" w:eastAsia="仿宋_GB2312" w:cs="仿宋_GB2312"/>
          <w:color w:val="auto"/>
          <w:sz w:val="32"/>
          <w:szCs w:val="32"/>
          <w:lang w:val="en-US" w:eastAsia="zh-CN"/>
        </w:rPr>
        <w:t>在实施行政许可、行政处罚、行政强制、行政检查四类行政执法全过程记录工作。其他行政执法行为，可参照本办法执行。</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第三条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eastAsia="zh-CN"/>
        </w:rPr>
        <w:t>本办法</w:t>
      </w:r>
      <w:r>
        <w:rPr>
          <w:rFonts w:hint="eastAsia" w:ascii="仿宋_GB2312" w:hAnsi="仿宋_GB2312" w:eastAsia="仿宋_GB2312" w:cs="仿宋_GB2312"/>
          <w:color w:val="auto"/>
          <w:sz w:val="32"/>
          <w:szCs w:val="32"/>
        </w:rPr>
        <w:t>所称全过程记录，是指</w:t>
      </w:r>
      <w:r>
        <w:rPr>
          <w:rFonts w:hint="eastAsia" w:ascii="仿宋_GB2312" w:hAnsi="仿宋_GB2312" w:eastAsia="仿宋_GB2312" w:cs="仿宋_GB2312"/>
          <w:color w:val="auto"/>
          <w:sz w:val="32"/>
          <w:szCs w:val="32"/>
          <w:lang w:val="en-US" w:eastAsia="zh-CN"/>
        </w:rPr>
        <w:t>民政执法机关</w:t>
      </w:r>
      <w:r>
        <w:rPr>
          <w:rFonts w:hint="eastAsia" w:ascii="仿宋_GB2312" w:hAnsi="仿宋_GB2312" w:eastAsia="仿宋_GB2312" w:cs="仿宋_GB2312"/>
          <w:color w:val="auto"/>
          <w:sz w:val="32"/>
          <w:szCs w:val="32"/>
        </w:rPr>
        <w:t>及其执法人员通过文字、音像等记录方式，对执法程序启动、调查取证、审查决定、送达执行、归档管理等行政执法整个过程进行跟踪记录的活动。</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文字记录是指以文字、符号、图表等形式进行的记录。音像记录是指以照相、录音、录像、视频监控等方式进行的记录。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文字与音像记录方式可同时使用，也可分别使用。本</w:t>
      </w:r>
      <w:r>
        <w:rPr>
          <w:rFonts w:hint="eastAsia" w:ascii="仿宋_GB2312" w:hAnsi="仿宋_GB2312" w:eastAsia="仿宋_GB2312" w:cs="仿宋_GB2312"/>
          <w:color w:val="auto"/>
          <w:sz w:val="32"/>
          <w:szCs w:val="32"/>
          <w:lang w:eastAsia="zh-CN"/>
        </w:rPr>
        <w:t>办法</w:t>
      </w:r>
      <w:r>
        <w:rPr>
          <w:rFonts w:hint="eastAsia" w:ascii="仿宋_GB2312" w:hAnsi="仿宋_GB2312" w:eastAsia="仿宋_GB2312" w:cs="仿宋_GB2312"/>
          <w:color w:val="auto"/>
          <w:sz w:val="32"/>
          <w:szCs w:val="32"/>
        </w:rPr>
        <w:t>另有规定的按规定执行。</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第四条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rPr>
        <w:t>行政执法全过程记录应当遵循合法、客观、全面、及时、关联原则。</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民政执法机关及执法人员应根据行政执法行为的性质、种类、</w:t>
      </w:r>
      <w:r>
        <w:rPr>
          <w:rFonts w:hint="eastAsia" w:ascii="仿宋_GB2312" w:hAnsi="仿宋_GB2312" w:eastAsia="仿宋_GB2312" w:cs="仿宋_GB2312"/>
          <w:color w:val="auto"/>
          <w:sz w:val="32"/>
          <w:szCs w:val="32"/>
          <w:lang w:eastAsia="zh-CN"/>
        </w:rPr>
        <w:t>场所</w:t>
      </w:r>
      <w:r>
        <w:rPr>
          <w:rFonts w:hint="eastAsia" w:ascii="仿宋_GB2312" w:hAnsi="仿宋_GB2312" w:eastAsia="仿宋_GB2312" w:cs="仿宋_GB2312"/>
          <w:color w:val="auto"/>
          <w:sz w:val="32"/>
          <w:szCs w:val="32"/>
        </w:rPr>
        <w:t>、阶段不同，采取合法、适当、有效的方式和手段对执法全过程实施记录。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第五条</w:t>
      </w:r>
      <w:r>
        <w:rPr>
          <w:rFonts w:hint="eastAsia" w:ascii="仿宋_GB2312" w:hAnsi="仿宋_GB2312" w:eastAsia="仿宋_GB2312" w:cs="仿宋_GB2312"/>
          <w:color w:val="auto"/>
          <w:sz w:val="32"/>
          <w:szCs w:val="32"/>
          <w:lang w:eastAsia="zh-CN"/>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民政执法机关</w:t>
      </w:r>
      <w:r>
        <w:rPr>
          <w:rFonts w:hint="eastAsia" w:ascii="仿宋_GB2312" w:hAnsi="仿宋_GB2312" w:eastAsia="仿宋_GB2312" w:cs="仿宋_GB2312"/>
          <w:color w:val="auto"/>
          <w:sz w:val="32"/>
          <w:szCs w:val="32"/>
        </w:rPr>
        <w:t>应加强行政执法信息化建设，在行政执法信息系统中全过程进行文字、音像记录，提高执法效率和规范化水平。</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第六条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办公室（</w:t>
      </w:r>
      <w:r>
        <w:rPr>
          <w:rFonts w:hint="eastAsia" w:ascii="仿宋_GB2312" w:hAnsi="仿宋_GB2312" w:eastAsia="仿宋_GB2312" w:cs="仿宋_GB2312"/>
          <w:color w:val="auto"/>
          <w:sz w:val="32"/>
          <w:szCs w:val="32"/>
          <w:lang w:val="en-US" w:eastAsia="zh-CN"/>
        </w:rPr>
        <w:t>政策法规股）</w:t>
      </w:r>
      <w:r>
        <w:rPr>
          <w:rFonts w:hint="eastAsia" w:ascii="仿宋_GB2312" w:hAnsi="仿宋_GB2312" w:eastAsia="仿宋_GB2312" w:cs="仿宋_GB2312"/>
          <w:color w:val="auto"/>
          <w:sz w:val="32"/>
          <w:szCs w:val="32"/>
        </w:rPr>
        <w:t>负责对本</w:t>
      </w:r>
      <w:r>
        <w:rPr>
          <w:rFonts w:hint="eastAsia" w:ascii="仿宋_GB2312" w:hAnsi="仿宋_GB2312" w:eastAsia="仿宋_GB2312" w:cs="仿宋_GB2312"/>
          <w:color w:val="auto"/>
          <w:sz w:val="32"/>
          <w:szCs w:val="32"/>
          <w:lang w:val="en-US" w:eastAsia="zh-CN"/>
        </w:rPr>
        <w:t>单位</w:t>
      </w:r>
      <w:r>
        <w:rPr>
          <w:rFonts w:hint="eastAsia" w:ascii="仿宋_GB2312" w:hAnsi="仿宋_GB2312" w:eastAsia="仿宋_GB2312" w:cs="仿宋_GB2312"/>
          <w:color w:val="auto"/>
          <w:sz w:val="32"/>
          <w:szCs w:val="32"/>
        </w:rPr>
        <w:t>行政执法全过程记录工作的监督、检查、指导和协调。</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具体行政执法承办股室及局下设执法机构（以下统称行政执法承办机构）</w:t>
      </w:r>
      <w:r>
        <w:rPr>
          <w:rFonts w:hint="eastAsia" w:ascii="仿宋_GB2312" w:hAnsi="仿宋_GB2312" w:eastAsia="仿宋_GB2312" w:cs="仿宋_GB2312"/>
          <w:color w:val="auto"/>
          <w:sz w:val="32"/>
          <w:szCs w:val="32"/>
          <w:lang w:eastAsia="zh-CN"/>
        </w:rPr>
        <w:t>是行政</w:t>
      </w:r>
      <w:r>
        <w:rPr>
          <w:rFonts w:hint="eastAsia" w:ascii="仿宋_GB2312" w:hAnsi="仿宋_GB2312" w:eastAsia="仿宋_GB2312" w:cs="仿宋_GB2312"/>
          <w:color w:val="auto"/>
          <w:sz w:val="32"/>
          <w:szCs w:val="32"/>
        </w:rPr>
        <w:t>执法全过程记录</w:t>
      </w:r>
      <w:r>
        <w:rPr>
          <w:rFonts w:hint="eastAsia" w:ascii="仿宋_GB2312" w:hAnsi="仿宋_GB2312" w:eastAsia="仿宋_GB2312" w:cs="仿宋_GB2312"/>
          <w:color w:val="auto"/>
          <w:sz w:val="32"/>
          <w:szCs w:val="32"/>
          <w:lang w:eastAsia="zh-CN"/>
        </w:rPr>
        <w:t>工作的实施主体，负责执法记录、材料制作、数据文件归集等工作。</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民政执法机关应</w:t>
      </w:r>
      <w:r>
        <w:rPr>
          <w:rFonts w:hint="eastAsia" w:ascii="仿宋_GB2312" w:hAnsi="仿宋_GB2312" w:eastAsia="仿宋_GB2312" w:cs="仿宋_GB2312"/>
          <w:color w:val="auto"/>
          <w:sz w:val="32"/>
          <w:szCs w:val="32"/>
        </w:rPr>
        <w:t>根据执法需要</w:t>
      </w:r>
      <w:r>
        <w:rPr>
          <w:rFonts w:hint="eastAsia" w:ascii="仿宋_GB2312" w:hAnsi="仿宋_GB2312" w:eastAsia="仿宋_GB2312" w:cs="仿宋_GB2312"/>
          <w:color w:val="auto"/>
          <w:sz w:val="32"/>
          <w:szCs w:val="32"/>
          <w:lang w:eastAsia="zh-CN"/>
        </w:rPr>
        <w:t>、执法人员数量，</w:t>
      </w:r>
      <w:r>
        <w:rPr>
          <w:rFonts w:hint="eastAsia" w:ascii="仿宋_GB2312" w:hAnsi="仿宋_GB2312" w:eastAsia="仿宋_GB2312" w:cs="仿宋_GB2312"/>
          <w:color w:val="auto"/>
          <w:sz w:val="32"/>
          <w:szCs w:val="32"/>
        </w:rPr>
        <w:t>配备相应的音像记录</w:t>
      </w:r>
      <w:r>
        <w:rPr>
          <w:rFonts w:hint="eastAsia" w:ascii="仿宋_GB2312" w:hAnsi="仿宋_GB2312" w:eastAsia="仿宋_GB2312" w:cs="仿宋_GB2312"/>
          <w:color w:val="auto"/>
          <w:sz w:val="32"/>
          <w:szCs w:val="32"/>
          <w:lang w:eastAsia="zh-CN"/>
        </w:rPr>
        <w:t>设施设备</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hint="eastAsia" w:ascii="仿宋_GB2312" w:hAnsi="仿宋_GB2312" w:eastAsia="仿宋_GB2312" w:cs="仿宋_GB2312"/>
          <w:color w:val="auto"/>
          <w:sz w:val="32"/>
          <w:szCs w:val="32"/>
          <w:lang w:eastAsia="zh-CN"/>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第二章</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程序启动的记录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第七条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 xml:space="preserve"> </w:t>
      </w:r>
      <w:r>
        <w:rPr>
          <w:rFonts w:hint="eastAsia" w:ascii="仿宋_GB2312" w:hAnsi="仿宋_GB2312" w:eastAsia="仿宋_GB2312" w:cs="仿宋_GB2312"/>
          <w:b w:val="0"/>
          <w:bCs w:val="0"/>
          <w:color w:val="auto"/>
          <w:sz w:val="32"/>
          <w:szCs w:val="32"/>
          <w:lang w:val="en-US" w:eastAsia="zh-CN"/>
        </w:rPr>
        <w:t>民政执法机关</w:t>
      </w:r>
      <w:r>
        <w:rPr>
          <w:rFonts w:hint="eastAsia" w:ascii="仿宋_GB2312" w:hAnsi="仿宋_GB2312" w:eastAsia="仿宋_GB2312" w:cs="仿宋_GB2312"/>
          <w:b w:val="0"/>
          <w:bCs w:val="0"/>
          <w:color w:val="auto"/>
          <w:sz w:val="32"/>
          <w:szCs w:val="32"/>
        </w:rPr>
        <w:t>对公民、法人</w:t>
      </w:r>
      <w:r>
        <w:rPr>
          <w:rFonts w:hint="eastAsia" w:ascii="仿宋_GB2312" w:hAnsi="仿宋_GB2312" w:eastAsia="仿宋_GB2312" w:cs="仿宋_GB2312"/>
          <w:b w:val="0"/>
          <w:bCs w:val="0"/>
          <w:color w:val="auto"/>
          <w:sz w:val="32"/>
          <w:szCs w:val="32"/>
          <w:lang w:eastAsia="zh-CN"/>
        </w:rPr>
        <w:t>和非法人组织</w:t>
      </w:r>
      <w:r>
        <w:rPr>
          <w:rFonts w:hint="eastAsia" w:ascii="仿宋_GB2312" w:hAnsi="仿宋_GB2312" w:eastAsia="仿宋_GB2312" w:cs="仿宋_GB2312"/>
          <w:b w:val="0"/>
          <w:bCs w:val="0"/>
          <w:color w:val="auto"/>
          <w:sz w:val="32"/>
          <w:szCs w:val="32"/>
        </w:rPr>
        <w:t>依法申请办理的事项，应依照有关法律</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法规和规章的规定对申请登记、口头申请、受理或不予受理、当场更正申请材料中的错误、出具书面凭证或回执以及一次</w:t>
      </w:r>
      <w:r>
        <w:rPr>
          <w:rFonts w:hint="eastAsia" w:ascii="仿宋_GB2312" w:hAnsi="仿宋_GB2312" w:eastAsia="仿宋_GB2312" w:cs="仿宋_GB2312"/>
          <w:b w:val="0"/>
          <w:bCs w:val="0"/>
          <w:color w:val="auto"/>
          <w:sz w:val="32"/>
          <w:szCs w:val="32"/>
          <w:lang w:eastAsia="zh-CN"/>
        </w:rPr>
        <w:t>性</w:t>
      </w:r>
      <w:r>
        <w:rPr>
          <w:rFonts w:hint="eastAsia" w:ascii="仿宋_GB2312" w:hAnsi="仿宋_GB2312" w:eastAsia="仿宋_GB2312" w:cs="仿宋_GB2312"/>
          <w:b w:val="0"/>
          <w:bCs w:val="0"/>
          <w:color w:val="auto"/>
          <w:sz w:val="32"/>
          <w:szCs w:val="32"/>
        </w:rPr>
        <w:t>告知申请人需补正的全部内容等</w:t>
      </w:r>
      <w:r>
        <w:rPr>
          <w:rFonts w:hint="eastAsia" w:ascii="仿宋_GB2312" w:hAnsi="仿宋_GB2312" w:eastAsia="仿宋_GB2312" w:cs="仿宋_GB2312"/>
          <w:b w:val="0"/>
          <w:bCs w:val="0"/>
          <w:color w:val="auto"/>
          <w:sz w:val="32"/>
          <w:szCs w:val="32"/>
          <w:lang w:eastAsia="zh-CN"/>
        </w:rPr>
        <w:t>填写相关文书予以记录</w:t>
      </w:r>
      <w:r>
        <w:rPr>
          <w:rFonts w:hint="eastAsia" w:ascii="仿宋_GB2312" w:hAnsi="仿宋_GB2312" w:eastAsia="仿宋_GB2312" w:cs="仿宋_GB2312"/>
          <w:b w:val="0"/>
          <w:bCs w:val="0"/>
          <w:color w:val="auto"/>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民政执法机关可在受理地点安装视频监控系统，实时记录受理、办理过程。</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第八条</w:t>
      </w:r>
      <w:r>
        <w:rPr>
          <w:rFonts w:hint="eastAsia" w:ascii="仿宋_GB2312" w:hAnsi="仿宋_GB2312" w:eastAsia="仿宋_GB2312" w:cs="仿宋_GB2312"/>
          <w:b w:val="0"/>
          <w:bCs w:val="0"/>
          <w:color w:val="auto"/>
          <w:sz w:val="32"/>
          <w:szCs w:val="32"/>
          <w:lang w:eastAsia="zh-CN"/>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民政执法机关</w:t>
      </w:r>
      <w:r>
        <w:rPr>
          <w:rFonts w:hint="eastAsia" w:ascii="仿宋_GB2312" w:hAnsi="仿宋_GB2312" w:eastAsia="仿宋_GB2312" w:cs="仿宋_GB2312"/>
          <w:b w:val="0"/>
          <w:bCs w:val="0"/>
          <w:color w:val="auto"/>
          <w:sz w:val="32"/>
          <w:szCs w:val="32"/>
        </w:rPr>
        <w:t>依职权启动一般程序行政执法的，</w:t>
      </w:r>
      <w:r>
        <w:rPr>
          <w:rFonts w:hint="eastAsia" w:ascii="仿宋_GB2312" w:hAnsi="仿宋_GB2312" w:eastAsia="仿宋_GB2312" w:cs="仿宋_GB2312"/>
          <w:b w:val="0"/>
          <w:bCs w:val="0"/>
          <w:color w:val="auto"/>
          <w:sz w:val="32"/>
          <w:szCs w:val="32"/>
          <w:lang w:eastAsia="zh-CN"/>
        </w:rPr>
        <w:t>有受理、立案等内部审批程序的，</w:t>
      </w:r>
      <w:r>
        <w:rPr>
          <w:rFonts w:hint="eastAsia" w:ascii="仿宋_GB2312" w:hAnsi="仿宋_GB2312" w:eastAsia="仿宋_GB2312" w:cs="仿宋_GB2312"/>
          <w:b w:val="0"/>
          <w:bCs w:val="0"/>
          <w:color w:val="auto"/>
          <w:sz w:val="32"/>
          <w:szCs w:val="32"/>
        </w:rPr>
        <w:t>由行政执法人员填写程序启动审批表，报</w:t>
      </w:r>
      <w:r>
        <w:rPr>
          <w:rFonts w:hint="eastAsia" w:ascii="仿宋_GB2312" w:hAnsi="仿宋_GB2312" w:eastAsia="仿宋_GB2312" w:cs="仿宋_GB2312"/>
          <w:b w:val="0"/>
          <w:bCs w:val="0"/>
          <w:color w:val="auto"/>
          <w:sz w:val="32"/>
          <w:szCs w:val="32"/>
          <w:lang w:eastAsia="zh-CN"/>
        </w:rPr>
        <w:t>机关</w:t>
      </w:r>
      <w:r>
        <w:rPr>
          <w:rFonts w:hint="eastAsia" w:ascii="仿宋_GB2312" w:hAnsi="仿宋_GB2312" w:eastAsia="仿宋_GB2312" w:cs="仿宋_GB2312"/>
          <w:b w:val="0"/>
          <w:bCs w:val="0"/>
          <w:color w:val="auto"/>
          <w:sz w:val="32"/>
          <w:szCs w:val="32"/>
        </w:rPr>
        <w:t>负责人批准。情况紧急的，可先启动行政执法程序，并在行政执法程序启动后24小时内</w:t>
      </w:r>
      <w:r>
        <w:rPr>
          <w:rFonts w:hint="eastAsia" w:ascii="仿宋_GB2312" w:hAnsi="仿宋_GB2312" w:eastAsia="仿宋_GB2312" w:cs="仿宋_GB2312"/>
          <w:b w:val="0"/>
          <w:bCs w:val="0"/>
          <w:color w:val="auto"/>
          <w:sz w:val="32"/>
          <w:szCs w:val="32"/>
          <w:lang w:eastAsia="zh-CN"/>
        </w:rPr>
        <w:t>补办审批程序</w:t>
      </w:r>
      <w:r>
        <w:rPr>
          <w:rFonts w:hint="eastAsia" w:ascii="仿宋_GB2312" w:hAnsi="仿宋_GB2312" w:eastAsia="仿宋_GB2312" w:cs="仿宋_GB2312"/>
          <w:b w:val="0"/>
          <w:bCs w:val="0"/>
          <w:color w:val="auto"/>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程序启动审批表应载明启动原因、当事人基本情况、承办人意见、承办机构意见和机关负责人意见</w:t>
      </w:r>
      <w:r>
        <w:rPr>
          <w:rFonts w:hint="eastAsia" w:ascii="仿宋_GB2312" w:hAnsi="仿宋_GB2312" w:eastAsia="仿宋_GB2312" w:cs="仿宋_GB2312"/>
          <w:b w:val="0"/>
          <w:bCs w:val="0"/>
          <w:color w:val="auto"/>
          <w:sz w:val="32"/>
          <w:szCs w:val="32"/>
          <w:lang w:eastAsia="zh-CN"/>
        </w:rPr>
        <w:t>等内容</w:t>
      </w:r>
      <w:r>
        <w:rPr>
          <w:rFonts w:hint="eastAsia" w:ascii="仿宋_GB2312" w:hAnsi="仿宋_GB2312" w:eastAsia="仿宋_GB2312" w:cs="仿宋_GB2312"/>
          <w:b w:val="0"/>
          <w:bCs w:val="0"/>
          <w:color w:val="auto"/>
          <w:sz w:val="32"/>
          <w:szCs w:val="32"/>
        </w:rPr>
        <w:t>。其中重大行政执法行为还应载明民政执法机关法制机构合法性审查意见。</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第九条</w:t>
      </w:r>
      <w:r>
        <w:rPr>
          <w:rFonts w:hint="eastAsia" w:ascii="仿宋_GB2312" w:hAnsi="仿宋_GB2312" w:eastAsia="仿宋_GB2312" w:cs="仿宋_GB2312"/>
          <w:b w:val="0"/>
          <w:bCs w:val="0"/>
          <w:color w:val="auto"/>
          <w:sz w:val="32"/>
          <w:szCs w:val="32"/>
          <w:lang w:eastAsia="zh-CN"/>
        </w:rPr>
        <w:t xml:space="preserve">  民政执法机关</w:t>
      </w:r>
      <w:r>
        <w:rPr>
          <w:rFonts w:hint="eastAsia" w:ascii="仿宋_GB2312" w:hAnsi="仿宋_GB2312" w:eastAsia="仿宋_GB2312" w:cs="仿宋_GB2312"/>
          <w:b w:val="0"/>
          <w:bCs w:val="0"/>
          <w:color w:val="auto"/>
          <w:sz w:val="32"/>
          <w:szCs w:val="32"/>
        </w:rPr>
        <w:t>接到公民、法人或</w:t>
      </w:r>
      <w:r>
        <w:rPr>
          <w:rFonts w:hint="eastAsia" w:ascii="仿宋_GB2312" w:hAnsi="仿宋_GB2312" w:eastAsia="仿宋_GB2312" w:cs="仿宋_GB2312"/>
          <w:b w:val="0"/>
          <w:bCs w:val="0"/>
          <w:color w:val="auto"/>
          <w:sz w:val="32"/>
          <w:szCs w:val="32"/>
          <w:lang w:eastAsia="zh-CN"/>
        </w:rPr>
        <w:t>非法人组织</w:t>
      </w:r>
      <w:r>
        <w:rPr>
          <w:rFonts w:hint="eastAsia" w:ascii="仿宋_GB2312" w:hAnsi="仿宋_GB2312" w:eastAsia="仿宋_GB2312" w:cs="仿宋_GB2312"/>
          <w:b w:val="0"/>
          <w:bCs w:val="0"/>
          <w:color w:val="auto"/>
          <w:sz w:val="32"/>
          <w:szCs w:val="32"/>
        </w:rPr>
        <w:t>对违法行为投诉、举报的，需要查处的，</w:t>
      </w:r>
      <w:r>
        <w:rPr>
          <w:rFonts w:hint="eastAsia" w:ascii="仿宋_GB2312" w:hAnsi="仿宋_GB2312" w:eastAsia="仿宋_GB2312" w:cs="仿宋_GB2312"/>
          <w:b w:val="0"/>
          <w:bCs w:val="0"/>
          <w:color w:val="auto"/>
          <w:sz w:val="32"/>
          <w:szCs w:val="32"/>
          <w:lang w:eastAsia="zh-CN"/>
        </w:rPr>
        <w:t>应</w:t>
      </w:r>
      <w:r>
        <w:rPr>
          <w:rFonts w:hint="eastAsia" w:ascii="仿宋_GB2312" w:hAnsi="仿宋_GB2312" w:eastAsia="仿宋_GB2312" w:cs="仿宋_GB2312"/>
          <w:b w:val="0"/>
          <w:bCs w:val="0"/>
          <w:color w:val="auto"/>
          <w:sz w:val="32"/>
          <w:szCs w:val="32"/>
        </w:rPr>
        <w:t>及时启动执法程序，并进行相应记录；对实名投诉、举报，经审查不启动行政执法程序的，应依据相关法律、法规和规章的规定告知投诉人、举报人，并将相关情况作书面记录。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hint="eastAsia" w:ascii="仿宋_GB2312" w:hAnsi="仿宋_GB2312" w:eastAsia="仿宋_GB2312" w:cs="仿宋_GB2312"/>
          <w:color w:val="auto"/>
          <w:sz w:val="32"/>
          <w:szCs w:val="32"/>
          <w:lang w:eastAsia="zh-CN"/>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第三章</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调查与取证的记录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eastAsia="zh-CN"/>
        </w:rPr>
        <w:t xml:space="preserve"> 民政执法机关进行调查取证，执法人员不得少于两人。</w:t>
      </w:r>
      <w:r>
        <w:rPr>
          <w:rFonts w:hint="eastAsia" w:ascii="仿宋_GB2312" w:hAnsi="仿宋_GB2312" w:eastAsia="仿宋_GB2312" w:cs="仿宋_GB2312"/>
          <w:color w:val="auto"/>
          <w:sz w:val="32"/>
          <w:szCs w:val="32"/>
        </w:rPr>
        <w:t>民政执法人员应在相关调查笔录中对执法人员数量、姓名、执法证件编号及出示情况进行文字记录，并由当事人或有关在场人员签字或盖章</w:t>
      </w:r>
      <w:r>
        <w:rPr>
          <w:rFonts w:hint="eastAsia" w:ascii="仿宋_GB2312" w:hAnsi="仿宋_GB2312" w:eastAsia="仿宋_GB2312" w:cs="仿宋_GB2312"/>
          <w:color w:val="auto"/>
          <w:sz w:val="32"/>
          <w:szCs w:val="32"/>
          <w:lang w:eastAsia="zh-CN"/>
        </w:rPr>
        <w:t>，对于不肯签字或盖章的，由记录人员将有关情况记录在案</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第十一条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eastAsia="zh-CN"/>
        </w:rPr>
        <w:t xml:space="preserve"> </w:t>
      </w:r>
      <w:r>
        <w:rPr>
          <w:rFonts w:hint="eastAsia" w:ascii="仿宋_GB2312" w:hAnsi="仿宋_GB2312" w:eastAsia="仿宋_GB2312" w:cs="仿宋_GB2312"/>
          <w:color w:val="auto"/>
          <w:sz w:val="32"/>
          <w:szCs w:val="32"/>
        </w:rPr>
        <w:t>民政执法人员在执法过程中对告知行政相对人陈述、申辩、申请回避、听证等权利的方式应进行</w:t>
      </w:r>
      <w:r>
        <w:rPr>
          <w:rFonts w:hint="eastAsia" w:ascii="仿宋_GB2312" w:hAnsi="仿宋_GB2312" w:eastAsia="仿宋_GB2312" w:cs="仿宋_GB2312"/>
          <w:color w:val="auto"/>
          <w:sz w:val="32"/>
          <w:szCs w:val="32"/>
          <w:lang w:eastAsia="zh-CN"/>
        </w:rPr>
        <w:t>文字或音像</w:t>
      </w:r>
      <w:r>
        <w:rPr>
          <w:rFonts w:hint="eastAsia" w:ascii="仿宋_GB2312" w:hAnsi="仿宋_GB2312" w:eastAsia="仿宋_GB2312" w:cs="仿宋_GB2312"/>
          <w:color w:val="auto"/>
          <w:sz w:val="32"/>
          <w:szCs w:val="32"/>
        </w:rPr>
        <w:t>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第十二条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rPr>
        <w:t>调查、取证可采取以下方式进行文字记录：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（一）询问</w:t>
      </w:r>
      <w:r>
        <w:rPr>
          <w:rFonts w:hint="eastAsia" w:ascii="仿宋_GB2312" w:hAnsi="仿宋_GB2312" w:eastAsia="仿宋_GB2312" w:cs="仿宋_GB2312"/>
          <w:color w:val="auto"/>
          <w:sz w:val="32"/>
          <w:szCs w:val="32"/>
          <w:lang w:eastAsia="zh-CN"/>
        </w:rPr>
        <w:t>、调查</w:t>
      </w:r>
      <w:r>
        <w:rPr>
          <w:rFonts w:hint="eastAsia" w:ascii="仿宋_GB2312" w:hAnsi="仿宋_GB2312" w:eastAsia="仿宋_GB2312" w:cs="仿宋_GB2312"/>
          <w:color w:val="auto"/>
          <w:sz w:val="32"/>
          <w:szCs w:val="32"/>
        </w:rPr>
        <w:t>当事人或证人，应制作询问</w:t>
      </w:r>
      <w:r>
        <w:rPr>
          <w:rFonts w:hint="eastAsia" w:ascii="仿宋_GB2312" w:hAnsi="仿宋_GB2312" w:eastAsia="仿宋_GB2312" w:cs="仿宋_GB2312"/>
          <w:color w:val="auto"/>
          <w:sz w:val="32"/>
          <w:szCs w:val="32"/>
          <w:lang w:eastAsia="zh-CN"/>
        </w:rPr>
        <w:t>、调查笔</w:t>
      </w:r>
      <w:r>
        <w:rPr>
          <w:rFonts w:hint="eastAsia" w:ascii="仿宋_GB2312" w:hAnsi="仿宋_GB2312" w:eastAsia="仿宋_GB2312" w:cs="仿宋_GB2312"/>
          <w:color w:val="auto"/>
          <w:sz w:val="32"/>
          <w:szCs w:val="32"/>
        </w:rPr>
        <w:t>录等文书；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（二）向有关单位和个人调取书证、物证的，应制作调取证据通知书、证据登记保存清单等文书；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（三）现场检查</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勘验等，应制作现场检查</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勘验笔录等文书；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（四）抽样的，应制作抽查</w:t>
      </w:r>
      <w:r>
        <w:rPr>
          <w:rFonts w:hint="eastAsia" w:ascii="仿宋_GB2312" w:hAnsi="仿宋_GB2312" w:eastAsia="仿宋_GB2312" w:cs="仿宋_GB2312"/>
          <w:color w:val="auto"/>
          <w:sz w:val="32"/>
          <w:szCs w:val="32"/>
          <w:lang w:eastAsia="zh-CN"/>
        </w:rPr>
        <w:t>取证</w:t>
      </w:r>
      <w:r>
        <w:rPr>
          <w:rFonts w:hint="eastAsia" w:ascii="仿宋_GB2312" w:hAnsi="仿宋_GB2312" w:eastAsia="仿宋_GB2312" w:cs="仿宋_GB2312"/>
          <w:color w:val="auto"/>
          <w:sz w:val="32"/>
          <w:szCs w:val="32"/>
        </w:rPr>
        <w:t>通知书及物品清单等文书；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五）听取当事人陈述和申辩的，应制作权利告知书、陈述申辩笔录等文书；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（六）举行听证的，应依照听证</w:t>
      </w:r>
      <w:r>
        <w:rPr>
          <w:rFonts w:hint="eastAsia" w:ascii="仿宋_GB2312" w:hAnsi="仿宋_GB2312" w:eastAsia="仿宋_GB2312" w:cs="仿宋_GB2312"/>
          <w:color w:val="auto"/>
          <w:sz w:val="32"/>
          <w:szCs w:val="32"/>
          <w:lang w:eastAsia="zh-CN"/>
        </w:rPr>
        <w:t>相关</w:t>
      </w:r>
      <w:r>
        <w:rPr>
          <w:rFonts w:hint="eastAsia" w:ascii="仿宋_GB2312" w:hAnsi="仿宋_GB2312" w:eastAsia="仿宋_GB2312" w:cs="仿宋_GB2312"/>
          <w:color w:val="auto"/>
          <w:sz w:val="32"/>
          <w:szCs w:val="32"/>
        </w:rPr>
        <w:t>规定制作听证全过程记录文书；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（七）指定或委托检验（检测、检疫、鉴定、评审）的，应当制作检验（检测、检疫、鉴定、评审）委托书，接受委托的检验机构应当出具意见书；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（八）法律、法规和规章规定的其他调查方式</w:t>
      </w:r>
      <w:r>
        <w:rPr>
          <w:rFonts w:hint="eastAsia" w:ascii="仿宋_GB2312" w:hAnsi="仿宋_GB2312" w:eastAsia="仿宋_GB2312" w:cs="仿宋_GB2312"/>
          <w:color w:val="auto"/>
          <w:sz w:val="32"/>
          <w:szCs w:val="32"/>
          <w:lang w:eastAsia="zh-CN"/>
        </w:rPr>
        <w:t>，依法制作其他文书</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黑体" w:hAnsi="黑体" w:eastAsia="黑体" w:cs="黑体"/>
          <w:i w:val="0"/>
          <w:caps w:val="0"/>
          <w:color w:val="auto"/>
          <w:spacing w:val="0"/>
          <w:kern w:val="0"/>
          <w:sz w:val="32"/>
          <w:szCs w:val="32"/>
          <w:shd w:val="clear" w:fill="FFFFFF"/>
          <w:lang w:val="en-US" w:eastAsia="zh-CN" w:bidi="ar"/>
        </w:rPr>
        <w:t>第十三条</w:t>
      </w:r>
      <w:r>
        <w:rPr>
          <w:rFonts w:hint="eastAsia" w:ascii="仿宋_GB2312" w:hAnsi="仿宋_GB2312" w:eastAsia="仿宋_GB2312" w:cs="仿宋_GB2312"/>
          <w:color w:val="auto"/>
          <w:sz w:val="32"/>
          <w:szCs w:val="32"/>
          <w:lang w:val="en-US" w:eastAsia="zh-CN"/>
        </w:rPr>
        <w:t xml:space="preserve">  民政执法人员在执法过程中，应依法告知当事人、利害关系人作出行政执法决定的事实、理由和依据，并告知当事人享有的权利、承担的义务、救济途径（如陈述、申辩、申请回避、听证等），并制作告知书或现场笔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当事人、利害关系人进行口头陈述、申辩的，应制作陈述、申辩笔录；当事人、利害关系人口头放弃陈述、申辩的，应记录在案。对当事人、利害关系人提交的陈述、申辩和放弃陈述、申辩的书面材料，民政执法机关应当予以保存。</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黑体" w:hAnsi="黑体" w:eastAsia="黑体" w:cs="黑体"/>
          <w:i w:val="0"/>
          <w:caps w:val="0"/>
          <w:color w:val="auto"/>
          <w:spacing w:val="0"/>
          <w:kern w:val="0"/>
          <w:sz w:val="32"/>
          <w:szCs w:val="32"/>
          <w:shd w:val="clear" w:fill="FFFFFF"/>
          <w:lang w:val="en-US" w:eastAsia="zh-CN" w:bidi="ar"/>
        </w:rPr>
        <w:t xml:space="preserve">第十四条 </w:t>
      </w:r>
      <w:r>
        <w:rPr>
          <w:rFonts w:hint="eastAsia" w:ascii="仿宋_GB2312" w:hAnsi="仿宋_GB2312" w:eastAsia="仿宋_GB2312" w:cs="仿宋_GB2312"/>
          <w:color w:val="auto"/>
          <w:sz w:val="32"/>
          <w:szCs w:val="32"/>
          <w:lang w:val="en-US" w:eastAsia="zh-CN"/>
        </w:rPr>
        <w:t xml:space="preserve"> 民政执法机关制作现场询问、调查、检查、勘验、听证、告知等笔录以及物品、财产清单等直接涉及当事人权利、义务的文书，均应由行政执法人员、当事人及有关人员签字或盖章确认。</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当事人或有关人员拒绝签字或盖章确认的，行政执法人员应当现场记录具体情况，并同步进行音像记录。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第十五条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除涉及国家秘密等不适宜音像记录的情形外，对下列行政执法行为的实施过程，行政执法机关应当同步进行录音录像：</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（一）开展现场询问、调查、检查、勘验、抽样取证、听证等调查；</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（二）依法实施查封场所、设施，扣押物品或财产等行政强制措施；</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（三）当事人或者有关人员不配合行政执法的；</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（四）需要进行音像记录的其他行政执法行为。</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法律、法规、规章对行政执法过程进行音像记录另有规定的，从其规定。</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第十六条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eastAsia="zh-CN"/>
        </w:rPr>
        <w:t>在证据可能灭失或以后难以取得的情况下，民政执法机关采取证据保全措施的，应记录以下事项：</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（一）启动证据保全的理由；</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（二）证据保全的具体标的物；</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（三）证据保全的形式，包括先行登记保存证据法定文书、复制、音像记录、鉴定、勘验、制作询问笔录等。</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第十七条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民政执法机关内设执法办案场所，应安装可覆盖执法办案场所的音像监控系统，并保持音像监控系统</w:t>
      </w:r>
      <w:r>
        <w:rPr>
          <w:rFonts w:hint="eastAsia" w:ascii="仿宋_GB2312" w:hAnsi="仿宋_GB2312" w:eastAsia="仿宋_GB2312" w:cs="仿宋_GB2312"/>
          <w:color w:val="auto"/>
          <w:sz w:val="32"/>
          <w:szCs w:val="32"/>
          <w:lang w:val="en-US" w:eastAsia="zh-CN"/>
        </w:rPr>
        <w:t>24小时不间断运行。</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第十八条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对可能危及人身自由、生命健康、财产安全的现场执法行动，应进行全程不间断记录，自到达现场开展执法活动时开始，至执法活动结束时停止；从现场带回当事人的，应记录至将当事人带入执法办案场所时停止。</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现场执法音像记录应当重点摄录以下内容：</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（一）执法环境；</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（二）当事人、证人等现场人员的体貌特征和言行举止；</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（三）重要涉案物品及其主要特征，以及其他可以证明违法行为的证据；</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（四）执法人员现场开具、送达法律文书和对有关人员、财物采取措施的情况；</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（五）其他应当记录的重要内容。</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现场执法音像记录过程中，因设备出现故障或损坏、天气情况恶劣等客观原因而中止记录的，重新开始记录时应当对中断原因进行说明。确实无法继续记录的，应当立即向所属部门负责人报告，并在事后书面说明情况。</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hint="eastAsia" w:ascii="仿宋_GB2312" w:hAnsi="仿宋_GB2312" w:eastAsia="仿宋_GB2312" w:cs="仿宋_GB2312"/>
          <w:color w:val="auto"/>
          <w:sz w:val="32"/>
          <w:szCs w:val="32"/>
          <w:lang w:val="en-US" w:eastAsia="zh-CN"/>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val="en-US" w:eastAsia="zh-CN"/>
        </w:rPr>
      </w:pPr>
      <w:r>
        <w:rPr>
          <w:rFonts w:hint="eastAsia" w:ascii="黑体" w:hAnsi="黑体" w:eastAsia="黑体" w:cs="黑体"/>
          <w:b w:val="0"/>
          <w:bCs w:val="0"/>
          <w:i w:val="0"/>
          <w:caps w:val="0"/>
          <w:color w:val="auto"/>
          <w:spacing w:val="0"/>
          <w:sz w:val="32"/>
          <w:szCs w:val="32"/>
          <w:shd w:val="clear" w:fill="FFFFFF"/>
          <w:lang w:val="en-US" w:eastAsia="zh-CN"/>
        </w:rPr>
        <w:t>第四章  审查与决定的记录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第十九条</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草拟行政执法决定时的文字记录应载明起草人、起草机构审查人、决定形成的法律依据、证据材料、应考虑的有关因素等。</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en-US" w:eastAsia="zh-CN" w:bidi="ar"/>
        </w:rPr>
        <w:t>第二十条</w:t>
      </w:r>
      <w:r>
        <w:rPr>
          <w:rFonts w:hint="eastAsia" w:ascii="仿宋_GB2312" w:hAnsi="仿宋_GB2312" w:eastAsia="仿宋_GB2312" w:cs="仿宋_GB2312"/>
          <w:color w:val="auto"/>
          <w:sz w:val="32"/>
          <w:szCs w:val="32"/>
          <w:lang w:val="en-US" w:eastAsia="zh-CN"/>
        </w:rPr>
        <w:t xml:space="preserve">  应当进行重大行政执法决定法制审核的，应在审核材料上载明法制机构审查人员、审查意见和建议；</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第二十一条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组织专家论证的，应制作专家论证会议纪要或专家意见书。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第二十二条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eastAsia="zh-CN"/>
        </w:rPr>
        <w:t>就执法决定进行</w:t>
      </w:r>
      <w:r>
        <w:rPr>
          <w:rFonts w:hint="eastAsia" w:ascii="仿宋_GB2312" w:hAnsi="仿宋_GB2312" w:eastAsia="仿宋_GB2312" w:cs="仿宋_GB2312"/>
          <w:color w:val="auto"/>
          <w:sz w:val="32"/>
          <w:szCs w:val="32"/>
        </w:rPr>
        <w:t>集体讨论</w:t>
      </w:r>
      <w:r>
        <w:rPr>
          <w:rFonts w:hint="eastAsia" w:ascii="仿宋_GB2312" w:hAnsi="仿宋_GB2312" w:eastAsia="仿宋_GB2312" w:cs="仿宋_GB2312"/>
          <w:color w:val="auto"/>
          <w:sz w:val="32"/>
          <w:szCs w:val="32"/>
          <w:lang w:eastAsia="zh-CN"/>
        </w:rPr>
        <w:t>的，</w:t>
      </w:r>
      <w:r>
        <w:rPr>
          <w:rFonts w:hint="eastAsia" w:ascii="仿宋_GB2312" w:hAnsi="仿宋_GB2312" w:eastAsia="仿宋_GB2312" w:cs="仿宋_GB2312"/>
          <w:color w:val="auto"/>
          <w:sz w:val="32"/>
          <w:szCs w:val="32"/>
        </w:rPr>
        <w:t>应制作集体讨论记录或会议纪要。</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第二十三条</w:t>
      </w:r>
      <w:r>
        <w:rPr>
          <w:rFonts w:hint="eastAsia" w:ascii="仿宋_GB2312" w:hAnsi="仿宋_GB2312" w:eastAsia="仿宋_GB2312" w:cs="仿宋_GB2312"/>
          <w:color w:val="auto"/>
          <w:sz w:val="32"/>
          <w:szCs w:val="32"/>
          <w:lang w:eastAsia="zh-CN"/>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eastAsia="zh-CN"/>
        </w:rPr>
        <w:t>机关</w:t>
      </w:r>
      <w:r>
        <w:rPr>
          <w:rFonts w:hint="eastAsia" w:ascii="仿宋_GB2312" w:hAnsi="仿宋_GB2312" w:eastAsia="仿宋_GB2312" w:cs="仿宋_GB2312"/>
          <w:color w:val="auto"/>
          <w:sz w:val="32"/>
          <w:szCs w:val="32"/>
        </w:rPr>
        <w:t>负责人审批记录包括负责人签署意见、负责人签名</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第二十四条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民政行政执法决定文书应符合法定格式，充分说明执法处理决定的理由，语言要简明准确。</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第二十五条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rPr>
        <w:t>适用简易程序的，应记录以下内容：</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（一）</w:t>
      </w:r>
      <w:r>
        <w:rPr>
          <w:rFonts w:hint="eastAsia" w:ascii="仿宋_GB2312" w:hAnsi="仿宋_GB2312" w:eastAsia="仿宋_GB2312" w:cs="仿宋_GB2312"/>
          <w:color w:val="auto"/>
          <w:sz w:val="32"/>
          <w:szCs w:val="32"/>
        </w:rPr>
        <w:t>适用简易程序的事实依据、法律依据的具体条件；</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（二）</w:t>
      </w:r>
      <w:r>
        <w:rPr>
          <w:rFonts w:hint="eastAsia" w:ascii="仿宋_GB2312" w:hAnsi="仿宋_GB2312" w:eastAsia="仿宋_GB2312" w:cs="仿宋_GB2312"/>
          <w:color w:val="auto"/>
          <w:sz w:val="32"/>
          <w:szCs w:val="32"/>
        </w:rPr>
        <w:t>实施简易程序的程序步骤及法定文书；</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（三）</w:t>
      </w:r>
      <w:r>
        <w:rPr>
          <w:rFonts w:hint="eastAsia" w:ascii="仿宋_GB2312" w:hAnsi="仿宋_GB2312" w:eastAsia="仿宋_GB2312" w:cs="仿宋_GB2312"/>
          <w:color w:val="auto"/>
          <w:sz w:val="32"/>
          <w:szCs w:val="32"/>
        </w:rPr>
        <w:t>当事人陈述、申辩的记录；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（四）</w:t>
      </w:r>
      <w:r>
        <w:rPr>
          <w:rFonts w:hint="eastAsia" w:ascii="仿宋_GB2312" w:hAnsi="仿宋_GB2312" w:eastAsia="仿宋_GB2312" w:cs="仿宋_GB2312"/>
          <w:color w:val="auto"/>
          <w:sz w:val="32"/>
          <w:szCs w:val="32"/>
        </w:rPr>
        <w:t>对当事人陈述、申辩内容的复核及处理，是否采纳的理由；</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（五）</w:t>
      </w:r>
      <w:r>
        <w:rPr>
          <w:rFonts w:hint="eastAsia" w:ascii="仿宋_GB2312" w:hAnsi="仿宋_GB2312" w:eastAsia="仿宋_GB2312" w:cs="仿宋_GB2312"/>
          <w:color w:val="auto"/>
          <w:sz w:val="32"/>
          <w:szCs w:val="32"/>
        </w:rPr>
        <w:t>依法向所属行政机关备案的内容；</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（六）</w:t>
      </w:r>
      <w:r>
        <w:rPr>
          <w:rFonts w:hint="eastAsia" w:ascii="仿宋_GB2312" w:hAnsi="仿宋_GB2312" w:eastAsia="仿宋_GB2312" w:cs="仿宋_GB2312"/>
          <w:color w:val="auto"/>
          <w:sz w:val="32"/>
          <w:szCs w:val="32"/>
        </w:rPr>
        <w:t>对符合当场收缴罚款情况的实施过程；</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（七）</w:t>
      </w:r>
      <w:r>
        <w:rPr>
          <w:rFonts w:hint="eastAsia" w:ascii="仿宋_GB2312" w:hAnsi="仿宋_GB2312" w:eastAsia="仿宋_GB2312" w:cs="仿宋_GB2312"/>
          <w:color w:val="auto"/>
          <w:sz w:val="32"/>
          <w:szCs w:val="32"/>
        </w:rPr>
        <w:t>其他依法记录的内容。</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对容易引起行政争议的简易程序执法行为，民政执法机关应采用适当方式进行音像记录。</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hint="eastAsia" w:ascii="仿宋_GB2312" w:hAnsi="仿宋_GB2312" w:eastAsia="仿宋_GB2312" w:cs="仿宋_GB2312"/>
          <w:color w:val="auto"/>
          <w:sz w:val="32"/>
          <w:szCs w:val="32"/>
          <w:lang w:eastAsia="zh-CN"/>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4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第五章</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送达与执行的记录</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第二十六条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rPr>
        <w:t>直接送达行政执法文书，由送达人、受送达人或符合法定条件的签收人在送达回证上签名或盖章</w:t>
      </w:r>
      <w:r>
        <w:rPr>
          <w:rFonts w:hint="eastAsia" w:ascii="仿宋_GB2312" w:hAnsi="仿宋_GB2312" w:eastAsia="仿宋_GB2312" w:cs="仿宋_GB2312"/>
          <w:b w:val="0"/>
          <w:bCs w:val="0"/>
          <w:color w:val="auto"/>
          <w:sz w:val="32"/>
          <w:szCs w:val="32"/>
          <w:lang w:eastAsia="zh-CN"/>
        </w:rPr>
        <w:t>，对于拒绝签收的情形，可采用适当方式进行音像记录</w:t>
      </w:r>
      <w:r>
        <w:rPr>
          <w:rFonts w:hint="eastAsia" w:ascii="仿宋_GB2312" w:hAnsi="仿宋_GB2312" w:eastAsia="仿宋_GB2312" w:cs="仿宋_GB2312"/>
          <w:b w:val="0"/>
          <w:bCs w:val="0"/>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第二十七条</w:t>
      </w:r>
      <w:r>
        <w:rPr>
          <w:rFonts w:hint="eastAsia" w:ascii="仿宋_GB2312" w:hAnsi="仿宋_GB2312" w:eastAsia="仿宋_GB2312" w:cs="仿宋_GB2312"/>
          <w:b w:val="0"/>
          <w:bCs w:val="0"/>
          <w:color w:val="auto"/>
          <w:sz w:val="32"/>
          <w:szCs w:val="32"/>
          <w:lang w:eastAsia="zh-CN"/>
        </w:rPr>
        <w:t xml:space="preserve">  </w:t>
      </w:r>
      <w:r>
        <w:rPr>
          <w:rFonts w:hint="eastAsia" w:ascii="仿宋_GB2312" w:hAnsi="仿宋_GB2312" w:eastAsia="仿宋_GB2312" w:cs="仿宋_GB2312"/>
          <w:b w:val="0"/>
          <w:bCs w:val="0"/>
          <w:color w:val="auto"/>
          <w:sz w:val="32"/>
          <w:szCs w:val="32"/>
        </w:rPr>
        <w:t>邮寄送达行政执法文书应用挂号信或</w:t>
      </w:r>
      <w:r>
        <w:rPr>
          <w:rFonts w:hint="eastAsia" w:ascii="仿宋_GB2312" w:hAnsi="仿宋_GB2312" w:eastAsia="仿宋_GB2312" w:cs="仿宋_GB2312"/>
          <w:b w:val="0"/>
          <w:bCs w:val="0"/>
          <w:color w:val="auto"/>
          <w:sz w:val="32"/>
          <w:szCs w:val="32"/>
          <w:lang w:eastAsia="zh-CN"/>
        </w:rPr>
        <w:t>邮政</w:t>
      </w:r>
      <w:r>
        <w:rPr>
          <w:rFonts w:hint="eastAsia" w:ascii="仿宋_GB2312" w:hAnsi="仿宋_GB2312" w:eastAsia="仿宋_GB2312" w:cs="仿宋_GB2312"/>
          <w:b w:val="0"/>
          <w:bCs w:val="0"/>
          <w:color w:val="auto"/>
          <w:sz w:val="32"/>
          <w:szCs w:val="32"/>
        </w:rPr>
        <w:t>特快专递，留存邮寄送达的登记、付邮凭证和回执。</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第二十八条</w:t>
      </w:r>
      <w:r>
        <w:rPr>
          <w:rFonts w:hint="eastAsia" w:ascii="仿宋_GB2312" w:hAnsi="仿宋_GB2312" w:eastAsia="仿宋_GB2312" w:cs="仿宋_GB2312"/>
          <w:b w:val="0"/>
          <w:bCs w:val="0"/>
          <w:color w:val="auto"/>
          <w:sz w:val="32"/>
          <w:szCs w:val="32"/>
          <w:lang w:eastAsia="zh-CN"/>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留置送达方式应符合法定形式，在送达回证上记明</w:t>
      </w:r>
      <w:r>
        <w:rPr>
          <w:rFonts w:hint="eastAsia" w:ascii="仿宋_GB2312" w:hAnsi="仿宋_GB2312" w:eastAsia="仿宋_GB2312" w:cs="仿宋_GB2312"/>
          <w:b w:val="0"/>
          <w:bCs w:val="0"/>
          <w:color w:val="auto"/>
          <w:sz w:val="32"/>
          <w:szCs w:val="32"/>
          <w:lang w:eastAsia="zh-CN"/>
        </w:rPr>
        <w:t>送达地址、</w:t>
      </w:r>
      <w:r>
        <w:rPr>
          <w:rFonts w:hint="eastAsia" w:ascii="仿宋_GB2312" w:hAnsi="仿宋_GB2312" w:eastAsia="仿宋_GB2312" w:cs="仿宋_GB2312"/>
          <w:b w:val="0"/>
          <w:bCs w:val="0"/>
          <w:color w:val="auto"/>
          <w:sz w:val="32"/>
          <w:szCs w:val="32"/>
        </w:rPr>
        <w:t>拒收事由和日期，由送达人、见证人签名或盖章，把执法文书留在受送达人的住所，并采用音像记录等方式记录送达过程。</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第二十九条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依法采用委托、转交等方式送达行政执法文书的，应记录委托、转交原因，由送达人、受送达人在送达回证上签名或盖章。</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lang w:eastAsia="zh-CN"/>
        </w:rPr>
      </w:pPr>
      <w:r>
        <w:rPr>
          <w:rFonts w:hint="eastAsia" w:ascii="黑体" w:hAnsi="黑体" w:eastAsia="黑体" w:cs="黑体"/>
          <w:i w:val="0"/>
          <w:caps w:val="0"/>
          <w:color w:val="auto"/>
          <w:spacing w:val="0"/>
          <w:kern w:val="0"/>
          <w:sz w:val="32"/>
          <w:szCs w:val="32"/>
          <w:shd w:val="clear" w:fill="FFFFFF"/>
          <w:lang w:val="zh-CN" w:eastAsia="zh-CN" w:bidi="ar"/>
        </w:rPr>
        <w:t>第三十条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lang w:val="en-US" w:eastAsia="zh-CN"/>
        </w:rPr>
        <w:t xml:space="preserve"> 通过传真方式送达的，应在传真件及复印件上注明传真时间和受送达人的传真号码。</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第三十一条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公告送达应重点记录</w:t>
      </w:r>
      <w:r>
        <w:rPr>
          <w:rFonts w:hint="eastAsia" w:ascii="仿宋_GB2312" w:hAnsi="仿宋_GB2312" w:eastAsia="仿宋_GB2312" w:cs="仿宋_GB2312"/>
          <w:b w:val="0"/>
          <w:bCs w:val="0"/>
          <w:color w:val="auto"/>
          <w:sz w:val="32"/>
          <w:szCs w:val="32"/>
          <w:lang w:eastAsia="zh-CN"/>
        </w:rPr>
        <w:t>采取</w:t>
      </w:r>
      <w:r>
        <w:rPr>
          <w:rFonts w:hint="eastAsia" w:ascii="仿宋_GB2312" w:hAnsi="仿宋_GB2312" w:eastAsia="仿宋_GB2312" w:cs="仿宋_GB2312"/>
          <w:b w:val="0"/>
          <w:bCs w:val="0"/>
          <w:color w:val="auto"/>
          <w:sz w:val="32"/>
          <w:szCs w:val="32"/>
        </w:rPr>
        <w:t>其他</w:t>
      </w:r>
      <w:r>
        <w:rPr>
          <w:rFonts w:hint="eastAsia" w:ascii="仿宋_GB2312" w:hAnsi="仿宋_GB2312" w:eastAsia="仿宋_GB2312" w:cs="仿宋_GB2312"/>
          <w:b w:val="0"/>
          <w:bCs w:val="0"/>
          <w:color w:val="auto"/>
          <w:sz w:val="32"/>
          <w:szCs w:val="32"/>
          <w:lang w:eastAsia="zh-CN"/>
        </w:rPr>
        <w:t>法定</w:t>
      </w:r>
      <w:r>
        <w:rPr>
          <w:rFonts w:hint="eastAsia" w:ascii="仿宋_GB2312" w:hAnsi="仿宋_GB2312" w:eastAsia="仿宋_GB2312" w:cs="仿宋_GB2312"/>
          <w:b w:val="0"/>
          <w:bCs w:val="0"/>
          <w:color w:val="auto"/>
          <w:sz w:val="32"/>
          <w:szCs w:val="32"/>
        </w:rPr>
        <w:t>方式无法送达的情况以及公告送达的方式和载体，留存书面公告</w:t>
      </w:r>
      <w:r>
        <w:rPr>
          <w:rFonts w:hint="eastAsia" w:ascii="仿宋_GB2312" w:hAnsi="仿宋_GB2312" w:eastAsia="仿宋_GB2312" w:cs="仿宋_GB2312"/>
          <w:b w:val="0"/>
          <w:bCs w:val="0"/>
          <w:color w:val="auto"/>
          <w:sz w:val="32"/>
          <w:szCs w:val="32"/>
          <w:lang w:eastAsia="zh-CN"/>
        </w:rPr>
        <w:t>；登报公告的，保存报纸原件、收费凭证等；通过网络平台公告的，应对公告页面进行截屏、打印，记载网络地址；对采取张贴公告的，应</w:t>
      </w:r>
      <w:r>
        <w:rPr>
          <w:rFonts w:hint="eastAsia" w:ascii="仿宋_GB2312" w:hAnsi="仿宋_GB2312" w:eastAsia="仿宋_GB2312" w:cs="仿宋_GB2312"/>
          <w:b w:val="0"/>
          <w:bCs w:val="0"/>
          <w:color w:val="auto"/>
          <w:sz w:val="32"/>
          <w:szCs w:val="32"/>
        </w:rPr>
        <w:t>以适当方式进行音像记录</w:t>
      </w:r>
      <w:r>
        <w:rPr>
          <w:rFonts w:hint="eastAsia" w:ascii="仿宋_GB2312" w:hAnsi="仿宋_GB2312" w:eastAsia="仿宋_GB2312" w:cs="仿宋_GB2312"/>
          <w:b w:val="0"/>
          <w:bCs w:val="0"/>
          <w:color w:val="auto"/>
          <w:sz w:val="32"/>
          <w:szCs w:val="32"/>
          <w:lang w:eastAsia="zh-CN"/>
        </w:rPr>
        <w:t>。公告送达情况应</w:t>
      </w:r>
      <w:r>
        <w:rPr>
          <w:rFonts w:hint="eastAsia" w:ascii="仿宋_GB2312" w:hAnsi="仿宋_GB2312" w:eastAsia="仿宋_GB2312" w:cs="仿宋_GB2312"/>
          <w:b w:val="0"/>
          <w:bCs w:val="0"/>
          <w:color w:val="auto"/>
          <w:sz w:val="32"/>
          <w:szCs w:val="32"/>
        </w:rPr>
        <w:t>在案卷中记明原因和经过。</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第三十二条</w:t>
      </w:r>
      <w:r>
        <w:rPr>
          <w:rFonts w:hint="eastAsia" w:ascii="仿宋_GB2312" w:hAnsi="仿宋_GB2312" w:eastAsia="仿宋_GB2312" w:cs="仿宋_GB2312"/>
          <w:b w:val="0"/>
          <w:bCs w:val="0"/>
          <w:color w:val="auto"/>
          <w:sz w:val="32"/>
          <w:szCs w:val="32"/>
          <w:lang w:eastAsia="zh-CN"/>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民政行政执法机关作出行政执法决定后，应对当事人履行行政</w:t>
      </w:r>
      <w:r>
        <w:rPr>
          <w:rFonts w:hint="eastAsia" w:ascii="仿宋_GB2312" w:hAnsi="仿宋_GB2312" w:eastAsia="仿宋_GB2312" w:cs="仿宋_GB2312"/>
          <w:b w:val="0"/>
          <w:bCs w:val="0"/>
          <w:color w:val="auto"/>
          <w:sz w:val="32"/>
          <w:szCs w:val="32"/>
          <w:lang w:eastAsia="zh-CN"/>
        </w:rPr>
        <w:t>执法</w:t>
      </w:r>
      <w:r>
        <w:rPr>
          <w:rFonts w:hint="eastAsia" w:ascii="仿宋_GB2312" w:hAnsi="仿宋_GB2312" w:eastAsia="仿宋_GB2312" w:cs="仿宋_GB2312"/>
          <w:b w:val="0"/>
          <w:bCs w:val="0"/>
          <w:color w:val="auto"/>
          <w:sz w:val="32"/>
          <w:szCs w:val="32"/>
        </w:rPr>
        <w:t>决定的情况进行文字记录。</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依法应责令改正的，应按期对改正情况进行核查并进行文字记录，</w:t>
      </w:r>
      <w:r>
        <w:rPr>
          <w:rFonts w:hint="eastAsia" w:ascii="仿宋_GB2312" w:hAnsi="仿宋_GB2312" w:eastAsia="仿宋_GB2312" w:cs="仿宋_GB2312"/>
          <w:b w:val="0"/>
          <w:bCs w:val="0"/>
          <w:color w:val="auto"/>
          <w:sz w:val="32"/>
          <w:szCs w:val="32"/>
          <w:lang w:eastAsia="zh-CN"/>
        </w:rPr>
        <w:t>也</w:t>
      </w:r>
      <w:r>
        <w:rPr>
          <w:rFonts w:hint="eastAsia" w:ascii="仿宋_GB2312" w:hAnsi="仿宋_GB2312" w:eastAsia="仿宋_GB2312" w:cs="仿宋_GB2312"/>
          <w:b w:val="0"/>
          <w:bCs w:val="0"/>
          <w:color w:val="auto"/>
          <w:sz w:val="32"/>
          <w:szCs w:val="32"/>
        </w:rPr>
        <w:t>可根据执法需要进行音像记录。</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第三十三条</w:t>
      </w:r>
      <w:r>
        <w:rPr>
          <w:rFonts w:hint="eastAsia" w:ascii="仿宋_GB2312" w:hAnsi="仿宋_GB2312" w:eastAsia="仿宋_GB2312" w:cs="仿宋_GB2312"/>
          <w:b w:val="0"/>
          <w:bCs w:val="0"/>
          <w:color w:val="auto"/>
          <w:sz w:val="32"/>
          <w:szCs w:val="32"/>
          <w:lang w:eastAsia="zh-CN"/>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当事人逾期不履行行政执法决定，民政执法机关应在申请法院强制执行前，按照法定形式制作催告书并送达当事人。</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当事人进行陈述、申辩的，应对当事人的陈述、申辩中提出的事实、理由和证据</w:t>
      </w:r>
      <w:r>
        <w:rPr>
          <w:rFonts w:hint="eastAsia" w:ascii="仿宋_GB2312" w:hAnsi="仿宋_GB2312" w:eastAsia="仿宋_GB2312" w:cs="仿宋_GB2312"/>
          <w:b w:val="0"/>
          <w:bCs w:val="0"/>
          <w:color w:val="auto"/>
          <w:sz w:val="32"/>
          <w:szCs w:val="32"/>
          <w:lang w:eastAsia="zh-CN"/>
        </w:rPr>
        <w:t>进行复核</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eastAsia="zh-CN"/>
        </w:rPr>
        <w:t>并</w:t>
      </w:r>
      <w:r>
        <w:rPr>
          <w:rFonts w:hint="eastAsia" w:ascii="仿宋_GB2312" w:hAnsi="仿宋_GB2312" w:eastAsia="仿宋_GB2312" w:cs="仿宋_GB2312"/>
          <w:b w:val="0"/>
          <w:bCs w:val="0"/>
          <w:color w:val="auto"/>
          <w:sz w:val="32"/>
          <w:szCs w:val="32"/>
        </w:rPr>
        <w:t>对陈述、申辩内容复核及处理意见进行记录。</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第三十四条</w:t>
      </w:r>
      <w:r>
        <w:rPr>
          <w:rFonts w:hint="eastAsia" w:ascii="仿宋_GB2312" w:hAnsi="仿宋_GB2312" w:eastAsia="仿宋_GB2312" w:cs="仿宋_GB2312"/>
          <w:b w:val="0"/>
          <w:bCs w:val="0"/>
          <w:color w:val="auto"/>
          <w:sz w:val="32"/>
          <w:szCs w:val="32"/>
          <w:lang w:eastAsia="zh-CN"/>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eastAsia="zh-CN"/>
        </w:rPr>
        <w:t>民政执法机关向</w:t>
      </w:r>
      <w:r>
        <w:rPr>
          <w:rFonts w:hint="eastAsia" w:ascii="仿宋_GB2312" w:hAnsi="仿宋_GB2312" w:eastAsia="仿宋_GB2312" w:cs="仿宋_GB2312"/>
          <w:b w:val="0"/>
          <w:bCs w:val="0"/>
          <w:color w:val="auto"/>
          <w:sz w:val="32"/>
          <w:szCs w:val="32"/>
        </w:rPr>
        <w:t>法院</w:t>
      </w:r>
      <w:r>
        <w:rPr>
          <w:rFonts w:hint="eastAsia" w:ascii="仿宋_GB2312" w:hAnsi="仿宋_GB2312" w:eastAsia="仿宋_GB2312" w:cs="仿宋_GB2312"/>
          <w:b w:val="0"/>
          <w:bCs w:val="0"/>
          <w:color w:val="auto"/>
          <w:sz w:val="32"/>
          <w:szCs w:val="32"/>
          <w:lang w:eastAsia="zh-CN"/>
        </w:rPr>
        <w:t>申请</w:t>
      </w:r>
      <w:r>
        <w:rPr>
          <w:rFonts w:hint="eastAsia" w:ascii="仿宋_GB2312" w:hAnsi="仿宋_GB2312" w:eastAsia="仿宋_GB2312" w:cs="仿宋_GB2312"/>
          <w:b w:val="0"/>
          <w:bCs w:val="0"/>
          <w:color w:val="auto"/>
          <w:sz w:val="32"/>
          <w:szCs w:val="32"/>
        </w:rPr>
        <w:t>强制执行的，应对申请法院强制执行的相关文书、强制执行结果等全过程进行记录。</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outlineLvl w:val="9"/>
        <w:rPr>
          <w:rFonts w:hint="eastAsia" w:ascii="仿宋_GB2312" w:hAnsi="仿宋_GB2312" w:eastAsia="仿宋_GB2312" w:cs="仿宋_GB2312"/>
          <w:color w:val="auto"/>
          <w:sz w:val="32"/>
          <w:szCs w:val="32"/>
          <w:lang w:eastAsia="zh-CN"/>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4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第六章</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执法记录的管理与使用</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第三十五条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rPr>
        <w:t>民政</w:t>
      </w:r>
      <w:r>
        <w:rPr>
          <w:rFonts w:hint="eastAsia" w:ascii="仿宋_GB2312" w:hAnsi="仿宋_GB2312" w:eastAsia="仿宋_GB2312" w:cs="仿宋_GB2312"/>
          <w:color w:val="auto"/>
          <w:sz w:val="32"/>
          <w:szCs w:val="32"/>
          <w:lang w:eastAsia="zh-CN"/>
        </w:rPr>
        <w:t>行政执法承办机构及其执法人员</w:t>
      </w:r>
      <w:r>
        <w:rPr>
          <w:rFonts w:hint="eastAsia" w:ascii="仿宋_GB2312" w:hAnsi="仿宋_GB2312" w:eastAsia="仿宋_GB2312" w:cs="仿宋_GB2312"/>
          <w:color w:val="auto"/>
          <w:sz w:val="32"/>
          <w:szCs w:val="32"/>
        </w:rPr>
        <w:t>在行政执法行为终结之日起</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0日内（法律、法规、规章有具体要求的，从其规定），应将行政执法过程中形成的文字和音像记录资料按照</w:t>
      </w:r>
      <w:r>
        <w:rPr>
          <w:rFonts w:hint="eastAsia" w:ascii="仿宋_GB2312" w:hAnsi="仿宋_GB2312" w:eastAsia="仿宋_GB2312" w:cs="仿宋_GB2312"/>
          <w:color w:val="auto"/>
          <w:sz w:val="32"/>
          <w:szCs w:val="32"/>
          <w:lang w:eastAsia="zh-CN"/>
        </w:rPr>
        <w:t>相关</w:t>
      </w:r>
      <w:r>
        <w:rPr>
          <w:rFonts w:hint="eastAsia" w:ascii="仿宋_GB2312" w:hAnsi="仿宋_GB2312" w:eastAsia="仿宋_GB2312" w:cs="仿宋_GB2312"/>
          <w:color w:val="auto"/>
          <w:sz w:val="32"/>
          <w:szCs w:val="32"/>
        </w:rPr>
        <w:t>规定</w:t>
      </w:r>
      <w:r>
        <w:rPr>
          <w:rFonts w:hint="eastAsia" w:ascii="仿宋_GB2312" w:hAnsi="仿宋_GB2312" w:eastAsia="仿宋_GB2312" w:cs="仿宋_GB2312"/>
          <w:color w:val="auto"/>
          <w:sz w:val="32"/>
          <w:szCs w:val="32"/>
          <w:lang w:eastAsia="zh-CN"/>
        </w:rPr>
        <w:t>进行立卷</w:t>
      </w:r>
      <w:r>
        <w:rPr>
          <w:rFonts w:hint="eastAsia" w:ascii="仿宋_GB2312" w:hAnsi="仿宋_GB2312" w:eastAsia="仿宋_GB2312" w:cs="仿宋_GB2312"/>
          <w:color w:val="auto"/>
          <w:sz w:val="32"/>
          <w:szCs w:val="32"/>
          <w:lang w:val="en-US" w:eastAsia="zh-CN"/>
        </w:rPr>
        <w:t>,原卷归入局档案室保管，行政执法承办机构应复制一份自行</w:t>
      </w:r>
      <w:r>
        <w:rPr>
          <w:rFonts w:hint="eastAsia" w:ascii="仿宋_GB2312" w:hAnsi="仿宋_GB2312" w:eastAsia="仿宋_GB2312" w:cs="仿宋_GB2312"/>
          <w:color w:val="auto"/>
          <w:sz w:val="32"/>
          <w:szCs w:val="32"/>
          <w:lang w:eastAsia="zh-CN"/>
        </w:rPr>
        <w:t>保存</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音像记录制作完成后，</w:t>
      </w:r>
      <w:r>
        <w:rPr>
          <w:rFonts w:hint="eastAsia" w:ascii="仿宋_GB2312" w:hAnsi="仿宋_GB2312" w:eastAsia="仿宋_GB2312" w:cs="仿宋_GB2312"/>
          <w:color w:val="auto"/>
          <w:sz w:val="32"/>
          <w:szCs w:val="32"/>
          <w:lang w:eastAsia="zh-CN"/>
        </w:rPr>
        <w:t>民政</w:t>
      </w:r>
      <w:r>
        <w:rPr>
          <w:rFonts w:hint="eastAsia" w:ascii="仿宋_GB2312" w:hAnsi="仿宋_GB2312" w:eastAsia="仿宋_GB2312" w:cs="仿宋_GB2312"/>
          <w:color w:val="auto"/>
          <w:sz w:val="32"/>
          <w:szCs w:val="32"/>
        </w:rPr>
        <w:t>执法人员不得自行保管，应在</w:t>
      </w:r>
      <w:r>
        <w:rPr>
          <w:rFonts w:hint="eastAsia" w:ascii="仿宋_GB2312" w:hAnsi="仿宋_GB2312" w:eastAsia="仿宋_GB2312" w:cs="仿宋_GB2312"/>
          <w:color w:val="auto"/>
          <w:sz w:val="32"/>
          <w:szCs w:val="32"/>
          <w:lang w:eastAsia="zh-CN"/>
        </w:rPr>
        <w:t>返回单位后</w:t>
      </w:r>
      <w:r>
        <w:rPr>
          <w:rFonts w:hint="eastAsia" w:ascii="仿宋_GB2312" w:hAnsi="仿宋_GB2312" w:eastAsia="仿宋_GB2312" w:cs="仿宋_GB2312"/>
          <w:color w:val="auto"/>
          <w:sz w:val="32"/>
          <w:szCs w:val="32"/>
        </w:rPr>
        <w:t>24小时内按要求将信息储存至执法信息系统或单位专用存储器</w:t>
      </w:r>
      <w:r>
        <w:rPr>
          <w:rFonts w:hint="eastAsia" w:ascii="仿宋_GB2312" w:hAnsi="仿宋_GB2312" w:eastAsia="仿宋_GB2312" w:cs="仿宋_GB2312"/>
          <w:color w:val="auto"/>
          <w:sz w:val="32"/>
          <w:szCs w:val="32"/>
          <w:lang w:eastAsia="zh-CN"/>
        </w:rPr>
        <w:t>上，并标明案号、当事人姓名、或者名称、承办人姓名等信息，并定期进行异地备份</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黑体" w:hAnsi="黑体" w:eastAsia="黑体" w:cs="黑体"/>
          <w:i w:val="0"/>
          <w:caps w:val="0"/>
          <w:color w:val="auto"/>
          <w:spacing w:val="0"/>
          <w:kern w:val="0"/>
          <w:sz w:val="32"/>
          <w:szCs w:val="32"/>
          <w:shd w:val="clear" w:fill="FFFFFF"/>
          <w:lang w:val="zh-CN" w:eastAsia="zh-CN" w:bidi="ar"/>
        </w:rPr>
        <w:t>第三十六条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eastAsia="zh-CN"/>
        </w:rPr>
        <w:t xml:space="preserve"> </w:t>
      </w:r>
      <w:r>
        <w:rPr>
          <w:rFonts w:hint="eastAsia" w:ascii="仿宋_GB2312" w:hAnsi="仿宋_GB2312" w:eastAsia="仿宋_GB2312" w:cs="仿宋_GB2312"/>
          <w:color w:val="auto"/>
          <w:sz w:val="32"/>
          <w:szCs w:val="32"/>
        </w:rPr>
        <w:t>民政执法机关应明确专门人员负责对全过程记录文字和音像资料的归档、保存和使用</w:t>
      </w:r>
      <w:r>
        <w:rPr>
          <w:rFonts w:hint="eastAsia" w:ascii="仿宋_GB2312" w:hAnsi="仿宋_GB2312" w:eastAsia="仿宋_GB2312" w:cs="仿宋_GB2312"/>
          <w:color w:val="auto"/>
          <w:sz w:val="32"/>
          <w:szCs w:val="32"/>
          <w:lang w:eastAsia="zh-CN"/>
        </w:rPr>
        <w:t>，严格限定使用权限。</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民政执法机关及其工作人员不得伪造、删改、销毁、擅自对外提供或公示行政执法记录。</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黑体" w:hAnsi="黑体" w:eastAsia="黑体" w:cs="黑体"/>
          <w:i w:val="0"/>
          <w:caps w:val="0"/>
          <w:color w:val="auto"/>
          <w:spacing w:val="0"/>
          <w:kern w:val="0"/>
          <w:sz w:val="32"/>
          <w:szCs w:val="32"/>
          <w:shd w:val="clear" w:fill="FFFFFF"/>
          <w:lang w:val="zh-CN" w:eastAsia="zh-CN" w:bidi="ar"/>
        </w:rPr>
        <w:t>第三十七条</w:t>
      </w:r>
      <w:r>
        <w:rPr>
          <w:rFonts w:hint="eastAsia" w:ascii="仿宋_GB2312" w:hAnsi="仿宋_GB2312" w:eastAsia="仿宋_GB2312" w:cs="仿宋_GB2312"/>
          <w:color w:val="auto"/>
          <w:sz w:val="32"/>
          <w:szCs w:val="32"/>
          <w:lang w:val="en-US" w:eastAsia="zh-CN"/>
        </w:rPr>
        <w:t xml:space="preserve">  行政执法案卷的保存期限为30年。法律、法规和规章对保存期限另有规定的，从其规定。</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黑体" w:hAnsi="黑体" w:eastAsia="黑体" w:cs="黑体"/>
          <w:i w:val="0"/>
          <w:caps w:val="0"/>
          <w:color w:val="auto"/>
          <w:spacing w:val="0"/>
          <w:kern w:val="0"/>
          <w:sz w:val="32"/>
          <w:szCs w:val="32"/>
          <w:shd w:val="clear" w:fill="FFFFFF"/>
          <w:lang w:val="en-US" w:eastAsia="zh-CN" w:bidi="ar"/>
        </w:rPr>
        <w:t xml:space="preserve">第三十八条 </w:t>
      </w:r>
      <w:r>
        <w:rPr>
          <w:rFonts w:hint="eastAsia" w:ascii="仿宋_GB2312" w:hAnsi="仿宋_GB2312" w:eastAsia="仿宋_GB2312" w:cs="仿宋_GB2312"/>
          <w:color w:val="auto"/>
          <w:sz w:val="32"/>
          <w:szCs w:val="32"/>
          <w:lang w:val="en-US" w:eastAsia="zh-CN"/>
        </w:rPr>
        <w:t xml:space="preserve"> 民政执法机关将执法视音频资料作为证据使用的，应当按照视听资料审查与认定的有关要求制作文字说明材料，注明制作人、提取人、提取时间等信息，并将其复制为光盘后附卷。</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黑体" w:hAnsi="黑体" w:eastAsia="黑体" w:cs="黑体"/>
          <w:i w:val="0"/>
          <w:caps w:val="0"/>
          <w:color w:val="auto"/>
          <w:spacing w:val="0"/>
          <w:kern w:val="0"/>
          <w:sz w:val="32"/>
          <w:szCs w:val="32"/>
          <w:shd w:val="clear" w:fill="FFFFFF"/>
          <w:lang w:val="zh-CN" w:eastAsia="zh-CN" w:bidi="ar"/>
        </w:rPr>
        <w:t>第三十九条</w:t>
      </w:r>
      <w:r>
        <w:rPr>
          <w:rFonts w:hint="eastAsia" w:ascii="仿宋_GB2312" w:hAnsi="仿宋_GB2312" w:eastAsia="仿宋_GB2312" w:cs="仿宋_GB2312"/>
          <w:color w:val="auto"/>
          <w:sz w:val="32"/>
          <w:szCs w:val="32"/>
          <w:lang w:eastAsia="zh-CN"/>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涉及国家秘密、商业秘密和个人隐私的执法记录信息，应严格按照保密工作的有关规定和权限进行管理。</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第四十条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lang w:val="en-US" w:eastAsia="zh-CN"/>
        </w:rPr>
        <w:t>当</w:t>
      </w:r>
      <w:r>
        <w:rPr>
          <w:rFonts w:hint="eastAsia" w:ascii="仿宋_GB2312" w:hAnsi="仿宋_GB2312" w:eastAsia="仿宋_GB2312" w:cs="仿宋_GB2312"/>
          <w:color w:val="auto"/>
          <w:sz w:val="32"/>
          <w:szCs w:val="32"/>
        </w:rPr>
        <w:t>事人根据需要申请复制相关执法全过程记录信息的，经</w:t>
      </w:r>
      <w:r>
        <w:rPr>
          <w:rFonts w:hint="eastAsia" w:ascii="仿宋_GB2312" w:hAnsi="仿宋_GB2312" w:eastAsia="仿宋_GB2312" w:cs="仿宋_GB2312"/>
          <w:color w:val="auto"/>
          <w:sz w:val="32"/>
          <w:szCs w:val="32"/>
          <w:lang w:eastAsia="zh-CN"/>
        </w:rPr>
        <w:t>民政</w:t>
      </w:r>
      <w:r>
        <w:rPr>
          <w:rFonts w:hint="eastAsia" w:ascii="仿宋_GB2312" w:hAnsi="仿宋_GB2312" w:eastAsia="仿宋_GB2312" w:cs="仿宋_GB2312"/>
          <w:color w:val="auto"/>
          <w:sz w:val="32"/>
          <w:szCs w:val="32"/>
        </w:rPr>
        <w:t>行政机关负责人同意，可复制使用，依法应保密的除外。</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outlineLvl w:val="9"/>
        <w:rPr>
          <w:rFonts w:hint="eastAsia" w:ascii="仿宋_GB2312" w:hAnsi="仿宋_GB2312" w:eastAsia="仿宋_GB2312" w:cs="仿宋_GB2312"/>
          <w:color w:val="auto"/>
          <w:sz w:val="32"/>
          <w:szCs w:val="32"/>
          <w:lang w:eastAsia="zh-CN"/>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4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第七章</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监督与责任</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第四十一条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rPr>
        <w:t>民政执法机关应</w:t>
      </w:r>
      <w:r>
        <w:rPr>
          <w:rFonts w:hint="eastAsia" w:ascii="仿宋_GB2312" w:hAnsi="仿宋_GB2312" w:eastAsia="仿宋_GB2312" w:cs="仿宋_GB2312"/>
          <w:color w:val="auto"/>
          <w:sz w:val="32"/>
          <w:szCs w:val="32"/>
          <w:lang w:eastAsia="zh-CN"/>
        </w:rPr>
        <w:t>建立健全</w:t>
      </w:r>
      <w:r>
        <w:rPr>
          <w:rFonts w:hint="eastAsia" w:ascii="仿宋_GB2312" w:hAnsi="仿宋_GB2312" w:eastAsia="仿宋_GB2312" w:cs="仿宋_GB2312"/>
          <w:color w:val="auto"/>
          <w:sz w:val="32"/>
          <w:szCs w:val="32"/>
        </w:rPr>
        <w:t>行政执法全过程记录制度</w:t>
      </w:r>
      <w:r>
        <w:rPr>
          <w:rFonts w:hint="eastAsia" w:ascii="仿宋_GB2312" w:hAnsi="仿宋_GB2312" w:eastAsia="仿宋_GB2312" w:cs="仿宋_GB2312"/>
          <w:color w:val="auto"/>
          <w:sz w:val="32"/>
          <w:szCs w:val="32"/>
          <w:lang w:eastAsia="zh-CN"/>
        </w:rPr>
        <w:t>，加强对制度推行情况的监督检查</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第四十二条</w:t>
      </w:r>
      <w:r>
        <w:rPr>
          <w:rFonts w:hint="eastAsia" w:ascii="仿宋_GB2312" w:hAnsi="仿宋_GB2312" w:eastAsia="仿宋_GB2312" w:cs="仿宋_GB2312"/>
          <w:color w:val="auto"/>
          <w:sz w:val="32"/>
          <w:szCs w:val="32"/>
          <w:lang w:eastAsia="zh-CN"/>
        </w:rPr>
        <w:t xml:space="preserve">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民政</w:t>
      </w:r>
      <w:r>
        <w:rPr>
          <w:rFonts w:hint="eastAsia" w:ascii="仿宋_GB2312" w:hAnsi="仿宋_GB2312" w:eastAsia="仿宋_GB2312" w:cs="仿宋_GB2312"/>
          <w:color w:val="auto"/>
          <w:sz w:val="32"/>
          <w:szCs w:val="32"/>
          <w:lang w:eastAsia="zh-CN"/>
        </w:rPr>
        <w:t>执法</w:t>
      </w:r>
      <w:r>
        <w:rPr>
          <w:rFonts w:hint="eastAsia" w:ascii="仿宋_GB2312" w:hAnsi="仿宋_GB2312" w:eastAsia="仿宋_GB2312" w:cs="仿宋_GB2312"/>
          <w:color w:val="auto"/>
          <w:sz w:val="32"/>
          <w:szCs w:val="32"/>
        </w:rPr>
        <w:t>机关实施执法全过程记录中有下列情形之一的，由上级行政机关或有关部门责令限期整改；情节严重或造成严重后果的，对直接负责的主管人员和其他责任人员依法</w:t>
      </w:r>
      <w:r>
        <w:rPr>
          <w:rFonts w:hint="eastAsia" w:ascii="仿宋_GB2312" w:hAnsi="仿宋_GB2312" w:eastAsia="仿宋_GB2312" w:cs="仿宋_GB2312"/>
          <w:color w:val="auto"/>
          <w:sz w:val="32"/>
          <w:szCs w:val="32"/>
          <w:lang w:eastAsia="zh-CN"/>
        </w:rPr>
        <w:t>追究相应责任</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（一）不制作或不按要求制作执法全过程记录的；</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（二）违反规定泄露执法记录信息造成严重后果的；</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（三）故意</w:t>
      </w:r>
      <w:r>
        <w:rPr>
          <w:rFonts w:hint="eastAsia" w:ascii="仿宋_GB2312" w:hAnsi="仿宋_GB2312" w:eastAsia="仿宋_GB2312" w:cs="仿宋_GB2312"/>
          <w:color w:val="auto"/>
          <w:sz w:val="32"/>
          <w:szCs w:val="32"/>
          <w:lang w:eastAsia="zh-CN"/>
        </w:rPr>
        <w:t>伪造、</w:t>
      </w:r>
      <w:r>
        <w:rPr>
          <w:rFonts w:hint="eastAsia" w:ascii="仿宋_GB2312" w:hAnsi="仿宋_GB2312" w:eastAsia="仿宋_GB2312" w:cs="仿宋_GB2312"/>
          <w:color w:val="auto"/>
          <w:sz w:val="32"/>
          <w:szCs w:val="32"/>
        </w:rPr>
        <w:t>毁损</w:t>
      </w:r>
      <w:r>
        <w:rPr>
          <w:rFonts w:hint="eastAsia" w:ascii="仿宋_GB2312" w:hAnsi="仿宋_GB2312" w:eastAsia="仿宋_GB2312" w:cs="仿宋_GB2312"/>
          <w:color w:val="auto"/>
          <w:sz w:val="32"/>
          <w:szCs w:val="32"/>
          <w:lang w:eastAsia="zh-CN"/>
        </w:rPr>
        <w:t>、删改</w:t>
      </w:r>
      <w:r>
        <w:rPr>
          <w:rFonts w:hint="eastAsia" w:ascii="仿宋_GB2312" w:hAnsi="仿宋_GB2312" w:eastAsia="仿宋_GB2312" w:cs="仿宋_GB2312"/>
          <w:color w:val="auto"/>
          <w:sz w:val="32"/>
          <w:szCs w:val="32"/>
        </w:rPr>
        <w:t>执法全过程中文字或音像记录信息的；</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（四）不按规定储存或维护致使执法记录损毁、丢失，造成严重后果的；</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（五）其他违反执法全过程记录规定，造成严重后果的。</w:t>
      </w: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4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p>
    <w:p>
      <w:pPr>
        <w:pStyle w:val="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40" w:lineRule="exact"/>
        <w:ind w:left="0" w:leftChars="0" w:right="0" w:firstLine="0"/>
        <w:jc w:val="center"/>
        <w:textAlignment w:val="auto"/>
        <w:rPr>
          <w:rFonts w:hint="eastAsia" w:ascii="黑体" w:hAnsi="黑体" w:eastAsia="黑体" w:cs="黑体"/>
          <w:b w:val="0"/>
          <w:bCs w:val="0"/>
          <w:i w:val="0"/>
          <w:caps w:val="0"/>
          <w:color w:val="auto"/>
          <w:spacing w:val="0"/>
          <w:sz w:val="32"/>
          <w:szCs w:val="32"/>
          <w:shd w:val="clear" w:fill="FFFFFF"/>
          <w:lang w:eastAsia="zh-CN"/>
        </w:rPr>
      </w:pPr>
      <w:r>
        <w:rPr>
          <w:rFonts w:hint="eastAsia" w:ascii="黑体" w:hAnsi="黑体" w:eastAsia="黑体" w:cs="黑体"/>
          <w:b w:val="0"/>
          <w:bCs w:val="0"/>
          <w:i w:val="0"/>
          <w:caps w:val="0"/>
          <w:color w:val="auto"/>
          <w:spacing w:val="0"/>
          <w:sz w:val="32"/>
          <w:szCs w:val="32"/>
          <w:shd w:val="clear" w:fill="FFFFFF"/>
          <w:lang w:eastAsia="zh-CN"/>
        </w:rPr>
        <w:t>第八章</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附</w:t>
      </w:r>
      <w:r>
        <w:rPr>
          <w:rFonts w:hint="eastAsia" w:ascii="黑体" w:hAnsi="黑体" w:eastAsia="黑体" w:cs="黑体"/>
          <w:b w:val="0"/>
          <w:bCs w:val="0"/>
          <w:i w:val="0"/>
          <w:caps w:val="0"/>
          <w:color w:val="auto"/>
          <w:spacing w:val="0"/>
          <w:sz w:val="32"/>
          <w:szCs w:val="32"/>
          <w:shd w:val="clear" w:fill="FFFFFF"/>
          <w:lang w:val="en-US" w:eastAsia="zh-CN"/>
        </w:rPr>
        <w:t xml:space="preserve">  </w:t>
      </w:r>
      <w:r>
        <w:rPr>
          <w:rFonts w:hint="eastAsia" w:ascii="黑体" w:hAnsi="黑体" w:eastAsia="黑体" w:cs="黑体"/>
          <w:b w:val="0"/>
          <w:bCs w:val="0"/>
          <w:i w:val="0"/>
          <w:caps w:val="0"/>
          <w:color w:val="auto"/>
          <w:spacing w:val="0"/>
          <w:sz w:val="32"/>
          <w:szCs w:val="32"/>
          <w:shd w:val="clear" w:fill="FFFFFF"/>
          <w:lang w:eastAsia="zh-CN"/>
        </w:rPr>
        <w:t>则</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 xml:space="preserve">第四十三条 </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民政执法机关办理行政执法事项，应按要求健全内部工作程序，全程记录内部审批流程，明确承办人、审核人、批准人，按照行政执法的依据、条件和程序，由承办人提出意见和理由，经审核人审核后，由批准人批准。</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 xml:space="preserve">第四十四条 </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sz w:val="32"/>
          <w:szCs w:val="32"/>
        </w:rPr>
        <w:t>本</w:t>
      </w:r>
      <w:r>
        <w:rPr>
          <w:rFonts w:hint="eastAsia" w:ascii="仿宋_GB2312" w:hAnsi="仿宋_GB2312" w:eastAsia="仿宋_GB2312" w:cs="仿宋_GB2312"/>
          <w:color w:val="auto"/>
          <w:sz w:val="32"/>
          <w:szCs w:val="32"/>
          <w:lang w:eastAsia="zh-CN"/>
        </w:rPr>
        <w:t>办法自印发之日起施行</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bCs/>
          <w:color w:val="auto"/>
          <w:sz w:val="44"/>
          <w:szCs w:val="44"/>
        </w:rPr>
      </w:pPr>
      <w:r>
        <w:rPr>
          <w:rFonts w:hint="eastAsia" w:ascii="方正小标宋简体" w:hAnsi="方正小标宋简体" w:eastAsia="方正小标宋简体" w:cs="方正小标宋简体"/>
          <w:b/>
          <w:bCs/>
          <w:color w:val="auto"/>
          <w:sz w:val="44"/>
          <w:szCs w:val="44"/>
          <w:lang w:eastAsia="zh-CN"/>
        </w:rPr>
        <w:t>衡南县民政</w:t>
      </w:r>
      <w:r>
        <w:rPr>
          <w:rFonts w:hint="eastAsia" w:ascii="方正小标宋简体" w:hAnsi="方正小标宋简体" w:eastAsia="方正小标宋简体" w:cs="方正小标宋简体"/>
          <w:b/>
          <w:bCs/>
          <w:color w:val="auto"/>
          <w:sz w:val="44"/>
          <w:szCs w:val="44"/>
        </w:rPr>
        <w:t>局重大行政执法决定法制</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bCs/>
          <w:color w:val="auto"/>
          <w:sz w:val="44"/>
          <w:szCs w:val="44"/>
          <w:lang w:eastAsia="zh-CN"/>
        </w:rPr>
      </w:pPr>
      <w:r>
        <w:rPr>
          <w:rFonts w:hint="eastAsia" w:ascii="方正小标宋简体" w:hAnsi="方正小标宋简体" w:eastAsia="方正小标宋简体" w:cs="方正小标宋简体"/>
          <w:b/>
          <w:bCs/>
          <w:color w:val="auto"/>
          <w:sz w:val="44"/>
          <w:szCs w:val="44"/>
        </w:rPr>
        <w:t>审核</w:t>
      </w:r>
      <w:r>
        <w:rPr>
          <w:rFonts w:hint="eastAsia" w:ascii="方正小标宋简体" w:hAnsi="方正小标宋简体" w:eastAsia="方正小标宋简体" w:cs="方正小标宋简体"/>
          <w:b/>
          <w:bCs/>
          <w:color w:val="auto"/>
          <w:sz w:val="44"/>
          <w:szCs w:val="44"/>
          <w:lang w:eastAsia="zh-CN"/>
        </w:rPr>
        <w:t>实施细则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第一条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b w:val="0"/>
          <w:bCs w:val="0"/>
          <w:color w:val="auto"/>
          <w:sz w:val="32"/>
          <w:szCs w:val="32"/>
        </w:rPr>
        <w:t>为加强对重大行政执法决定的法制审核，规范和监督行政执法行为，保障公民、法人和其他组织的合法权益，根据有关法律、法规、规章及《</w:t>
      </w:r>
      <w:r>
        <w:rPr>
          <w:rFonts w:hint="eastAsia" w:ascii="仿宋_GB2312" w:hAnsi="仿宋_GB2312" w:eastAsia="仿宋_GB2312" w:cs="仿宋_GB2312"/>
          <w:b w:val="0"/>
          <w:bCs w:val="0"/>
          <w:color w:val="auto"/>
          <w:sz w:val="32"/>
          <w:szCs w:val="32"/>
          <w:lang w:val="en-US" w:eastAsia="zh-CN"/>
        </w:rPr>
        <w:t>衡南县</w:t>
      </w:r>
      <w:r>
        <w:rPr>
          <w:rFonts w:hint="eastAsia" w:ascii="仿宋_GB2312" w:hAnsi="仿宋_GB2312" w:eastAsia="仿宋_GB2312" w:cs="仿宋_GB2312"/>
          <w:b w:val="0"/>
          <w:bCs w:val="0"/>
          <w:color w:val="auto"/>
          <w:sz w:val="32"/>
          <w:szCs w:val="32"/>
        </w:rPr>
        <w:t>重大行政执法决定法制审核办法》规定，结合本局工作实际，制定本细则。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b w:val="0"/>
          <w:bCs w:val="0"/>
          <w:color w:val="auto"/>
          <w:sz w:val="32"/>
          <w:szCs w:val="32"/>
        </w:rPr>
        <w:t>本细则所称重大行政执法决定，是指</w:t>
      </w:r>
      <w:r>
        <w:rPr>
          <w:rFonts w:hint="eastAsia" w:ascii="仿宋_GB2312" w:hAnsi="仿宋_GB2312" w:eastAsia="仿宋_GB2312" w:cs="仿宋_GB2312"/>
          <w:b w:val="0"/>
          <w:bCs w:val="0"/>
          <w:color w:val="auto"/>
          <w:sz w:val="32"/>
          <w:szCs w:val="32"/>
          <w:lang w:val="en-US" w:eastAsia="zh-CN"/>
        </w:rPr>
        <w:t>衡南县</w:t>
      </w:r>
      <w:r>
        <w:rPr>
          <w:rFonts w:hint="eastAsia" w:ascii="仿宋_GB2312" w:hAnsi="仿宋_GB2312" w:eastAsia="仿宋_GB2312" w:cs="仿宋_GB2312"/>
          <w:b w:val="0"/>
          <w:bCs w:val="0"/>
          <w:color w:val="auto"/>
          <w:sz w:val="32"/>
          <w:szCs w:val="32"/>
          <w:lang w:eastAsia="zh-CN"/>
        </w:rPr>
        <w:t>民政</w:t>
      </w:r>
      <w:r>
        <w:rPr>
          <w:rFonts w:hint="eastAsia" w:ascii="仿宋_GB2312" w:hAnsi="仿宋_GB2312" w:eastAsia="仿宋_GB2312" w:cs="仿宋_GB2312"/>
          <w:b w:val="0"/>
          <w:bCs w:val="0"/>
          <w:color w:val="auto"/>
          <w:sz w:val="32"/>
          <w:szCs w:val="32"/>
        </w:rPr>
        <w:t>局</w:t>
      </w:r>
      <w:r>
        <w:rPr>
          <w:rFonts w:hint="eastAsia" w:ascii="仿宋_GB2312" w:hAnsi="仿宋_GB2312" w:eastAsia="仿宋_GB2312" w:cs="仿宋_GB2312"/>
          <w:b w:val="0"/>
          <w:bCs w:val="0"/>
          <w:color w:val="auto"/>
          <w:sz w:val="32"/>
          <w:szCs w:val="32"/>
          <w:lang w:val="zh-TW" w:eastAsia="zh-TW"/>
        </w:rPr>
        <w:t>及其下设执法机构（含法律法规授权的具有管理公共事务的组织，以及依法受行政执法机关委托从事行政执法活动的组织，以下统称民政执法机关）</w:t>
      </w:r>
      <w:r>
        <w:rPr>
          <w:rFonts w:hint="eastAsia" w:ascii="仿宋_GB2312" w:hAnsi="仿宋_GB2312" w:eastAsia="仿宋_GB2312" w:cs="仿宋_GB2312"/>
          <w:b w:val="0"/>
          <w:bCs w:val="0"/>
          <w:color w:val="auto"/>
          <w:sz w:val="32"/>
          <w:szCs w:val="32"/>
        </w:rPr>
        <w:t>作出的社会涉及面广，专业性强，影响国家利益、公共利益或行政相对人重大权益的行政许可、行政处罚、行政强制、行政检查等行政执法决定。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第三条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b w:val="0"/>
          <w:bCs w:val="0"/>
          <w:color w:val="auto"/>
          <w:sz w:val="32"/>
          <w:szCs w:val="32"/>
          <w:lang w:val="zh-TW" w:eastAsia="zh-TW"/>
        </w:rPr>
        <w:t>民政执法机关</w:t>
      </w:r>
      <w:r>
        <w:rPr>
          <w:rFonts w:hint="eastAsia" w:ascii="仿宋_GB2312" w:hAnsi="仿宋_GB2312" w:eastAsia="仿宋_GB2312" w:cs="仿宋_GB2312"/>
          <w:b w:val="0"/>
          <w:bCs w:val="0"/>
          <w:color w:val="auto"/>
          <w:sz w:val="32"/>
          <w:szCs w:val="32"/>
        </w:rPr>
        <w:t>结合</w:t>
      </w:r>
      <w:r>
        <w:rPr>
          <w:rFonts w:hint="eastAsia" w:ascii="仿宋_GB2312" w:hAnsi="仿宋_GB2312" w:eastAsia="仿宋_GB2312" w:cs="仿宋_GB2312"/>
          <w:b w:val="0"/>
          <w:bCs w:val="0"/>
          <w:color w:val="auto"/>
          <w:sz w:val="32"/>
          <w:szCs w:val="32"/>
          <w:lang w:eastAsia="zh-CN"/>
        </w:rPr>
        <w:t>所</w:t>
      </w:r>
      <w:r>
        <w:rPr>
          <w:rFonts w:hint="eastAsia" w:ascii="仿宋_GB2312" w:hAnsi="仿宋_GB2312" w:eastAsia="仿宋_GB2312" w:cs="仿宋_GB2312"/>
          <w:b w:val="0"/>
          <w:bCs w:val="0"/>
          <w:color w:val="auto"/>
          <w:sz w:val="32"/>
          <w:szCs w:val="32"/>
        </w:rPr>
        <w:t>担负行政执法责任的执法类别、执法层级、本</w:t>
      </w:r>
      <w:r>
        <w:rPr>
          <w:rFonts w:hint="eastAsia" w:ascii="仿宋_GB2312" w:hAnsi="仿宋_GB2312" w:eastAsia="仿宋_GB2312" w:cs="仿宋_GB2312"/>
          <w:b w:val="0"/>
          <w:bCs w:val="0"/>
          <w:color w:val="auto"/>
          <w:sz w:val="32"/>
          <w:szCs w:val="32"/>
          <w:lang w:val="en-US" w:eastAsia="zh-CN"/>
        </w:rPr>
        <w:t>县</w:t>
      </w:r>
      <w:r>
        <w:rPr>
          <w:rFonts w:hint="eastAsia" w:ascii="仿宋_GB2312" w:hAnsi="仿宋_GB2312" w:eastAsia="仿宋_GB2312" w:cs="仿宋_GB2312"/>
          <w:b w:val="0"/>
          <w:bCs w:val="0"/>
          <w:color w:val="auto"/>
          <w:sz w:val="32"/>
          <w:szCs w:val="32"/>
        </w:rPr>
        <w:t>实情、涉及金额，以及对国家、社会、行政相对人的影响等因素，确定重大行政执法决定的范围，制定以下重大行政执法决定法制审核目录，报</w:t>
      </w:r>
      <w:r>
        <w:rPr>
          <w:rFonts w:hint="eastAsia" w:ascii="仿宋_GB2312" w:hAnsi="仿宋_GB2312" w:eastAsia="仿宋_GB2312" w:cs="仿宋_GB2312"/>
          <w:b w:val="0"/>
          <w:bCs w:val="0"/>
          <w:color w:val="auto"/>
          <w:sz w:val="32"/>
          <w:szCs w:val="32"/>
          <w:lang w:val="en-US" w:eastAsia="zh-CN"/>
        </w:rPr>
        <w:t>县</w:t>
      </w:r>
      <w:r>
        <w:rPr>
          <w:rFonts w:hint="eastAsia" w:ascii="仿宋_GB2312" w:hAnsi="仿宋_GB2312" w:eastAsia="仿宋_GB2312" w:cs="仿宋_GB2312"/>
          <w:b w:val="0"/>
          <w:bCs w:val="0"/>
          <w:color w:val="auto"/>
          <w:sz w:val="32"/>
          <w:szCs w:val="32"/>
        </w:rPr>
        <w:t>人民政府批准后执行：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val="zh-CN" w:eastAsia="zh-CN"/>
        </w:rPr>
        <w:t>（一）直接关系行政管理相对人或他人重大权益的；</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val="zh-CN" w:eastAsia="zh-CN"/>
        </w:rPr>
        <w:t xml:space="preserve">（二）可能造成重大社会影响或引发社会风险的；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val="zh-CN" w:eastAsia="zh-CN"/>
        </w:rPr>
        <w:t>（三）须经听证程序作出行政执法决定的；</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val="zh-CN" w:eastAsia="zh-CN"/>
        </w:rPr>
        <w:t xml:space="preserve">（四）案件情况疑难复杂，涉及多个法律关系的；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val="zh-CN" w:eastAsia="zh-CN"/>
        </w:rPr>
        <w:t>（五）法律、法规、规章规定应当进行法制审核的。</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第四条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b w:val="0"/>
          <w:bCs w:val="0"/>
          <w:color w:val="auto"/>
          <w:sz w:val="32"/>
          <w:szCs w:val="32"/>
        </w:rPr>
        <w:t>本细则所称重大行政执法决定法制审核，是指局</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在重大行政执法决定作出前，对其合法性、合理性进行审核的活动。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未经</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审核或者审核未通过的，重大行政执法决定不得作出。</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 xml:space="preserve">第五条 </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rPr>
        <w:t>重大行政执法决定法制审核由政治素质高、业务能力强、具有法律专业背景，与法制审核任务相适应的法制审核人员开展</w:t>
      </w:r>
      <w:r>
        <w:rPr>
          <w:rFonts w:hint="eastAsia" w:ascii="仿宋_GB2312" w:hAnsi="仿宋_GB2312" w:eastAsia="仿宋_GB2312" w:cs="仿宋_GB2312"/>
          <w:b w:val="0"/>
          <w:bCs w:val="0"/>
          <w:color w:val="auto"/>
          <w:sz w:val="32"/>
          <w:szCs w:val="32"/>
          <w:lang w:val="en-US" w:eastAsia="zh-CN"/>
        </w:rPr>
        <w:t>审核</w:t>
      </w:r>
      <w:r>
        <w:rPr>
          <w:rFonts w:hint="eastAsia" w:ascii="仿宋_GB2312" w:hAnsi="仿宋_GB2312" w:eastAsia="仿宋_GB2312" w:cs="仿宋_GB2312"/>
          <w:b w:val="0"/>
          <w:bCs w:val="0"/>
          <w:color w:val="auto"/>
          <w:sz w:val="32"/>
          <w:szCs w:val="32"/>
        </w:rPr>
        <w:t>。必要时可以听取法律顾问对重大执法决定的意见。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第六条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b w:val="0"/>
          <w:bCs w:val="0"/>
          <w:color w:val="auto"/>
          <w:sz w:val="32"/>
          <w:szCs w:val="32"/>
        </w:rPr>
        <w:t>重大执法决定作出前，由承办机构的负责人进行初审，初审通过并出具初审文书后，承办机构将相关材料报</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审核。</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第七条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b w:val="0"/>
          <w:bCs w:val="0"/>
          <w:color w:val="auto"/>
          <w:sz w:val="32"/>
          <w:szCs w:val="32"/>
        </w:rPr>
        <w:t>负责执法事项的承办机构向</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报送行政执法处理意见，应当在执法期限届满10个工作日前报送，并提交以下材料：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（一）案件来源和立案审批情况；</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（二）行政执法人员资格情况；</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（三）调查取证情况，包括书证、物证、视听资料、当事人陈述、证人证言、现场笔录、勘验笔录、鉴定意见或专家论证意见等，经过听证的，还需提交听证材料；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（四）行政执法程序的遵循情况及相关记录；</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（五）行政执法决定代拟稿，相关事实根据和法律依据；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pacing w:val="11"/>
          <w:sz w:val="32"/>
          <w:szCs w:val="32"/>
        </w:rPr>
      </w:pPr>
      <w:r>
        <w:rPr>
          <w:rFonts w:hint="eastAsia" w:ascii="仿宋_GB2312" w:hAnsi="仿宋_GB2312" w:eastAsia="仿宋_GB2312" w:cs="仿宋_GB2312"/>
          <w:b w:val="0"/>
          <w:bCs w:val="0"/>
          <w:color w:val="auto"/>
          <w:sz w:val="32"/>
          <w:szCs w:val="32"/>
        </w:rPr>
        <w:t>（六）</w:t>
      </w:r>
      <w:r>
        <w:rPr>
          <w:rFonts w:hint="eastAsia" w:ascii="仿宋_GB2312" w:hAnsi="仿宋_GB2312" w:eastAsia="仿宋_GB2312" w:cs="仿宋_GB2312"/>
          <w:b w:val="0"/>
          <w:bCs w:val="0"/>
          <w:color w:val="auto"/>
          <w:spacing w:val="11"/>
          <w:sz w:val="32"/>
          <w:szCs w:val="32"/>
        </w:rPr>
        <w:t>涉及行政裁量权的，提交行政裁量权基准及理由说明；</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（七）其他相关材料。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承办机构送报材料不齐备的，</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应当一次性告知需补充的材料，执法承办机构应当及时提交。承办机构补充材料后仍不齐备的，</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不予受理。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第八条</w:t>
      </w:r>
      <w:r>
        <w:rPr>
          <w:rFonts w:hint="eastAsia" w:ascii="仿宋_GB2312" w:hAnsi="仿宋_GB2312" w:eastAsia="仿宋_GB2312" w:cs="仿宋_GB2312"/>
          <w:b w:val="0"/>
          <w:bCs w:val="0"/>
          <w:color w:val="auto"/>
          <w:sz w:val="32"/>
          <w:szCs w:val="32"/>
        </w:rPr>
        <w:t xml:space="preserve"> </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rPr>
        <w:t>重大行政执法决定法制审核的内容包括：</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（一）是否在本机关职权范围内行使职权；</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（二）执法人员是否具备相应的执法资格；</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 xml:space="preserve">    （三）事实是否清楚，证据是否确凿充分；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 xml:space="preserve">    （四）程序是否合法、正当；</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（五）法律、法规、规章的适用是否准确；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（六）行政裁量权运用是否适当；</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 xml:space="preserve">（七）行政执法文书的制作是否规范；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lang w:eastAsia="zh-CN"/>
        </w:rPr>
        <w:t>（八）</w:t>
      </w:r>
      <w:r>
        <w:rPr>
          <w:rFonts w:hint="eastAsia" w:ascii="仿宋_GB2312" w:hAnsi="仿宋_GB2312" w:eastAsia="仿宋_GB2312" w:cs="仿宋_GB2312"/>
          <w:b w:val="0"/>
          <w:bCs w:val="0"/>
          <w:color w:val="auto"/>
          <w:sz w:val="32"/>
          <w:szCs w:val="32"/>
        </w:rPr>
        <w:t>其他应当审核的内容。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第九条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rPr>
        <w:t xml:space="preserve"> 重大行政执法决定法制审核以书面审查为原则，必要时可以调阅相关资料，并向执法人员和行政相对人等核实情况。</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对执法承办机构的处理意见进行审核后，根据不同情况，提出相应的书面意见：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（一）执法承办机构的处理意见经审核合法合理的，出具同意报批意见；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（二）超出本机关职权范围的，依法提出移送意见；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 xml:space="preserve">    （三）定性错误、适用法律法规规章不准确、行政裁量权运用不当的，提出变更或补充意见；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 xml:space="preserve">    （四）行政程序违法的，提出补正或终止意见；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（五）</w:t>
      </w:r>
      <w:r>
        <w:rPr>
          <w:rFonts w:hint="eastAsia" w:ascii="仿宋_GB2312" w:hAnsi="仿宋_GB2312" w:eastAsia="仿宋_GB2312" w:cs="仿宋_GB2312"/>
          <w:b w:val="0"/>
          <w:bCs w:val="0"/>
          <w:color w:val="auto"/>
          <w:spacing w:val="-11"/>
          <w:sz w:val="32"/>
          <w:szCs w:val="32"/>
        </w:rPr>
        <w:t>事实不清、证据不足的，提出重新调查或终止意</w:t>
      </w:r>
      <w:r>
        <w:rPr>
          <w:rFonts w:hint="eastAsia" w:ascii="仿宋_GB2312" w:hAnsi="仿宋_GB2312" w:eastAsia="仿宋_GB2312" w:cs="仿宋_GB2312"/>
          <w:b w:val="0"/>
          <w:bCs w:val="0"/>
          <w:color w:val="auto"/>
          <w:sz w:val="32"/>
          <w:szCs w:val="32"/>
        </w:rPr>
        <w:t>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（六）执法文书不规范的，提出补充或更正意见。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第十一条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收到执法承办机构重大行政执法决定送审材料后，应当在3个工作日内审核完毕。情况紧急的，应当在1个工作日内审核完毕。案件复杂的，经分管领导批准可以延长2个工作日。法律、法规和规章另有规定的，从其规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前款所列审核期限自执法承办机构提交完备的送审材料之日起计算。</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将处理意见提交专家论证的期限不计算在内；</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向执法人员、行政相对人核实情况期限不计算在内。</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 xml:space="preserve">第十二条 </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审核重大行政执法决定，应当制作重大行政执法决定法制审核意见书，一式两份，一份连同案卷材料回复执法承办机构，一份留存本机构归档。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第十三条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b w:val="0"/>
          <w:bCs w:val="0"/>
          <w:color w:val="auto"/>
          <w:sz w:val="32"/>
          <w:szCs w:val="32"/>
        </w:rPr>
        <w:t xml:space="preserve"> 重大行政执法案件由</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工作人员审核后，由业务承办机构报行政执法机关负责人批准或者提交局长办公会集体讨论决定。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外聘法律顾问参与重大行政执法决定法律审核的，应当提交书面意见。</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应当对法律顾问提交的书面意见进行复核，在此基础上形成</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的正式审核意见。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业务承办机构对</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出具的审核意见不赞成的，可以向分管法制负责人申请召开专家论证会进行论证，经过专家论证后仍然不能达成一致的，提交本机关领导集体讨论决定。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专家论证会的组成形式和成员、议事规则根据</w:t>
      </w:r>
      <w:r>
        <w:rPr>
          <w:rFonts w:hint="eastAsia" w:ascii="仿宋_GB2312" w:hAnsi="仿宋_GB2312" w:eastAsia="仿宋_GB2312" w:cs="仿宋_GB2312"/>
          <w:b w:val="0"/>
          <w:bCs w:val="0"/>
          <w:color w:val="auto"/>
          <w:sz w:val="32"/>
          <w:szCs w:val="32"/>
          <w:lang w:val="en-US" w:eastAsia="zh-CN"/>
        </w:rPr>
        <w:t>县</w:t>
      </w:r>
      <w:r>
        <w:rPr>
          <w:rFonts w:hint="eastAsia" w:ascii="仿宋_GB2312" w:hAnsi="仿宋_GB2312" w:eastAsia="仿宋_GB2312" w:cs="仿宋_GB2312"/>
          <w:b w:val="0"/>
          <w:bCs w:val="0"/>
          <w:color w:val="auto"/>
          <w:sz w:val="32"/>
          <w:szCs w:val="32"/>
        </w:rPr>
        <w:t>政府的相关文件另行发文确定，专家论证会尚未成立之前，直接提交本机关领导集体讨论决定。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第十四条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b w:val="0"/>
          <w:bCs w:val="0"/>
          <w:color w:val="auto"/>
          <w:sz w:val="32"/>
          <w:szCs w:val="32"/>
        </w:rPr>
        <w:t>行政执法人员有下列情形之一的，对负有直接责任的主管人员和其他直接责任人员，</w:t>
      </w:r>
      <w:r>
        <w:rPr>
          <w:rFonts w:hint="eastAsia" w:ascii="仿宋_GB2312" w:hAnsi="仿宋_GB2312" w:eastAsia="仿宋_GB2312" w:cs="仿宋_GB2312"/>
          <w:b w:val="0"/>
          <w:bCs w:val="0"/>
          <w:color w:val="auto"/>
          <w:sz w:val="32"/>
          <w:szCs w:val="32"/>
          <w:lang w:val="en-US" w:eastAsia="zh-CN"/>
        </w:rPr>
        <w:t>办公室（</w:t>
      </w:r>
      <w:r>
        <w:rPr>
          <w:rFonts w:hint="eastAsia" w:ascii="仿宋_GB2312" w:hAnsi="仿宋_GB2312" w:eastAsia="仿宋_GB2312" w:cs="仿宋_GB2312"/>
          <w:b w:val="0"/>
          <w:bCs w:val="0"/>
          <w:color w:val="auto"/>
          <w:sz w:val="32"/>
          <w:szCs w:val="32"/>
        </w:rPr>
        <w:t>政策法规</w:t>
      </w:r>
      <w:r>
        <w:rPr>
          <w:rFonts w:hint="eastAsia" w:ascii="仿宋_GB2312" w:hAnsi="仿宋_GB2312" w:eastAsia="仿宋_GB2312" w:cs="仿宋_GB2312"/>
          <w:b w:val="0"/>
          <w:bCs w:val="0"/>
          <w:color w:val="auto"/>
          <w:sz w:val="32"/>
          <w:szCs w:val="32"/>
          <w:lang w:val="en-US" w:eastAsia="zh-CN"/>
        </w:rPr>
        <w:t>股</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可以会同</w:t>
      </w:r>
      <w:r>
        <w:rPr>
          <w:rFonts w:hint="eastAsia" w:ascii="仿宋_GB2312" w:hAnsi="仿宋_GB2312" w:eastAsia="仿宋_GB2312" w:cs="仿宋_GB2312"/>
          <w:b w:val="0"/>
          <w:bCs w:val="0"/>
          <w:color w:val="auto"/>
          <w:sz w:val="32"/>
          <w:szCs w:val="32"/>
          <w:lang w:val="en-US" w:eastAsia="zh-CN"/>
        </w:rPr>
        <w:t>纪检监察组</w:t>
      </w:r>
      <w:r>
        <w:rPr>
          <w:rFonts w:hint="eastAsia" w:ascii="仿宋_GB2312" w:hAnsi="仿宋_GB2312" w:eastAsia="仿宋_GB2312" w:cs="仿宋_GB2312"/>
          <w:b w:val="0"/>
          <w:bCs w:val="0"/>
          <w:color w:val="auto"/>
          <w:sz w:val="32"/>
          <w:szCs w:val="32"/>
        </w:rPr>
        <w:t>采取责令限期改正、通报批评、离岗培训、暂扣行政执法证等措施进行问责；情节严重的，可以吊销行政执法证，并依法给予行政处分：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（一）执法承办机构报送重大行政执法案件审核材料时，弄虚作假、瞒报漏报、故意拖延报送材料的；</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b w:val="0"/>
          <w:bCs w:val="0"/>
          <w:color w:val="auto"/>
          <w:sz w:val="32"/>
          <w:szCs w:val="32"/>
        </w:rPr>
      </w:pPr>
      <w:r>
        <w:rPr>
          <w:rFonts w:hint="eastAsia" w:ascii="仿宋_GB2312" w:hAnsi="仿宋_GB2312" w:eastAsia="仿宋_GB2312" w:cs="仿宋_GB2312"/>
          <w:b w:val="0"/>
          <w:bCs w:val="0"/>
          <w:color w:val="auto"/>
          <w:sz w:val="32"/>
          <w:szCs w:val="32"/>
        </w:rPr>
        <w:t>（二）法制机构审核重大行政执法案件材料时，不依照本办法相关规定出具意见，或者因故意、重大过失出具错误意见的。机关负责人未经法制审核或者不采纳法制机构审核意见，擅自批准重大行政执法决定的，由任免机关或</w:t>
      </w:r>
      <w:r>
        <w:rPr>
          <w:rFonts w:hint="eastAsia" w:ascii="仿宋_GB2312" w:hAnsi="仿宋_GB2312" w:eastAsia="仿宋_GB2312" w:cs="仿宋_GB2312"/>
          <w:b w:val="0"/>
          <w:bCs w:val="0"/>
          <w:color w:val="auto"/>
          <w:sz w:val="32"/>
          <w:szCs w:val="32"/>
          <w:lang w:eastAsia="zh-CN"/>
        </w:rPr>
        <w:t>纪检</w:t>
      </w:r>
      <w:r>
        <w:rPr>
          <w:rFonts w:hint="eastAsia" w:ascii="仿宋_GB2312" w:hAnsi="仿宋_GB2312" w:eastAsia="仿宋_GB2312" w:cs="仿宋_GB2312"/>
          <w:b w:val="0"/>
          <w:bCs w:val="0"/>
          <w:color w:val="auto"/>
          <w:sz w:val="32"/>
          <w:szCs w:val="32"/>
        </w:rPr>
        <w:t>机关给予通报批评；因此造成办案错误或者引发国家赔偿的，依法给予行政处分，依法追究相应法律责任。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textAlignment w:val="auto"/>
        <w:rPr>
          <w:rFonts w:hint="eastAsia" w:ascii="仿宋_GB2312" w:hAnsi="仿宋_GB2312" w:eastAsia="仿宋_GB2312" w:cs="仿宋_GB2312"/>
          <w:color w:val="auto"/>
          <w:sz w:val="32"/>
          <w:szCs w:val="32"/>
        </w:rPr>
      </w:pPr>
      <w:r>
        <w:rPr>
          <w:rFonts w:hint="eastAsia" w:ascii="黑体" w:hAnsi="黑体" w:eastAsia="黑体" w:cs="黑体"/>
          <w:i w:val="0"/>
          <w:caps w:val="0"/>
          <w:color w:val="auto"/>
          <w:spacing w:val="0"/>
          <w:kern w:val="0"/>
          <w:sz w:val="32"/>
          <w:szCs w:val="32"/>
          <w:shd w:val="clear" w:fill="FFFFFF"/>
          <w:lang w:val="zh-TW" w:eastAsia="zh-TW" w:bidi="ar"/>
        </w:rPr>
        <w:t>第十</w:t>
      </w:r>
      <w:r>
        <w:rPr>
          <w:rFonts w:hint="eastAsia" w:ascii="黑体" w:hAnsi="黑体" w:eastAsia="黑体" w:cs="黑体"/>
          <w:i w:val="0"/>
          <w:caps w:val="0"/>
          <w:color w:val="auto"/>
          <w:spacing w:val="0"/>
          <w:kern w:val="0"/>
          <w:sz w:val="32"/>
          <w:szCs w:val="32"/>
          <w:shd w:val="clear" w:fill="FFFFFF"/>
          <w:lang w:val="en-US" w:eastAsia="zh-CN" w:bidi="ar"/>
        </w:rPr>
        <w:t>五</w:t>
      </w:r>
      <w:r>
        <w:rPr>
          <w:rFonts w:hint="eastAsia" w:ascii="黑体" w:hAnsi="黑体" w:eastAsia="黑体" w:cs="黑体"/>
          <w:i w:val="0"/>
          <w:caps w:val="0"/>
          <w:color w:val="auto"/>
          <w:spacing w:val="0"/>
          <w:kern w:val="0"/>
          <w:sz w:val="32"/>
          <w:szCs w:val="32"/>
          <w:shd w:val="clear" w:fill="FFFFFF"/>
          <w:lang w:val="zh-TW" w:eastAsia="zh-TW" w:bidi="ar"/>
        </w:rPr>
        <w:t>条</w:t>
      </w:r>
      <w:r>
        <w:rPr>
          <w:rFonts w:hint="eastAsia" w:ascii="仿宋_GB2312" w:hAnsi="仿宋_GB2312" w:eastAsia="仿宋_GB2312" w:cs="仿宋_GB2312"/>
          <w:b w:val="0"/>
          <w:bCs w:val="0"/>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zh-TW" w:eastAsia="zh-TW"/>
        </w:rPr>
        <w:t>本办法自</w:t>
      </w:r>
      <w:r>
        <w:rPr>
          <w:rFonts w:hint="eastAsia" w:ascii="仿宋_GB2312" w:hAnsi="仿宋_GB2312" w:eastAsia="仿宋_GB2312" w:cs="仿宋_GB2312"/>
          <w:b w:val="0"/>
          <w:bCs w:val="0"/>
          <w:color w:val="auto"/>
          <w:sz w:val="32"/>
          <w:szCs w:val="32"/>
          <w:lang w:val="zh-CN" w:eastAsia="zh-CN"/>
        </w:rPr>
        <w:t>印发</w:t>
      </w:r>
      <w:r>
        <w:rPr>
          <w:rFonts w:hint="eastAsia" w:ascii="仿宋_GB2312" w:hAnsi="仿宋_GB2312" w:eastAsia="仿宋_GB2312" w:cs="仿宋_GB2312"/>
          <w:b w:val="0"/>
          <w:bCs w:val="0"/>
          <w:color w:val="auto"/>
          <w:sz w:val="32"/>
          <w:szCs w:val="32"/>
          <w:lang w:val="zh-TW" w:eastAsia="zh-TW"/>
        </w:rPr>
        <w:t>之日起施行。</w:t>
      </w: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r>
        <w:rPr>
          <w:rFonts w:hint="eastAsia" w:ascii="方正小标宋简体" w:hAnsi="方正小标宋简体" w:eastAsia="方正小标宋简体" w:cs="方正小标宋简体"/>
          <w:b/>
          <w:bCs/>
          <w:kern w:val="2"/>
          <w:sz w:val="44"/>
          <w:szCs w:val="44"/>
          <w:lang w:val="en-US" w:eastAsia="zh-CN" w:bidi="ar-SA"/>
        </w:rPr>
        <w:t>衡南县民政局行政执法目录</w:t>
      </w:r>
    </w:p>
    <w:p>
      <w:pPr>
        <w:keepNext w:val="0"/>
        <w:keepLines w:val="0"/>
        <w:pageBreakBefore w:val="0"/>
        <w:widowControl w:val="0"/>
        <w:kinsoku/>
        <w:wordWrap/>
        <w:overflowPunct/>
        <w:topLinePunct w:val="0"/>
        <w:autoSpaceDE/>
        <w:autoSpaceDN/>
        <w:bidi w:val="0"/>
        <w:adjustRightInd/>
        <w:snapToGrid/>
        <w:spacing w:line="600" w:lineRule="exact"/>
        <w:ind w:left="0" w:leftChars="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经梳理，</w:t>
      </w:r>
      <w:r>
        <w:rPr>
          <w:rFonts w:hint="eastAsia" w:ascii="仿宋_GB2312" w:hAnsi="仿宋_GB2312" w:eastAsia="仿宋_GB2312" w:cs="仿宋_GB2312"/>
          <w:sz w:val="32"/>
          <w:szCs w:val="32"/>
          <w:lang w:eastAsia="zh-CN"/>
        </w:rPr>
        <w:t>衡南县</w:t>
      </w:r>
      <w:r>
        <w:rPr>
          <w:rFonts w:hint="eastAsia" w:ascii="仿宋_GB2312" w:hAnsi="仿宋_GB2312" w:eastAsia="仿宋_GB2312" w:cs="仿宋_GB2312"/>
          <w:sz w:val="32"/>
          <w:szCs w:val="32"/>
        </w:rPr>
        <w:t>民政局</w:t>
      </w:r>
      <w:r>
        <w:rPr>
          <w:rFonts w:hint="eastAsia" w:ascii="仿宋_GB2312" w:hAnsi="仿宋_GB2312" w:eastAsia="仿宋_GB2312" w:cs="仿宋_GB2312"/>
          <w:sz w:val="32"/>
          <w:szCs w:val="32"/>
          <w:lang w:val="en-US" w:eastAsia="zh-CN"/>
        </w:rPr>
        <w:t>行政处罚、行政强制、行政检查三类行政</w:t>
      </w:r>
      <w:r>
        <w:rPr>
          <w:rFonts w:hint="eastAsia" w:ascii="仿宋_GB2312" w:hAnsi="仿宋_GB2312" w:eastAsia="仿宋_GB2312" w:cs="仿宋_GB2312"/>
          <w:sz w:val="32"/>
          <w:szCs w:val="32"/>
        </w:rPr>
        <w:t>执法事项共有</w:t>
      </w:r>
      <w:r>
        <w:rPr>
          <w:rFonts w:hint="eastAsia" w:ascii="仿宋_GB2312" w:hAnsi="仿宋_GB2312" w:eastAsia="仿宋_GB2312" w:cs="仿宋_GB2312"/>
          <w:sz w:val="32"/>
          <w:szCs w:val="32"/>
          <w:lang w:val="en-US" w:eastAsia="zh-CN"/>
        </w:rPr>
        <w:t>93</w:t>
      </w:r>
      <w:r>
        <w:rPr>
          <w:rFonts w:hint="eastAsia" w:ascii="仿宋_GB2312" w:hAnsi="仿宋_GB2312" w:eastAsia="仿宋_GB2312" w:cs="仿宋_GB2312"/>
          <w:sz w:val="32"/>
          <w:szCs w:val="32"/>
        </w:rPr>
        <w:t>项。其中，社会组织管理领域</w:t>
      </w:r>
      <w:r>
        <w:rPr>
          <w:rFonts w:hint="eastAsia" w:ascii="仿宋_GB2312" w:hAnsi="仿宋_GB2312" w:eastAsia="仿宋_GB2312" w:cs="仿宋_GB2312"/>
          <w:sz w:val="32"/>
          <w:szCs w:val="32"/>
          <w:lang w:val="en-US" w:eastAsia="zh-CN"/>
        </w:rPr>
        <w:t>40</w:t>
      </w:r>
      <w:r>
        <w:rPr>
          <w:rFonts w:hint="eastAsia" w:ascii="仿宋_GB2312" w:hAnsi="仿宋_GB2312" w:eastAsia="仿宋_GB2312" w:cs="仿宋_GB2312"/>
          <w:sz w:val="32"/>
          <w:szCs w:val="32"/>
        </w:rPr>
        <w:t>项，养老服务</w:t>
      </w:r>
      <w:r>
        <w:rPr>
          <w:rFonts w:hint="eastAsia" w:ascii="仿宋_GB2312" w:hAnsi="仿宋_GB2312" w:eastAsia="仿宋_GB2312" w:cs="仿宋_GB2312"/>
          <w:sz w:val="32"/>
          <w:szCs w:val="32"/>
          <w:lang w:val="en-US" w:eastAsia="zh-CN"/>
        </w:rPr>
        <w:t>管理</w:t>
      </w:r>
      <w:r>
        <w:rPr>
          <w:rFonts w:hint="eastAsia" w:ascii="仿宋_GB2312" w:hAnsi="仿宋_GB2312" w:eastAsia="仿宋_GB2312" w:cs="仿宋_GB2312"/>
          <w:sz w:val="32"/>
          <w:szCs w:val="32"/>
        </w:rPr>
        <w:t>领域</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项，</w:t>
      </w:r>
      <w:r>
        <w:rPr>
          <w:rFonts w:hint="eastAsia" w:ascii="仿宋_GB2312" w:hAnsi="仿宋_GB2312" w:eastAsia="仿宋_GB2312" w:cs="仿宋_GB2312"/>
          <w:sz w:val="32"/>
          <w:szCs w:val="32"/>
          <w:lang w:val="en-US" w:eastAsia="zh-CN"/>
        </w:rPr>
        <w:t>儿童福利管理领域1项，</w:t>
      </w:r>
      <w:r>
        <w:rPr>
          <w:rFonts w:hint="eastAsia" w:ascii="仿宋_GB2312" w:hAnsi="仿宋_GB2312" w:eastAsia="仿宋_GB2312" w:cs="仿宋_GB2312"/>
          <w:sz w:val="32"/>
          <w:szCs w:val="32"/>
        </w:rPr>
        <w:t>慈善组织管理领域</w:t>
      </w:r>
      <w:r>
        <w:rPr>
          <w:rFonts w:hint="eastAsia"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rPr>
        <w:t>项，</w:t>
      </w:r>
      <w:r>
        <w:rPr>
          <w:rFonts w:hint="eastAsia" w:ascii="仿宋_GB2312" w:hAnsi="仿宋_GB2312" w:eastAsia="仿宋_GB2312" w:cs="仿宋_GB2312"/>
          <w:sz w:val="32"/>
          <w:szCs w:val="32"/>
          <w:lang w:val="en-US" w:eastAsia="zh-CN"/>
        </w:rPr>
        <w:t>志愿服务管理领域4项，</w:t>
      </w:r>
      <w:r>
        <w:rPr>
          <w:rFonts w:hint="eastAsia" w:ascii="仿宋_GB2312" w:hAnsi="仿宋_GB2312" w:eastAsia="仿宋_GB2312" w:cs="仿宋_GB2312"/>
          <w:sz w:val="32"/>
          <w:szCs w:val="32"/>
        </w:rPr>
        <w:t>区划</w:t>
      </w:r>
      <w:r>
        <w:rPr>
          <w:rFonts w:hint="eastAsia" w:ascii="仿宋_GB2312" w:hAnsi="仿宋_GB2312" w:eastAsia="仿宋_GB2312" w:cs="仿宋_GB2312"/>
          <w:sz w:val="32"/>
          <w:szCs w:val="32"/>
          <w:lang w:val="en-US" w:eastAsia="zh-CN"/>
        </w:rPr>
        <w:t>地名</w:t>
      </w:r>
      <w:r>
        <w:rPr>
          <w:rFonts w:hint="eastAsia" w:ascii="仿宋_GB2312" w:hAnsi="仿宋_GB2312" w:eastAsia="仿宋_GB2312" w:cs="仿宋_GB2312"/>
          <w:sz w:val="32"/>
          <w:szCs w:val="32"/>
        </w:rPr>
        <w:t>管理领域</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项，</w:t>
      </w:r>
      <w:r>
        <w:rPr>
          <w:rFonts w:hint="eastAsia" w:ascii="仿宋_GB2312" w:hAnsi="仿宋_GB2312" w:eastAsia="仿宋_GB2312" w:cs="仿宋_GB2312"/>
          <w:sz w:val="32"/>
          <w:szCs w:val="32"/>
          <w:lang w:val="en-US" w:eastAsia="zh-CN"/>
        </w:rPr>
        <w:t>彩票</w:t>
      </w:r>
      <w:r>
        <w:rPr>
          <w:rFonts w:hint="eastAsia" w:ascii="仿宋_GB2312" w:hAnsi="仿宋_GB2312" w:eastAsia="仿宋_GB2312" w:cs="仿宋_GB2312"/>
          <w:sz w:val="32"/>
          <w:szCs w:val="32"/>
        </w:rPr>
        <w:t>管理领域</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项，殡葬管理领域</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社会救助管理领域2项</w:t>
      </w:r>
      <w:r>
        <w:rPr>
          <w:rFonts w:hint="eastAsia" w:ascii="仿宋_GB2312" w:hAnsi="仿宋_GB2312" w:eastAsia="仿宋_GB2312" w:cs="仿宋_GB2312"/>
          <w:sz w:val="32"/>
          <w:szCs w:val="32"/>
        </w:rPr>
        <w:t>。涉及行政处罚</w:t>
      </w:r>
      <w:r>
        <w:rPr>
          <w:rFonts w:hint="eastAsia" w:ascii="仿宋_GB2312" w:hAnsi="仿宋_GB2312" w:eastAsia="仿宋_GB2312" w:cs="仿宋_GB2312"/>
          <w:sz w:val="32"/>
          <w:szCs w:val="32"/>
          <w:lang w:val="en-US" w:eastAsia="zh-CN"/>
        </w:rPr>
        <w:t>76</w:t>
      </w:r>
      <w:r>
        <w:rPr>
          <w:rFonts w:hint="eastAsia" w:ascii="仿宋_GB2312" w:hAnsi="仿宋_GB2312" w:eastAsia="仿宋_GB2312" w:cs="仿宋_GB2312"/>
          <w:sz w:val="32"/>
          <w:szCs w:val="32"/>
        </w:rPr>
        <w:t>项，行政强制</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行政检查11项</w:t>
      </w:r>
      <w:r>
        <w:rPr>
          <w:rFonts w:hint="eastAsia" w:ascii="仿宋_GB2312" w:hAnsi="仿宋_GB2312" w:eastAsia="仿宋_GB2312" w:cs="仿宋_GB2312"/>
          <w:sz w:val="32"/>
          <w:szCs w:val="32"/>
        </w:rPr>
        <w:t>。具体如下：</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left="0" w:leftChars="0"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社会组织管理领域（共</w:t>
      </w:r>
      <w:r>
        <w:rPr>
          <w:rFonts w:hint="eastAsia" w:ascii="黑体" w:hAnsi="黑体" w:eastAsia="黑体" w:cs="黑体"/>
          <w:sz w:val="32"/>
          <w:szCs w:val="32"/>
          <w:lang w:val="en-US" w:eastAsia="zh-CN"/>
        </w:rPr>
        <w:t>40</w:t>
      </w:r>
      <w:r>
        <w:rPr>
          <w:rFonts w:hint="eastAsia" w:ascii="黑体" w:hAnsi="黑体" w:eastAsia="黑体" w:cs="黑体"/>
          <w:sz w:val="32"/>
          <w:szCs w:val="32"/>
        </w:rPr>
        <w:t>项</w:t>
      </w:r>
      <w:r>
        <w:rPr>
          <w:rFonts w:hint="eastAsia" w:ascii="黑体" w:hAnsi="黑体" w:eastAsia="黑体" w:cs="黑体"/>
          <w:sz w:val="32"/>
          <w:szCs w:val="32"/>
          <w:lang w:eastAsia="zh-CN"/>
        </w:rPr>
        <w:t>：</w:t>
      </w:r>
      <w:r>
        <w:rPr>
          <w:rFonts w:hint="eastAsia" w:ascii="黑体" w:hAnsi="黑体" w:eastAsia="黑体" w:cs="黑体"/>
          <w:sz w:val="32"/>
          <w:szCs w:val="32"/>
        </w:rPr>
        <w:t>行政处罚3</w:t>
      </w:r>
      <w:r>
        <w:rPr>
          <w:rFonts w:hint="eastAsia" w:ascii="黑体" w:hAnsi="黑体" w:eastAsia="黑体" w:cs="黑体"/>
          <w:sz w:val="32"/>
          <w:szCs w:val="32"/>
          <w:lang w:val="en-US" w:eastAsia="zh-CN"/>
        </w:rPr>
        <w:t>2</w:t>
      </w:r>
      <w:r>
        <w:rPr>
          <w:rFonts w:hint="eastAsia" w:ascii="黑体" w:hAnsi="黑体" w:eastAsia="黑体" w:cs="黑体"/>
          <w:sz w:val="32"/>
          <w:szCs w:val="32"/>
        </w:rPr>
        <w:t>项，行政强制5项</w:t>
      </w:r>
      <w:r>
        <w:rPr>
          <w:rFonts w:hint="eastAsia" w:ascii="黑体" w:hAnsi="黑体" w:eastAsia="黑体" w:cs="黑体"/>
          <w:sz w:val="32"/>
          <w:szCs w:val="32"/>
          <w:lang w:eastAsia="zh-CN"/>
        </w:rPr>
        <w:t>，</w:t>
      </w:r>
      <w:r>
        <w:rPr>
          <w:rFonts w:hint="eastAsia" w:ascii="黑体" w:hAnsi="黑体" w:eastAsia="黑体" w:cs="黑体"/>
          <w:sz w:val="32"/>
          <w:szCs w:val="32"/>
          <w:lang w:val="en-US" w:eastAsia="zh-CN"/>
        </w:rPr>
        <w:t>行政检查3项</w:t>
      </w:r>
      <w:r>
        <w:rPr>
          <w:rFonts w:hint="eastAsia" w:ascii="黑体" w:hAnsi="黑体" w:eastAsia="黑体" w:cs="黑体"/>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482" w:firstLineChars="15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（一）社会团体</w:t>
      </w:r>
      <w:r>
        <w:rPr>
          <w:rFonts w:hint="eastAsia" w:ascii="楷体_GB2312" w:hAnsi="楷体_GB2312" w:eastAsia="楷体_GB2312" w:cs="楷体_GB2312"/>
          <w:b/>
          <w:bCs/>
          <w:sz w:val="32"/>
          <w:szCs w:val="32"/>
          <w:lang w:val="en-US" w:eastAsia="zh-CN"/>
        </w:rPr>
        <w:t>类</w:t>
      </w:r>
      <w:r>
        <w:rPr>
          <w:rFonts w:hint="eastAsia" w:ascii="楷体_GB2312" w:hAnsi="楷体_GB2312" w:eastAsia="楷体_GB2312" w:cs="楷体_GB2312"/>
          <w:b/>
          <w:bCs/>
          <w:sz w:val="32"/>
          <w:szCs w:val="32"/>
        </w:rPr>
        <w:t>（共1</w:t>
      </w:r>
      <w:r>
        <w:rPr>
          <w:rFonts w:hint="eastAsia" w:ascii="楷体_GB2312" w:hAnsi="楷体_GB2312" w:eastAsia="楷体_GB2312" w:cs="楷体_GB2312"/>
          <w:b/>
          <w:bCs/>
          <w:sz w:val="32"/>
          <w:szCs w:val="32"/>
          <w:lang w:val="en-US" w:eastAsia="zh-CN"/>
        </w:rPr>
        <w:t>4</w:t>
      </w:r>
      <w:r>
        <w:rPr>
          <w:rFonts w:hint="eastAsia" w:ascii="楷体_GB2312" w:hAnsi="楷体_GB2312" w:eastAsia="楷体_GB2312" w:cs="楷体_GB2312"/>
          <w:b/>
          <w:bCs/>
          <w:sz w:val="32"/>
          <w:szCs w:val="32"/>
        </w:rPr>
        <w:t>项：行政处罚1</w:t>
      </w:r>
      <w:r>
        <w:rPr>
          <w:rFonts w:hint="eastAsia" w:ascii="楷体_GB2312" w:hAnsi="楷体_GB2312" w:eastAsia="楷体_GB2312" w:cs="楷体_GB2312"/>
          <w:b/>
          <w:bCs/>
          <w:sz w:val="32"/>
          <w:szCs w:val="32"/>
          <w:lang w:val="en-US" w:eastAsia="zh-CN"/>
        </w:rPr>
        <w:t>1</w:t>
      </w:r>
      <w:r>
        <w:rPr>
          <w:rFonts w:hint="eastAsia" w:ascii="楷体_GB2312" w:hAnsi="楷体_GB2312" w:eastAsia="楷体_GB2312" w:cs="楷体_GB2312"/>
          <w:b/>
          <w:bCs/>
          <w:sz w:val="32"/>
          <w:szCs w:val="32"/>
        </w:rPr>
        <w:t>项，行政强制2项</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行政检查1项</w:t>
      </w:r>
      <w:r>
        <w:rPr>
          <w:rFonts w:hint="eastAsia" w:ascii="楷体_GB2312" w:hAnsi="楷体_GB2312" w:eastAsia="楷体_GB2312" w:cs="楷体_GB2312"/>
          <w:b/>
          <w:bCs/>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1.行政处罚</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（1）对社会团体在申请登记时弄虚作假，骗取登记的，或者自取得《社会团体法人登记证书》之日起一年未开展活动的处罚；</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（2）对社会团体涂改、出租、出借《社会团体法人登记证书》，或者出租、出借社会团体印章的处罚；</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（3）对社会团体超出章程规定的宗旨和业务范围进行活动的处罚；</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（4）对社会团体拒不接受或者不按照规定接受监督检查的处罚；</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（5）对社会团体不按照规定办理变更登记的处罚；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64" w:firstLineChars="145"/>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（6）对社会团体违反规定设立分支机构、代表机构，或者对分支机构、代表机构疏于管理，造成严重后果的</w:t>
      </w:r>
      <w:r>
        <w:rPr>
          <w:rFonts w:hint="eastAsia" w:ascii="仿宋_GB2312" w:hAnsi="仿宋_GB2312" w:eastAsia="仿宋_GB2312" w:cs="仿宋_GB2312"/>
          <w:sz w:val="32"/>
          <w:szCs w:val="32"/>
          <w:lang w:val="en-US" w:eastAsia="zh-CN"/>
        </w:rPr>
        <w:t>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64" w:firstLineChars="145"/>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（7）对社会团体从事营利性经营活动的处罚；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）对社会团体侵占、私分、挪用社会团体资产或者所接受的捐赠、资助的处罚；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）对社会团体违反国家有关规定收取费用、筹集资金或者接受、使用捐赠、资助的处罚；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）对社会团体违反《社会团体登记管理条例》以外的其他法律、法规，有关国家机关认为应当撤销登记的处罚；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）筹备期间开展筹备以外的活动，或者未经登记，擅自以社会团体名义进行活动，以及被撤销登记的社会团体继续以社会团体名义进行活动的处罚。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2.行政强制</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（1）对被责令限期停止活动的社会团体的《社会团体法人登记证书》、印章和财务凭证的封存；</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（2）对被撤销登记的社会团体的《社会团体法人登记证书》和印章的收缴。</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3.行政检查</w:t>
      </w:r>
    </w:p>
    <w:p>
      <w:pPr>
        <w:keepNext w:val="0"/>
        <w:keepLines w:val="0"/>
        <w:pageBreakBefore w:val="0"/>
        <w:widowControl w:val="0"/>
        <w:tabs>
          <w:tab w:val="left" w:pos="203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（1）对社会团体的监督检查。</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482" w:firstLineChars="15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（二）民办非企业单位类（共1</w:t>
      </w:r>
      <w:r>
        <w:rPr>
          <w:rFonts w:hint="eastAsia" w:ascii="楷体_GB2312" w:hAnsi="楷体_GB2312" w:eastAsia="楷体_GB2312" w:cs="楷体_GB2312"/>
          <w:b/>
          <w:bCs/>
          <w:sz w:val="32"/>
          <w:szCs w:val="32"/>
          <w:lang w:val="en-US" w:eastAsia="zh-CN"/>
        </w:rPr>
        <w:t>5</w:t>
      </w:r>
      <w:r>
        <w:rPr>
          <w:rFonts w:hint="eastAsia" w:ascii="楷体_GB2312" w:hAnsi="楷体_GB2312" w:eastAsia="楷体_GB2312" w:cs="楷体_GB2312"/>
          <w:b/>
          <w:bCs/>
          <w:sz w:val="32"/>
          <w:szCs w:val="32"/>
        </w:rPr>
        <w:t>项：行政处罚12项，行政强制2项</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行政检查1项</w:t>
      </w:r>
      <w:r>
        <w:rPr>
          <w:rFonts w:hint="eastAsia" w:ascii="楷体_GB2312" w:hAnsi="楷体_GB2312" w:eastAsia="楷体_GB2312" w:cs="楷体_GB2312"/>
          <w:b/>
          <w:bCs/>
          <w:sz w:val="32"/>
          <w:szCs w:val="32"/>
        </w:rPr>
        <w:t>）</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64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1.行政处罚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（1）对民办非企业单位在申请登记时弄虚作假，骗取登记的，或者业务主管单位撤销批准的处罚；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（2）对涂改、出租、出借民办非企业单位登记证书，或者出租、出借民办非企业单位印章的处罚；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（3）对民办非企业单位超出其章程规定的宗旨和业务范围进行活动的处罚；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（4）对民办非企业单位拒不接受或者不按照规定接受监督检查的处罚；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（5）对民办非企业单位不按照规定办理变更登记的处罚；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（6）对民办非企业单位设立分支机构的处罚；</w:t>
      </w:r>
    </w:p>
    <w:p>
      <w:pPr>
        <w:keepNext w:val="0"/>
        <w:keepLines w:val="0"/>
        <w:pageBreakBefore w:val="0"/>
        <w:widowControl w:val="0"/>
        <w:tabs>
          <w:tab w:val="left" w:pos="2001"/>
        </w:tabs>
        <w:kinsoku/>
        <w:wordWrap/>
        <w:overflowPunct/>
        <w:topLinePunct w:val="0"/>
        <w:autoSpaceDE/>
        <w:autoSpaceDN/>
        <w:bidi w:val="0"/>
        <w:adjustRightInd/>
        <w:snapToGrid/>
        <w:spacing w:line="60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（7）对民办非企业单位从事营利性的经营活动的处罚；</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（8）对民办非企业单位侵占、私分、挪用民办非企业单位的资产或者所接受的捐赠、资助的处罚；</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（9）对民办非企业单位违反国家有关规定收取费用、筹集资金或者接受使用捐赠、资助的处罚；</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（10）对民办非企业单位的活动违反《民办非企业单位登记管理暂行条例》以外的其他法律、法规，有关国家机关认为应当撤销登记的处罚；</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（11）对未经登记，擅自以民办非企业单位名义进行活动的，或者被撤销登记的民办非企业单位继续以民办非企业单位名义进行活动的处罚；</w:t>
      </w:r>
    </w:p>
    <w:p>
      <w:pPr>
        <w:keepNext w:val="0"/>
        <w:keepLines w:val="0"/>
        <w:pageBreakBefore w:val="0"/>
        <w:widowControl w:val="0"/>
        <w:tabs>
          <w:tab w:val="left" w:pos="203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（12）对连续两年不参加年检，或连续两年“年检不合格”的民办非企业单位的处罚。</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64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2.行政强制</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（1）对被限期停止活动的民办非企业单位的登记证书、印章和财务凭证的封存；</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pacing w:val="11"/>
          <w:sz w:val="32"/>
          <w:szCs w:val="32"/>
        </w:rPr>
        <w:t>对被撤销登记的民办非企业单位的证书和印章的收</w:t>
      </w:r>
      <w:r>
        <w:rPr>
          <w:rFonts w:hint="eastAsia" w:ascii="仿宋_GB2312" w:hAnsi="仿宋_GB2312" w:eastAsia="仿宋_GB2312" w:cs="仿宋_GB2312"/>
          <w:sz w:val="32"/>
          <w:szCs w:val="32"/>
        </w:rPr>
        <w:t>缴。</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3.行政检查</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（1）对民办非企业单位的监督检查。</w:t>
      </w:r>
    </w:p>
    <w:p>
      <w:pPr>
        <w:keepNext w:val="0"/>
        <w:keepLines w:val="0"/>
        <w:pageBreakBefore w:val="0"/>
        <w:widowControl w:val="0"/>
        <w:kinsoku/>
        <w:wordWrap/>
        <w:overflowPunct/>
        <w:topLinePunct w:val="0"/>
        <w:autoSpaceDE/>
        <w:autoSpaceDN/>
        <w:bidi w:val="0"/>
        <w:adjustRightInd/>
        <w:snapToGrid/>
        <w:spacing w:line="600" w:lineRule="exact"/>
        <w:ind w:left="0" w:leftChars="0" w:firstLine="482" w:firstLineChars="15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（三）基金会类（</w:t>
      </w:r>
      <w:r>
        <w:rPr>
          <w:rFonts w:hint="eastAsia" w:ascii="楷体_GB2312" w:hAnsi="楷体_GB2312" w:eastAsia="楷体_GB2312" w:cs="楷体_GB2312"/>
          <w:b/>
          <w:bCs/>
          <w:sz w:val="32"/>
          <w:szCs w:val="32"/>
          <w:lang w:val="en-US" w:eastAsia="zh-CN"/>
        </w:rPr>
        <w:t>共</w:t>
      </w:r>
      <w:r>
        <w:rPr>
          <w:rFonts w:hint="eastAsia" w:ascii="楷体_GB2312" w:hAnsi="楷体_GB2312" w:eastAsia="楷体_GB2312" w:cs="楷体_GB2312"/>
          <w:b/>
          <w:bCs/>
          <w:sz w:val="32"/>
          <w:szCs w:val="32"/>
        </w:rPr>
        <w:t>1</w:t>
      </w:r>
      <w:r>
        <w:rPr>
          <w:rFonts w:hint="eastAsia" w:ascii="楷体_GB2312" w:hAnsi="楷体_GB2312" w:eastAsia="楷体_GB2312" w:cs="楷体_GB2312"/>
          <w:b/>
          <w:bCs/>
          <w:sz w:val="32"/>
          <w:szCs w:val="32"/>
          <w:lang w:val="en-US" w:eastAsia="zh-CN"/>
        </w:rPr>
        <w:t>1</w:t>
      </w:r>
      <w:r>
        <w:rPr>
          <w:rFonts w:hint="eastAsia" w:ascii="楷体_GB2312" w:hAnsi="楷体_GB2312" w:eastAsia="楷体_GB2312" w:cs="楷体_GB2312"/>
          <w:b/>
          <w:bCs/>
          <w:sz w:val="32"/>
          <w:szCs w:val="32"/>
        </w:rPr>
        <w:t>项：行政处罚9项，行政强制1项</w:t>
      </w: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行政检查1项</w:t>
      </w:r>
      <w:r>
        <w:rPr>
          <w:rFonts w:hint="eastAsia" w:ascii="楷体_GB2312" w:hAnsi="楷体_GB2312" w:eastAsia="楷体_GB2312" w:cs="楷体_GB2312"/>
          <w:b/>
          <w:bCs/>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1.行政处罚</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（1）对未经登记或</w:t>
      </w:r>
      <w:r>
        <w:rPr>
          <w:rFonts w:hint="eastAsia" w:ascii="仿宋_GB2312" w:hAnsi="仿宋_GB2312" w:eastAsia="仿宋_GB2312" w:cs="仿宋_GB2312"/>
          <w:color w:val="000000"/>
          <w:sz w:val="32"/>
          <w:szCs w:val="32"/>
        </w:rPr>
        <w:t>者被撤销</w:t>
      </w:r>
      <w:r>
        <w:rPr>
          <w:rFonts w:hint="eastAsia" w:ascii="仿宋_GB2312" w:hAnsi="仿宋_GB2312" w:eastAsia="仿宋_GB2312" w:cs="仿宋_GB2312"/>
          <w:sz w:val="32"/>
          <w:szCs w:val="32"/>
        </w:rPr>
        <w:t>登记后以基金会、基金会分支机构、基金会代表机构名义开展活动的处罚；</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rPr>
        <w:t>（2）对基金会、基金会分支机构、基金会代表机构在申请登记时弄虚作假骗取</w:t>
      </w:r>
      <w:r>
        <w:rPr>
          <w:rFonts w:hint="eastAsia" w:ascii="仿宋_GB2312" w:hAnsi="仿宋_GB2312" w:eastAsia="仿宋_GB2312" w:cs="仿宋_GB2312"/>
          <w:color w:val="000000"/>
          <w:sz w:val="32"/>
          <w:szCs w:val="32"/>
        </w:rPr>
        <w:t>登记，或者自取得登记证书之日起12个月内未按章程规定开展活动的处罚；</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（3）对基金会、基金会分支机构、基金会代表机构符合注销条件，不按照《基金会管理条例》规定办理注销登记仍继续开展活动的处罚；</w:t>
      </w:r>
    </w:p>
    <w:p>
      <w:pPr>
        <w:keepNext w:val="0"/>
        <w:keepLines w:val="0"/>
        <w:pageBreakBefore w:val="0"/>
        <w:widowControl w:val="0"/>
        <w:tabs>
          <w:tab w:val="left" w:pos="2001"/>
        </w:tabs>
        <w:kinsoku/>
        <w:wordWrap/>
        <w:overflowPunct/>
        <w:topLinePunct w:val="0"/>
        <w:autoSpaceDE/>
        <w:autoSpaceDN/>
        <w:bidi w:val="0"/>
        <w:adjustRightInd/>
        <w:snapToGrid/>
        <w:spacing w:line="580" w:lineRule="exact"/>
        <w:ind w:left="0" w:leftChars="0" w:firstLine="480" w:firstLineChars="15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（4）对基金会、基金会分支机构、基金会代表机构未按照章程规定的宗旨和公益活动的业务范围进行活动的处罚；</w:t>
      </w:r>
    </w:p>
    <w:p>
      <w:pPr>
        <w:keepNext w:val="0"/>
        <w:keepLines w:val="0"/>
        <w:pageBreakBefore w:val="0"/>
        <w:widowControl w:val="0"/>
        <w:tabs>
          <w:tab w:val="left" w:pos="200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（5）对基金会、基金会分支机构、基金会代表机构在填制会计凭证、登记会计账簿、编制财务会计报告中弄虚作假的处罚；</w:t>
      </w:r>
    </w:p>
    <w:p>
      <w:pPr>
        <w:keepNext w:val="0"/>
        <w:keepLines w:val="0"/>
        <w:pageBreakBefore w:val="0"/>
        <w:widowControl w:val="0"/>
        <w:tabs>
          <w:tab w:val="left" w:pos="200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（6）对基金会、基金会分支机构、基金会代表机构不按照规定办理变更登记的处罚；</w:t>
      </w:r>
    </w:p>
    <w:p>
      <w:pPr>
        <w:keepNext w:val="0"/>
        <w:keepLines w:val="0"/>
        <w:pageBreakBefore w:val="0"/>
        <w:widowControl w:val="0"/>
        <w:tabs>
          <w:tab w:val="left" w:pos="200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（7）对基金会、基金会分支机构、基金会代表机构未按照《基金会管理条例》规定完成公益事业支出额度的处罚；</w:t>
      </w:r>
    </w:p>
    <w:p>
      <w:pPr>
        <w:keepNext w:val="0"/>
        <w:keepLines w:val="0"/>
        <w:pageBreakBefore w:val="0"/>
        <w:widowControl w:val="0"/>
        <w:tabs>
          <w:tab w:val="left" w:pos="200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（8）对基金会、基金会分支机构、基金会代表机构未按照《基金会管理条例》规定接受年度检查，或者年度检查不合格的处罚；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（9）对基金会、基金会分支机构、基金会代表机构不履行信息公布义务或者公布虚假信息的处罚。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w:t>
      </w:r>
      <w:r>
        <w:rPr>
          <w:rFonts w:hint="eastAsia" w:ascii="仿宋_GB2312" w:hAnsi="仿宋_GB2312" w:eastAsia="仿宋_GB2312" w:cs="仿宋_GB2312"/>
          <w:bCs/>
          <w:sz w:val="32"/>
          <w:szCs w:val="32"/>
          <w:lang w:val="en-US" w:eastAsia="zh-CN"/>
        </w:rPr>
        <w:t>.</w:t>
      </w:r>
      <w:r>
        <w:rPr>
          <w:rFonts w:hint="eastAsia" w:ascii="仿宋_GB2312" w:hAnsi="仿宋_GB2312" w:eastAsia="仿宋_GB2312" w:cs="仿宋_GB2312"/>
          <w:bCs/>
          <w:sz w:val="32"/>
          <w:szCs w:val="32"/>
        </w:rPr>
        <w:t>行政强制</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（1）对被责令停止活动的基金会，封存其登记证书、印章和财务凭证。</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3.行政检查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（1）对基金会的监督检查。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二、</w:t>
      </w:r>
      <w:r>
        <w:rPr>
          <w:rFonts w:hint="eastAsia" w:ascii="黑体" w:hAnsi="黑体" w:eastAsia="黑体" w:cs="黑体"/>
          <w:sz w:val="32"/>
          <w:szCs w:val="32"/>
        </w:rPr>
        <w:t>养老服务</w:t>
      </w:r>
      <w:r>
        <w:rPr>
          <w:rFonts w:hint="eastAsia" w:ascii="黑体" w:hAnsi="黑体" w:eastAsia="黑体" w:cs="黑体"/>
          <w:sz w:val="32"/>
          <w:szCs w:val="32"/>
          <w:lang w:val="en-US" w:eastAsia="zh-CN"/>
        </w:rPr>
        <w:t>管理</w:t>
      </w:r>
      <w:r>
        <w:rPr>
          <w:rFonts w:hint="eastAsia" w:ascii="黑体" w:hAnsi="黑体" w:eastAsia="黑体" w:cs="黑体"/>
          <w:sz w:val="32"/>
          <w:szCs w:val="32"/>
        </w:rPr>
        <w:t>领域（共</w:t>
      </w:r>
      <w:r>
        <w:rPr>
          <w:rFonts w:hint="eastAsia" w:ascii="黑体" w:hAnsi="黑体" w:eastAsia="黑体" w:cs="黑体"/>
          <w:sz w:val="32"/>
          <w:szCs w:val="32"/>
          <w:lang w:val="en-US" w:eastAsia="zh-CN"/>
        </w:rPr>
        <w:t>3</w:t>
      </w:r>
      <w:r>
        <w:rPr>
          <w:rFonts w:hint="eastAsia" w:ascii="黑体" w:hAnsi="黑体" w:eastAsia="黑体" w:cs="黑体"/>
          <w:sz w:val="32"/>
          <w:szCs w:val="32"/>
        </w:rPr>
        <w:t>项</w:t>
      </w:r>
      <w:r>
        <w:rPr>
          <w:rFonts w:hint="eastAsia" w:ascii="黑体" w:hAnsi="黑体" w:eastAsia="黑体" w:cs="黑体"/>
          <w:sz w:val="32"/>
          <w:szCs w:val="32"/>
          <w:lang w:eastAsia="zh-CN"/>
        </w:rPr>
        <w:t>：</w:t>
      </w:r>
      <w:r>
        <w:rPr>
          <w:rFonts w:hint="eastAsia" w:ascii="黑体" w:hAnsi="黑体" w:eastAsia="黑体" w:cs="黑体"/>
          <w:sz w:val="32"/>
          <w:szCs w:val="32"/>
        </w:rPr>
        <w:t>行政处罚</w:t>
      </w:r>
      <w:r>
        <w:rPr>
          <w:rFonts w:hint="eastAsia" w:ascii="黑体" w:hAnsi="黑体" w:eastAsia="黑体" w:cs="黑体"/>
          <w:sz w:val="32"/>
          <w:szCs w:val="32"/>
          <w:lang w:val="en-US" w:eastAsia="zh-CN"/>
        </w:rPr>
        <w:t>2项，行政检查1项</w:t>
      </w:r>
      <w:r>
        <w:rPr>
          <w:rFonts w:hint="eastAsia" w:ascii="黑体" w:hAnsi="黑体" w:eastAsia="黑体" w:cs="黑体"/>
          <w:sz w:val="32"/>
          <w:szCs w:val="32"/>
        </w:rPr>
        <w:t>）</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rPr>
        <w:t>1.</w:t>
      </w:r>
      <w:r>
        <w:rPr>
          <w:rFonts w:hint="eastAsia" w:ascii="仿宋_GB2312" w:hAnsi="仿宋_GB2312" w:eastAsia="仿宋_GB2312" w:cs="仿宋_GB2312"/>
          <w:bCs/>
          <w:sz w:val="32"/>
          <w:szCs w:val="32"/>
          <w:lang w:val="en-US" w:eastAsia="zh-CN"/>
        </w:rPr>
        <w:t>行政处罚</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（1）对</w:t>
      </w:r>
      <w:r>
        <w:rPr>
          <w:rFonts w:hint="eastAsia" w:ascii="仿宋_GB2312" w:hAnsi="仿宋_GB2312" w:eastAsia="仿宋_GB2312" w:cs="仿宋_GB2312"/>
          <w:sz w:val="32"/>
          <w:szCs w:val="32"/>
        </w:rPr>
        <w:t>养老机构及其</w:t>
      </w:r>
      <w:r>
        <w:rPr>
          <w:rFonts w:hint="eastAsia" w:ascii="仿宋_GB2312" w:hAnsi="仿宋_GB2312" w:eastAsia="仿宋_GB2312" w:cs="仿宋_GB2312"/>
          <w:sz w:val="32"/>
          <w:szCs w:val="32"/>
          <w:lang w:val="en-US" w:eastAsia="zh-CN"/>
        </w:rPr>
        <w:t>工</w:t>
      </w:r>
      <w:r>
        <w:rPr>
          <w:rFonts w:hint="eastAsia" w:ascii="仿宋_GB2312" w:hAnsi="仿宋_GB2312" w:eastAsia="仿宋_GB2312" w:cs="仿宋_GB2312"/>
          <w:sz w:val="32"/>
          <w:szCs w:val="32"/>
        </w:rPr>
        <w:t>作人员侵害老年人人身和财产权益，或者未按照约定提供服务</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2）对</w:t>
      </w:r>
      <w:r>
        <w:rPr>
          <w:rFonts w:hint="eastAsia" w:ascii="仿宋_GB2312" w:hAnsi="仿宋_GB2312" w:eastAsia="仿宋_GB2312" w:cs="仿宋_GB2312"/>
          <w:sz w:val="32"/>
          <w:szCs w:val="32"/>
        </w:rPr>
        <w:t>养老机构未按规范和标准要求管理和服务</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2.行政检查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（1）对养老机构的监督检查。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rPr>
        <w:t>三、</w:t>
      </w:r>
      <w:r>
        <w:rPr>
          <w:rFonts w:hint="eastAsia" w:ascii="黑体" w:hAnsi="黑体" w:eastAsia="黑体" w:cs="黑体"/>
          <w:sz w:val="32"/>
          <w:szCs w:val="32"/>
          <w:lang w:val="en-US" w:eastAsia="zh-CN"/>
        </w:rPr>
        <w:t>儿童福利管理领域（共1项，均为行政检查）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1.对儿童福利机构的监督检查。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四、慈善组织管理领域（共28项：行政处罚26项，行政强制1项，行政检查1项）</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1.行政处罚</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慈善组织未按慈善宗旨开展活动</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慈善组织私分、挪用、截留或者侵占慈善财产</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慈善组织接受附加违反法律法规或者违背社会公德条件的捐赠，或者对受益人附加违反法律法规或者违背社会公德的条件</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慈善组织违反《中华人民共和国慈善法》第十四条规定造成慈善财产损失</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慈善组织将不得用于投资的财产用于投资</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6</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慈善组织擅自改变捐赠财产用途</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7</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慈善组织开展慈善活动的年度支出或者管理费用的标准违反《中华人民共和国慈善法》第六十条规定</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慈善组织未依法报送年度工作报告、财务会计报告或者报备募捐方案</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9</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慈善组织泄露捐赠人、志愿者、受益人个人隐私以及捐赠人、慈善信托的委托人不同意公开的姓名、名称、住所、通讯方式等信息</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10</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慈善组织有《中华人民共和国慈善法》第九十九条前两款规定的情形，经依法处理后一年内再出现前款规定的情形，或者有其他情节严重情形</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不具有公开募捐资格的慈善组织开展公开募捐</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慈善组织通过虚构事实等方式欺骗、诱导募捐对象实施捐赠</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13</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慈善组织向单位或者个人摊派或者变相摊派</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慈善组织妨碍公共秩序、企业生产经营或者居民生活</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慈善组织不依法向捐赠人开具捐赠票据、不依法向志愿者出具志愿服务记录证明或者不及时主动向捐赠人反馈有关情况</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16</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慈善组织弄虚作假骗取税收优惠情节严重</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17</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慈善组织从事、资助危害国家安全或者社会公共利益活动</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慈善组织伪造、变造、出租、出借公开募捐资格证书</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19</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慈善组织未依照《慈善组织公开募捐管理办法》进行备案</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慈善组织未按照募捐方案确定的时间、期限、地域范围、方式进行募捐</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慈善组织开展公开募捐未在募捐活动现场或者募捐活动载体的显著位置公布募捐活动信息</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慈善组织开展公开募捐取得的捐赠财产未纳入慈善组织统一核算和账户管理</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23</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慈善组织其他违反《慈善组织公开募捐管理办法》的情形</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24</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慈善信托的受托人将慈善信托财产及其收益用于非慈善目</w:t>
      </w:r>
      <w:r>
        <w:rPr>
          <w:rFonts w:hint="eastAsia" w:ascii="仿宋_GB2312" w:hAnsi="仿宋_GB2312" w:eastAsia="仿宋_GB2312" w:cs="仿宋_GB2312"/>
          <w:sz w:val="32"/>
          <w:szCs w:val="32"/>
          <w:lang w:val="en-US" w:eastAsia="zh-CN"/>
        </w:rPr>
        <w:t>的的处罚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慈善信托的受托人未按照规定将慈善信托事务处理情况及财务状况向民政部门报告或者向社会公开</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26</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基金会、社会团体、社会服务机构在申请慈善组织认定时弄虚作假</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2.行政强制</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r>
        <w:rPr>
          <w:rFonts w:hint="default" w:ascii="Times New Roman" w:hAnsi="Times New Roman" w:eastAsia="仿宋_GB2312" w:cstheme="minorBidi"/>
          <w:color w:val="000000"/>
          <w:kern w:val="2"/>
          <w:sz w:val="32"/>
          <w:szCs w:val="32"/>
          <w:lang w:val="en-US" w:eastAsia="zh-CN" w:bidi="ar-SA"/>
        </w:rPr>
        <w:t>对难以退还捐赠人的违法募捐活动募集的财产予以收缴，并转给其他慈善组织用于慈善目的</w:t>
      </w:r>
      <w:r>
        <w:rPr>
          <w:rFonts w:hint="eastAsia" w:ascii="Times New Roman" w:hAnsi="Times New Roman" w:eastAsia="仿宋_GB2312" w:cstheme="minorBidi"/>
          <w:color w:val="000000"/>
          <w:kern w:val="2"/>
          <w:sz w:val="32"/>
          <w:szCs w:val="32"/>
          <w:lang w:val="en-US" w:eastAsia="zh-CN" w:bidi="ar-SA"/>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3.行政检查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（1）对慈善组织及其活动的监督检查。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五、志愿服务管理领域（共4项，均为行政处罚）</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志愿服务组织泄露志愿者有关信息、侵害志愿服务对象个人隐私</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志愿服务组织、志愿者向志愿服务对象收取或者变相收取报酬</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志愿服务组织不依法记录志愿服务信息或者出具志愿服务记录证明</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shd w:val="clear" w:color="auto" w:fill="FFFFFF"/>
        <w:kinsoku/>
        <w:wordWrap/>
        <w:overflowPunct/>
        <w:topLinePunct w:val="0"/>
        <w:autoSpaceDE/>
        <w:autoSpaceDN/>
        <w:bidi w:val="0"/>
        <w:adjustRightInd/>
        <w:snapToGrid/>
        <w:spacing w:line="560" w:lineRule="exact"/>
        <w:ind w:left="0" w:leftChars="0"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spacing w:val="-11"/>
          <w:sz w:val="32"/>
          <w:szCs w:val="32"/>
          <w:lang w:val="en-US" w:eastAsia="zh-CN"/>
        </w:rPr>
        <w:t>对</w:t>
      </w:r>
      <w:r>
        <w:rPr>
          <w:rFonts w:hint="eastAsia" w:ascii="仿宋_GB2312" w:hAnsi="仿宋_GB2312" w:eastAsia="仿宋_GB2312" w:cs="仿宋_GB2312"/>
          <w:spacing w:val="-11"/>
          <w:sz w:val="32"/>
          <w:szCs w:val="32"/>
        </w:rPr>
        <w:t>组织和个人以志愿服务名义进行营利性活动</w:t>
      </w:r>
      <w:r>
        <w:rPr>
          <w:rFonts w:hint="eastAsia" w:ascii="仿宋_GB2312" w:hAnsi="仿宋_GB2312" w:eastAsia="仿宋_GB2312" w:cs="仿宋_GB2312"/>
          <w:spacing w:val="-11"/>
          <w:sz w:val="32"/>
          <w:szCs w:val="32"/>
          <w:lang w:val="en-US" w:eastAsia="zh-CN"/>
        </w:rPr>
        <w:t>的处</w:t>
      </w:r>
      <w:r>
        <w:rPr>
          <w:rFonts w:hint="eastAsia" w:ascii="仿宋_GB2312" w:hAnsi="仿宋_GB2312" w:eastAsia="仿宋_GB2312" w:cs="仿宋_GB2312"/>
          <w:sz w:val="32"/>
          <w:szCs w:val="32"/>
          <w:lang w:val="en-US" w:eastAsia="zh-CN"/>
        </w:rPr>
        <w:t>罚</w:t>
      </w:r>
      <w:r>
        <w:rPr>
          <w:rFonts w:hint="eastAsia" w:ascii="仿宋_GB2312" w:hAnsi="仿宋_GB2312" w:eastAsia="仿宋_GB2312" w:cs="仿宋_GB2312"/>
          <w:sz w:val="32"/>
          <w:szCs w:val="32"/>
        </w:rPr>
        <w:t>。</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六、区划地名管理领域（共4项：行政处罚3项，行政检查1项）</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rPr>
        <w:t>1.</w:t>
      </w:r>
      <w:r>
        <w:rPr>
          <w:rFonts w:hint="eastAsia" w:ascii="仿宋_GB2312" w:hAnsi="仿宋_GB2312" w:eastAsia="仿宋_GB2312" w:cs="仿宋_GB2312"/>
          <w:bCs/>
          <w:sz w:val="32"/>
          <w:szCs w:val="32"/>
          <w:lang w:val="en-US" w:eastAsia="zh-CN"/>
        </w:rPr>
        <w:t>行政处罚</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故意损毁或者擅自移动界桩或者其他行政区域界线标志物</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擅自编制行政区域界线详图，或者绘制的地图的行</w:t>
      </w:r>
      <w:r>
        <w:rPr>
          <w:rFonts w:hint="eastAsia" w:ascii="仿宋_GB2312" w:hAnsi="仿宋_GB2312" w:eastAsia="仿宋_GB2312" w:cs="仿宋_GB2312"/>
          <w:spacing w:val="-11"/>
          <w:sz w:val="32"/>
          <w:szCs w:val="32"/>
          <w:lang w:val="en-US" w:eastAsia="zh-CN"/>
        </w:rPr>
        <w:t>政区域界线的画法与行政区域界线详图的画法不一致的处</w:t>
      </w:r>
      <w:r>
        <w:rPr>
          <w:rFonts w:hint="eastAsia" w:ascii="仿宋_GB2312" w:hAnsi="仿宋_GB2312" w:eastAsia="仿宋_GB2312" w:cs="仿宋_GB2312"/>
          <w:sz w:val="32"/>
          <w:szCs w:val="32"/>
          <w:lang w:val="en-US" w:eastAsia="zh-CN"/>
        </w:rPr>
        <w:t>罚；</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（3）对</w:t>
      </w:r>
      <w:r>
        <w:rPr>
          <w:rFonts w:hint="eastAsia" w:ascii="仿宋_GB2312" w:hAnsi="仿宋_GB2312" w:eastAsia="仿宋_GB2312" w:cs="仿宋_GB2312"/>
          <w:sz w:val="32"/>
          <w:szCs w:val="32"/>
        </w:rPr>
        <w:t>擅自进行地名命名、更名</w:t>
      </w:r>
      <w:r>
        <w:rPr>
          <w:rFonts w:hint="eastAsia" w:ascii="仿宋_GB2312" w:hAnsi="仿宋_GB2312" w:eastAsia="仿宋_GB2312" w:cs="仿宋_GB2312"/>
          <w:sz w:val="32"/>
          <w:szCs w:val="32"/>
          <w:lang w:val="en-US" w:eastAsia="zh-CN"/>
        </w:rPr>
        <w:t>的处罚。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2.行政检查</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（1）对地名标志的监督检查。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七、彩票管理领域（共1项，均为行政处罚）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对违规销售彩票行为的处罚</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八、殡葬管理领域（共10项：行政处罚7项，行政检查3项）</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1.行政处罚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未经批准，擅自兴建殡葬设施的</w:t>
      </w:r>
      <w:r>
        <w:rPr>
          <w:rFonts w:hint="eastAsia" w:ascii="仿宋_GB2312" w:hAnsi="仿宋_GB2312" w:eastAsia="仿宋_GB2312" w:cs="仿宋_GB2312"/>
          <w:sz w:val="32"/>
          <w:szCs w:val="32"/>
          <w:lang w:val="en-US" w:eastAsia="zh-CN"/>
        </w:rPr>
        <w:t>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（2）对墓穴占地面积超过省、自治区、直辖市人民政府规定的标准的处罚</w:t>
      </w:r>
      <w:r>
        <w:rPr>
          <w:rFonts w:hint="eastAsia" w:ascii="仿宋_GB2312" w:hAnsi="仿宋_GB2312" w:eastAsia="仿宋_GB2312" w:cs="仿宋_GB2312"/>
          <w:sz w:val="32"/>
          <w:szCs w:val="32"/>
          <w:lang w:eastAsia="zh-CN"/>
        </w:rPr>
        <w:t>；</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办理丧事活动妨害公共秩序、危害公共安全、侵害他人合法权益的</w:t>
      </w:r>
      <w:r>
        <w:rPr>
          <w:rFonts w:hint="eastAsia" w:ascii="仿宋_GB2312" w:hAnsi="仿宋_GB2312" w:eastAsia="仿宋_GB2312" w:cs="仿宋_GB2312"/>
          <w:sz w:val="32"/>
          <w:szCs w:val="32"/>
          <w:lang w:val="en-US" w:eastAsia="zh-CN"/>
        </w:rPr>
        <w:t>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4）对</w:t>
      </w:r>
      <w:r>
        <w:rPr>
          <w:rFonts w:hint="eastAsia" w:ascii="仿宋_GB2312" w:hAnsi="仿宋_GB2312" w:eastAsia="仿宋_GB2312" w:cs="仿宋_GB2312"/>
          <w:sz w:val="32"/>
          <w:szCs w:val="32"/>
        </w:rPr>
        <w:t>从事非法经营性殡仪服务活动</w:t>
      </w:r>
      <w:r>
        <w:rPr>
          <w:rFonts w:hint="eastAsia" w:ascii="仿宋_GB2312" w:hAnsi="仿宋_GB2312" w:eastAsia="仿宋_GB2312" w:cs="仿宋_GB2312"/>
          <w:sz w:val="32"/>
          <w:szCs w:val="32"/>
          <w:lang w:val="en-US" w:eastAsia="zh-CN"/>
        </w:rPr>
        <w:t>的处罚；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对</w:t>
      </w:r>
      <w:r>
        <w:rPr>
          <w:rFonts w:hint="eastAsia" w:ascii="仿宋_GB2312" w:hAnsi="仿宋_GB2312" w:eastAsia="仿宋_GB2312" w:cs="仿宋_GB2312"/>
          <w:sz w:val="32"/>
          <w:szCs w:val="32"/>
        </w:rPr>
        <w:t>倒卖炒卖、传销或变相传销墓穴和骨灰存放格位的</w:t>
      </w:r>
      <w:r>
        <w:rPr>
          <w:rFonts w:hint="eastAsia" w:ascii="仿宋_GB2312" w:hAnsi="仿宋_GB2312" w:eastAsia="仿宋_GB2312" w:cs="仿宋_GB2312"/>
          <w:sz w:val="32"/>
          <w:szCs w:val="32"/>
          <w:lang w:val="en-US" w:eastAsia="zh-CN"/>
        </w:rPr>
        <w:t>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对</w:t>
      </w:r>
      <w:r>
        <w:rPr>
          <w:rFonts w:hint="eastAsia" w:ascii="仿宋_GB2312" w:hAnsi="仿宋_GB2312" w:eastAsia="仿宋_GB2312" w:cs="仿宋_GB2312"/>
          <w:spacing w:val="-11"/>
          <w:sz w:val="32"/>
          <w:szCs w:val="32"/>
          <w:lang w:val="en-US" w:eastAsia="zh-CN"/>
        </w:rPr>
        <w:t>制造、销售不符合国家技术标准的殡葬设备的处</w:t>
      </w:r>
      <w:r>
        <w:rPr>
          <w:rFonts w:hint="eastAsia" w:ascii="仿宋_GB2312" w:hAnsi="仿宋_GB2312" w:eastAsia="仿宋_GB2312" w:cs="仿宋_GB2312"/>
          <w:sz w:val="32"/>
          <w:szCs w:val="32"/>
        </w:rPr>
        <w:t>罚</w:t>
      </w:r>
      <w:r>
        <w:rPr>
          <w:rFonts w:hint="eastAsia" w:ascii="仿宋_GB2312" w:hAnsi="仿宋_GB2312" w:eastAsia="仿宋_GB2312" w:cs="仿宋_GB2312"/>
          <w:sz w:val="32"/>
          <w:szCs w:val="32"/>
          <w:lang w:eastAsia="zh-CN"/>
        </w:rPr>
        <w:t>；</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（7）对</w:t>
      </w:r>
      <w:r>
        <w:rPr>
          <w:rFonts w:hint="eastAsia" w:ascii="仿宋_GB2312" w:hAnsi="仿宋_GB2312" w:eastAsia="仿宋_GB2312" w:cs="仿宋_GB2312"/>
          <w:sz w:val="32"/>
          <w:szCs w:val="32"/>
        </w:rPr>
        <w:t>制造、销售封建迷信殡葬用品的</w:t>
      </w:r>
      <w:r>
        <w:rPr>
          <w:rFonts w:hint="eastAsia" w:ascii="仿宋_GB2312" w:hAnsi="仿宋_GB2312" w:eastAsia="仿宋_GB2312" w:cs="仿宋_GB2312"/>
          <w:sz w:val="32"/>
          <w:szCs w:val="32"/>
          <w:lang w:val="en-US" w:eastAsia="zh-CN"/>
        </w:rPr>
        <w:t>处罚</w:t>
      </w:r>
      <w:r>
        <w:rPr>
          <w:rFonts w:hint="eastAsia" w:ascii="仿宋_GB2312" w:hAnsi="仿宋_GB2312" w:eastAsia="仿宋_GB2312" w:cs="仿宋_GB2312"/>
          <w:sz w:val="32"/>
          <w:szCs w:val="32"/>
          <w:lang w:eastAsia="zh-CN"/>
        </w:rPr>
        <w:t>。</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sz w:val="32"/>
          <w:szCs w:val="32"/>
        </w:rPr>
        <w:t>2.</w:t>
      </w:r>
      <w:r>
        <w:rPr>
          <w:rFonts w:hint="eastAsia" w:ascii="仿宋_GB2312" w:hAnsi="仿宋_GB2312" w:eastAsia="仿宋_GB2312" w:cs="仿宋_GB2312"/>
          <w:bCs/>
          <w:sz w:val="32"/>
          <w:szCs w:val="32"/>
          <w:lang w:val="en-US" w:eastAsia="zh-CN"/>
        </w:rPr>
        <w:t>行政检查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（1）对制造、销售丧葬用品的单位和个人的监督检查；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（2）对公墓建设和经营活动的监督检查；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（3）对殡葬事业单位的监督检查。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九、社会救助管理领域（共2项：行政处罚1项，行政检查1项）</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1.行政处罚</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（1）对</w:t>
      </w:r>
      <w:r>
        <w:rPr>
          <w:rFonts w:hint="eastAsia" w:ascii="仿宋_GB2312" w:hAnsi="仿宋_GB2312" w:eastAsia="仿宋_GB2312" w:cs="仿宋_GB2312"/>
          <w:sz w:val="32"/>
          <w:szCs w:val="32"/>
        </w:rPr>
        <w:t>采取虚报、隐瞒、伪造等手段，骗取社会救助资金、物资或者服务</w:t>
      </w:r>
      <w:r>
        <w:rPr>
          <w:rFonts w:hint="eastAsia" w:ascii="仿宋_GB2312" w:hAnsi="仿宋_GB2312" w:eastAsia="仿宋_GB2312" w:cs="仿宋_GB2312"/>
          <w:sz w:val="32"/>
          <w:szCs w:val="32"/>
          <w:lang w:val="en-US" w:eastAsia="zh-CN"/>
        </w:rPr>
        <w:t>的处罚</w:t>
      </w:r>
      <w:r>
        <w:rPr>
          <w:rFonts w:hint="eastAsia" w:ascii="仿宋_GB2312" w:hAnsi="仿宋_GB2312" w:eastAsia="仿宋_GB2312" w:cs="仿宋_GB2312"/>
          <w:sz w:val="32"/>
          <w:szCs w:val="32"/>
          <w:lang w:eastAsia="zh-CN"/>
        </w:rPr>
        <w:t>。</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640"/>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2.行政检查</w:t>
      </w:r>
    </w:p>
    <w:p>
      <w:pPr>
        <w:keepNext w:val="0"/>
        <w:keepLines w:val="0"/>
        <w:pageBreakBefore w:val="0"/>
        <w:widowControl w:val="0"/>
        <w:tabs>
          <w:tab w:val="left" w:pos="2031"/>
        </w:tabs>
        <w:kinsoku/>
        <w:wordWrap/>
        <w:overflowPunct/>
        <w:topLinePunct w:val="0"/>
        <w:autoSpaceDE/>
        <w:autoSpaceDN/>
        <w:bidi w:val="0"/>
        <w:adjustRightInd/>
        <w:snapToGrid/>
        <w:spacing w:line="560" w:lineRule="exact"/>
        <w:ind w:left="0" w:leftChars="0" w:firstLine="480" w:firstLineChars="15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（1）对社会救助工作的监督检查。</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jc w:val="center"/>
        <w:textAlignment w:val="auto"/>
        <w:rPr>
          <w:rFonts w:hint="eastAsia" w:ascii="仿宋_GB2312" w:hAnsi="仿宋_GB2312" w:eastAsia="仿宋_GB2312" w:cs="仿宋_GB2312"/>
          <w:b w:val="0"/>
          <w:kern w:val="2"/>
          <w:sz w:val="32"/>
          <w:szCs w:val="32"/>
          <w:lang w:val="en-US" w:eastAsia="zh-CN" w:bidi="ar-SA"/>
        </w:rPr>
      </w:pP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jc w:val="center"/>
        <w:textAlignment w:val="auto"/>
        <w:rPr>
          <w:rFonts w:hint="eastAsia" w:ascii="仿宋_GB2312" w:hAnsi="仿宋_GB2312" w:eastAsia="仿宋_GB2312" w:cs="仿宋_GB2312"/>
          <w:b w:val="0"/>
          <w:kern w:val="2"/>
          <w:sz w:val="32"/>
          <w:szCs w:val="32"/>
          <w:lang w:val="en-US" w:eastAsia="zh-CN" w:bidi="ar-SA"/>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r>
        <w:rPr>
          <w:rFonts w:hint="eastAsia" w:ascii="方正小标宋简体" w:hAnsi="方正小标宋简体" w:eastAsia="方正小标宋简体" w:cs="方正小标宋简体"/>
          <w:b/>
          <w:bCs/>
          <w:kern w:val="2"/>
          <w:sz w:val="44"/>
          <w:szCs w:val="44"/>
          <w:lang w:val="en-US" w:eastAsia="zh-CN" w:bidi="ar-SA"/>
        </w:rPr>
        <w:t>衡南县民政局行政处罚裁量权基准制度</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jc w:val="left"/>
        <w:textAlignment w:val="auto"/>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 xml:space="preserve">  </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第一条</w:t>
      </w:r>
      <w:r>
        <w:rPr>
          <w:rFonts w:hint="eastAsia" w:ascii="仿宋_GB2312" w:hAnsi="仿宋_GB2312" w:eastAsia="仿宋_GB2312" w:cs="仿宋_GB2312"/>
          <w:color w:val="auto"/>
          <w:kern w:val="0"/>
          <w:sz w:val="32"/>
          <w:szCs w:val="32"/>
        </w:rPr>
        <w:t xml:space="preserve"> </w:t>
      </w:r>
      <w:r>
        <w:rPr>
          <w:rFonts w:hint="eastAsia" w:ascii="仿宋_GB2312" w:hAnsi="仿宋_GB2312" w:eastAsia="仿宋_GB2312"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为进一步规范民政行政处罚裁量</w:t>
      </w:r>
      <w:r>
        <w:rPr>
          <w:rFonts w:hint="eastAsia" w:ascii="仿宋_GB2312" w:hAnsi="仿宋_GB2312" w:eastAsia="仿宋_GB2312" w:cs="仿宋_GB2312"/>
          <w:color w:val="auto"/>
          <w:kern w:val="0"/>
          <w:sz w:val="32"/>
          <w:szCs w:val="32"/>
          <w:lang w:val="en-US" w:eastAsia="zh-CN"/>
        </w:rPr>
        <w:t>权的行使</w:t>
      </w:r>
      <w:r>
        <w:rPr>
          <w:rFonts w:hint="eastAsia" w:ascii="仿宋_GB2312" w:hAnsi="仿宋_GB2312" w:eastAsia="仿宋_GB2312" w:cs="仿宋_GB2312"/>
          <w:color w:val="auto"/>
          <w:kern w:val="0"/>
          <w:sz w:val="32"/>
          <w:szCs w:val="32"/>
        </w:rPr>
        <w:t>，保护公民、法人和其他组织的合法权益，根据《中华人民共和国行政处罚法》等法律法规规章规定，结合我</w:t>
      </w:r>
      <w:r>
        <w:rPr>
          <w:rFonts w:hint="eastAsia" w:ascii="仿宋_GB2312" w:hAnsi="仿宋_GB2312" w:eastAsia="仿宋_GB2312" w:cs="仿宋_GB2312"/>
          <w:color w:val="auto"/>
          <w:kern w:val="0"/>
          <w:sz w:val="32"/>
          <w:szCs w:val="32"/>
          <w:lang w:eastAsia="zh-CN"/>
        </w:rPr>
        <w:t>县</w:t>
      </w:r>
      <w:r>
        <w:rPr>
          <w:rFonts w:hint="eastAsia" w:ascii="仿宋_GB2312" w:hAnsi="仿宋_GB2312" w:eastAsia="仿宋_GB2312" w:cs="仿宋_GB2312"/>
          <w:color w:val="auto"/>
          <w:kern w:val="0"/>
          <w:sz w:val="32"/>
          <w:szCs w:val="32"/>
        </w:rPr>
        <w:t>民政行政处罚工作实际，制定本</w:t>
      </w:r>
      <w:r>
        <w:rPr>
          <w:rFonts w:hint="eastAsia" w:ascii="仿宋_GB2312" w:hAnsi="仿宋_GB2312" w:eastAsia="仿宋_GB2312" w:cs="仿宋_GB2312"/>
          <w:color w:val="auto"/>
          <w:kern w:val="0"/>
          <w:sz w:val="32"/>
          <w:szCs w:val="32"/>
          <w:lang w:val="en-US" w:eastAsia="zh-CN"/>
        </w:rPr>
        <w:t>制度</w:t>
      </w:r>
      <w:r>
        <w:rPr>
          <w:rFonts w:hint="eastAsia" w:ascii="仿宋_GB2312" w:hAnsi="仿宋_GB2312" w:eastAsia="仿宋_GB2312" w:cs="仿宋_GB2312"/>
          <w:color w:val="auto"/>
          <w:kern w:val="0"/>
          <w:sz w:val="32"/>
          <w:szCs w:val="32"/>
        </w:rPr>
        <w:t>。</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第二条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color w:val="auto"/>
          <w:kern w:val="0"/>
          <w:sz w:val="32"/>
          <w:szCs w:val="32"/>
        </w:rPr>
        <w:t>本</w:t>
      </w:r>
      <w:r>
        <w:rPr>
          <w:rFonts w:hint="eastAsia" w:ascii="仿宋_GB2312" w:hAnsi="仿宋_GB2312" w:eastAsia="仿宋_GB2312" w:cs="仿宋_GB2312"/>
          <w:color w:val="auto"/>
          <w:kern w:val="0"/>
          <w:sz w:val="32"/>
          <w:szCs w:val="32"/>
          <w:lang w:val="en-US" w:eastAsia="zh-CN"/>
        </w:rPr>
        <w:t>制度</w:t>
      </w:r>
      <w:r>
        <w:rPr>
          <w:rFonts w:hint="eastAsia" w:ascii="仿宋_GB2312" w:hAnsi="仿宋_GB2312" w:eastAsia="仿宋_GB2312" w:cs="仿宋_GB2312"/>
          <w:color w:val="auto"/>
          <w:kern w:val="0"/>
          <w:sz w:val="32"/>
          <w:szCs w:val="32"/>
        </w:rPr>
        <w:t>所称的</w:t>
      </w:r>
      <w:r>
        <w:rPr>
          <w:rFonts w:hint="eastAsia" w:ascii="仿宋_GB2312" w:hAnsi="仿宋_GB2312" w:eastAsia="仿宋_GB2312" w:cs="仿宋_GB2312"/>
          <w:color w:val="auto"/>
          <w:kern w:val="0"/>
          <w:sz w:val="32"/>
          <w:szCs w:val="32"/>
          <w:lang w:eastAsia="zh-CN"/>
        </w:rPr>
        <w:t>行政处罚裁量权基准</w:t>
      </w:r>
      <w:r>
        <w:rPr>
          <w:rFonts w:hint="eastAsia" w:ascii="仿宋_GB2312" w:hAnsi="仿宋_GB2312" w:eastAsia="仿宋_GB2312" w:cs="仿宋_GB2312"/>
          <w:color w:val="auto"/>
          <w:kern w:val="0"/>
          <w:sz w:val="32"/>
          <w:szCs w:val="32"/>
        </w:rPr>
        <w:t>，是指</w:t>
      </w:r>
      <w:r>
        <w:rPr>
          <w:rFonts w:hint="eastAsia" w:ascii="仿宋_GB2312" w:hAnsi="仿宋_GB2312" w:eastAsia="仿宋_GB2312" w:cs="仿宋_GB2312"/>
          <w:color w:val="auto"/>
          <w:kern w:val="0"/>
          <w:sz w:val="32"/>
          <w:szCs w:val="32"/>
          <w:lang w:eastAsia="zh-CN"/>
        </w:rPr>
        <w:t>县</w:t>
      </w:r>
      <w:r>
        <w:rPr>
          <w:rFonts w:hint="eastAsia" w:ascii="仿宋_GB2312" w:hAnsi="仿宋_GB2312" w:eastAsia="仿宋_GB2312" w:cs="仿宋_GB2312"/>
          <w:color w:val="auto"/>
          <w:kern w:val="0"/>
          <w:sz w:val="32"/>
          <w:szCs w:val="32"/>
        </w:rPr>
        <w:t>民政部门依法行使民政行政处罚权时，在法律、法规、规章规定的裁量范围内，对公民、法人和其他组织违反行政管理秩序的行为，视违法情节、手段、后果等因素，据以确定是否处罚，以及做出何种类别、幅度的处罚及其具体适用情形的细化、量化标准。</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第三条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kern w:val="0"/>
          <w:sz w:val="32"/>
          <w:szCs w:val="32"/>
        </w:rPr>
        <w:t xml:space="preserve"> 行使</w:t>
      </w:r>
      <w:r>
        <w:rPr>
          <w:rFonts w:hint="eastAsia" w:ascii="仿宋_GB2312" w:hAnsi="仿宋_GB2312" w:eastAsia="仿宋_GB2312" w:cs="仿宋_GB2312"/>
          <w:color w:val="auto"/>
          <w:kern w:val="0"/>
          <w:sz w:val="32"/>
          <w:szCs w:val="32"/>
          <w:lang w:eastAsia="zh-CN"/>
        </w:rPr>
        <w:t>行政处罚裁量权基准</w:t>
      </w:r>
      <w:r>
        <w:rPr>
          <w:rFonts w:hint="eastAsia" w:ascii="仿宋_GB2312" w:hAnsi="仿宋_GB2312" w:eastAsia="仿宋_GB2312" w:cs="仿宋_GB2312"/>
          <w:color w:val="auto"/>
          <w:kern w:val="0"/>
          <w:sz w:val="32"/>
          <w:szCs w:val="32"/>
        </w:rPr>
        <w:t>应当遵循公正公平公开原则、过罚相当原则、处罚与教育相结合原则，依法维护公民、法人和其他组织的合法权益，确保</w:t>
      </w:r>
      <w:r>
        <w:rPr>
          <w:rFonts w:hint="eastAsia" w:ascii="仿宋_GB2312" w:hAnsi="仿宋_GB2312" w:eastAsia="仿宋_GB2312" w:cs="仿宋_GB2312"/>
          <w:color w:val="auto"/>
          <w:kern w:val="0"/>
          <w:sz w:val="32"/>
          <w:szCs w:val="32"/>
          <w:lang w:eastAsia="zh-CN"/>
        </w:rPr>
        <w:t>行政处罚裁量权基准</w:t>
      </w:r>
      <w:r>
        <w:rPr>
          <w:rFonts w:hint="eastAsia" w:ascii="仿宋_GB2312" w:hAnsi="仿宋_GB2312" w:eastAsia="仿宋_GB2312" w:cs="仿宋_GB2312"/>
          <w:color w:val="auto"/>
          <w:kern w:val="0"/>
          <w:sz w:val="32"/>
          <w:szCs w:val="32"/>
        </w:rPr>
        <w:t>行使的合法性、合理性。</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第四条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color w:val="auto"/>
          <w:kern w:val="0"/>
          <w:sz w:val="32"/>
          <w:szCs w:val="32"/>
        </w:rPr>
        <w:t>在实施行政处罚时，对违法主体、性质、情节相同或相似的案件，适用的法律依据、处罚种类及处罚幅度应当基本相当。</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对当事人的同一个违法行为，不得给予两次以上罚款的行政处罚。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第五条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color w:val="auto"/>
          <w:kern w:val="0"/>
          <w:sz w:val="32"/>
          <w:szCs w:val="32"/>
        </w:rPr>
        <w:t>法律、法规、规章规定的处罚种类可以单处或可以并处的，可以选择适用;对规定应当并处或应当先没收违法所得再作其他处罚的，不得选择适用。</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法律、法规、规章明确规定的应当责令改正的违法行为，必须要求限期改正；逾期不改正的，再依法作出其他行政处罚。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第六条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kern w:val="0"/>
          <w:sz w:val="32"/>
          <w:szCs w:val="32"/>
        </w:rPr>
        <w:t>同一违法行为违反了不同的法律规范，在适用法律时应当按照顺序遵循下列原则：</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（一）效力高的法律规范优先适用；</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（二）法律规范效力相同，有特别规定的优先适用；</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（三）法律规范效力相同，生效时间在后的优先适用。</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 xml:space="preserve">第七条 </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kern w:val="0"/>
          <w:sz w:val="32"/>
          <w:szCs w:val="32"/>
        </w:rPr>
        <w:t>根据违法行为的事实、性质、情节、社会危害程度和主观过错等因素，违法行为可分为轻微违法行为、一般违法行为、严重违法行为。</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按照法律、法规、规章设定的处罚幅度，行政处罚可分为不予处罚、从轻处罚、减轻处罚、一般处罚、从重处罚。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第八条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kern w:val="0"/>
          <w:sz w:val="32"/>
          <w:szCs w:val="32"/>
        </w:rPr>
        <w:t xml:space="preserve"> 不予处罚是指违法行为轻微并及时纠正，没有造成危害后果的，不予行政处罚。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从轻处罚是指根据查清的当事人的违法事实、性质、情节，在法律、法规、规章规定的处罚种类和幅度范围内给予较轻的行政处罚。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减轻处罚是指根据查清的当事人的违法事实、性质、情节，在法律、法规、规章规定的处罚幅度以下给予行政处罚。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从重处罚是指根据查清的当事人的违法事实、性质、情节，在法律、法规、规章规定的处罚种类和幅度范围内给予较重的行政处罚。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第九条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kern w:val="0"/>
          <w:sz w:val="32"/>
          <w:szCs w:val="32"/>
        </w:rPr>
        <w:t xml:space="preserve"> 当事人有下列情形之一的，依法不予行政处罚：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（一）违法行为轻微并及时纠正，没有造成危害后果的；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（二）证据不足，违法事实不能成立的；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（三）不满十四周岁的人实施违法行为的；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（四）精神病人在不能辨认或者不能控制自己行为时实施违法行为的；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（五）违法行为在二年内未被发现的，但法律另有规定的除外；</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（六）其他依法不予行政处罚的。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color w:val="auto"/>
          <w:kern w:val="0"/>
          <w:sz w:val="32"/>
          <w:szCs w:val="32"/>
        </w:rPr>
        <w:t>当事人有下列情形之一的，应当依法从轻或减轻行政处罚：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（一）已满十四周岁不满十八周岁，有违法行为的；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（二）主动消除或者减轻违法行为危害后果的；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（三）受他人胁迫有违法行为的；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（四）配合行政机关查处违法行为有立功表现的；</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（五）法律、法规、规章规定从轻或者减轻处罚的其他情形。</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第十一条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color w:val="auto"/>
          <w:kern w:val="0"/>
          <w:sz w:val="32"/>
          <w:szCs w:val="32"/>
        </w:rPr>
        <w:t>在法律、法规和规章规定的处罚范围内，按照以下规定实施处罚：</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（一）罚款幅度的适用。行政处罚中适用罚款的，在法定幅度内将罚款数额分为较小数额的罚款、一般数额的罚款、较大数额的罚款三个层次。</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二）处罚种类的适用。严重违法行为适用的处罚种类包括责令改正或限期停止活动、取缔、撤销登记、较大数额的罚款；一般违法行为适用的处罚种类包括没收违法所得、没收非法财物、一般数额罚款；轻微违法行为适用的处罚种类包括较小数额的罚款和警告，依法不予行政处罚的除外。</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第十二条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kern w:val="0"/>
          <w:sz w:val="32"/>
          <w:szCs w:val="32"/>
        </w:rPr>
        <w:t xml:space="preserve"> 实施行政处罚时，应当依法告知当事人违法事实、法律依据、处罚理由及享有的陈述权、申辩权、申请听证权和请求回避权等内容，听取当事人的意见；对当事人提出的事实、理由和证据，应当进行复核；当事人提出的事实、理由或者证据成立的，应当采纳。</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第十三条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kern w:val="0"/>
          <w:sz w:val="32"/>
          <w:szCs w:val="32"/>
        </w:rPr>
        <w:t xml:space="preserve"> 在案件调查终结报告、行政处罚建议、行政处罚决定书或者其他处理决定中，应当将裁量的情况进行表述；对选择的处罚阶次，应当说明理由；在行政处罚决定书中除说明裁量理由外，还应当说明证据采信理由、处罚依据选择理由。</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 xml:space="preserve">第十四条 </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kern w:val="0"/>
          <w:sz w:val="32"/>
          <w:szCs w:val="32"/>
        </w:rPr>
        <w:t>当事人认为行政处罚实施机关违法或者不当行使行政处罚权的，可以依法申请行政复议或者提起行政诉讼。</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第十五条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黑体" w:hAnsi="黑体" w:eastAsia="黑体" w:cs="黑体"/>
          <w:i w:val="0"/>
          <w:caps w:val="0"/>
          <w:color w:val="auto"/>
          <w:spacing w:val="0"/>
          <w:kern w:val="0"/>
          <w:sz w:val="32"/>
          <w:szCs w:val="32"/>
          <w:shd w:val="clear" w:fill="FFFFFF"/>
          <w:lang w:val="zh-CN" w:eastAsia="zh-CN" w:bidi="ar"/>
        </w:rPr>
        <w:t xml:space="preserve"> </w:t>
      </w:r>
      <w:r>
        <w:rPr>
          <w:rFonts w:hint="eastAsia" w:ascii="仿宋_GB2312" w:hAnsi="仿宋_GB2312" w:eastAsia="仿宋_GB2312" w:cs="仿宋_GB2312"/>
          <w:color w:val="auto"/>
          <w:kern w:val="0"/>
          <w:sz w:val="32"/>
          <w:szCs w:val="32"/>
        </w:rPr>
        <w:t>行政执法人员徇私舞弊、滥用裁量权的，其所在部门应当给予批评教育，并提请行政执法证件核发部门收回其行政执法证件、取消其执法资格；情节严重的，依法对直接负责的主管人员和直接责任人员视情节调离执法岗位或给予行政处分；涉嫌犯罪的，依法移送司法机关处理。</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第十六条</w:t>
      </w:r>
      <w:r>
        <w:rPr>
          <w:rFonts w:hint="eastAsia" w:ascii="仿宋_GB2312" w:hAnsi="仿宋_GB2312" w:eastAsia="仿宋_GB2312" w:cs="仿宋_GB2312"/>
          <w:color w:val="auto"/>
          <w:kern w:val="0"/>
          <w:sz w:val="32"/>
          <w:szCs w:val="32"/>
        </w:rPr>
        <w:t xml:space="preserve"> </w:t>
      </w:r>
      <w:r>
        <w:rPr>
          <w:rFonts w:hint="eastAsia" w:ascii="仿宋_GB2312" w:hAnsi="仿宋_GB2312" w:eastAsia="仿宋_GB2312"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本</w:t>
      </w:r>
      <w:r>
        <w:rPr>
          <w:rFonts w:hint="eastAsia" w:ascii="仿宋_GB2312" w:hAnsi="仿宋_GB2312" w:eastAsia="仿宋_GB2312" w:cs="仿宋_GB2312"/>
          <w:color w:val="auto"/>
          <w:kern w:val="0"/>
          <w:sz w:val="32"/>
          <w:szCs w:val="32"/>
          <w:lang w:val="en-US" w:eastAsia="zh-CN"/>
        </w:rPr>
        <w:t>制度</w:t>
      </w:r>
      <w:r>
        <w:rPr>
          <w:rFonts w:hint="eastAsia" w:ascii="仿宋_GB2312" w:hAnsi="仿宋_GB2312" w:eastAsia="仿宋_GB2312" w:cs="仿宋_GB2312"/>
          <w:color w:val="auto"/>
          <w:kern w:val="0"/>
          <w:sz w:val="32"/>
          <w:szCs w:val="32"/>
        </w:rPr>
        <w:t>所称的“以上”、“以下”包含本数。</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第十七条</w:t>
      </w:r>
      <w:r>
        <w:rPr>
          <w:rFonts w:hint="eastAsia" w:ascii="黑体" w:hAnsi="黑体" w:eastAsia="黑体" w:cs="黑体"/>
          <w:i w:val="0"/>
          <w:caps w:val="0"/>
          <w:color w:val="auto"/>
          <w:spacing w:val="0"/>
          <w:kern w:val="0"/>
          <w:sz w:val="32"/>
          <w:szCs w:val="32"/>
          <w:shd w:val="clear" w:fill="FFFFFF"/>
          <w:lang w:val="en-US" w:eastAsia="zh-CN" w:bidi="ar"/>
        </w:rPr>
        <w:t xml:space="preserve"> </w:t>
      </w:r>
      <w:r>
        <w:rPr>
          <w:rFonts w:hint="eastAsia" w:ascii="仿宋_GB2312" w:hAnsi="仿宋_GB2312" w:eastAsia="仿宋_GB2312" w:cs="仿宋_GB2312"/>
          <w:color w:val="auto"/>
          <w:kern w:val="0"/>
          <w:sz w:val="32"/>
          <w:szCs w:val="32"/>
        </w:rPr>
        <w:t xml:space="preserve"> </w:t>
      </w:r>
      <w:r>
        <w:rPr>
          <w:rFonts w:hint="eastAsia" w:ascii="仿宋_GB2312" w:hAnsi="仿宋_GB2312" w:eastAsia="仿宋_GB2312" w:cs="仿宋_GB2312"/>
          <w:color w:val="auto"/>
          <w:kern w:val="0"/>
          <w:sz w:val="32"/>
          <w:szCs w:val="32"/>
          <w:lang w:eastAsia="zh-CN"/>
        </w:rPr>
        <w:t>行政处罚裁量权基准</w:t>
      </w:r>
      <w:r>
        <w:rPr>
          <w:rFonts w:hint="eastAsia" w:ascii="仿宋_GB2312" w:hAnsi="仿宋_GB2312" w:eastAsia="仿宋_GB2312" w:cs="仿宋_GB2312"/>
          <w:color w:val="auto"/>
          <w:kern w:val="0"/>
          <w:sz w:val="32"/>
          <w:szCs w:val="32"/>
        </w:rPr>
        <w:t>的制定机关应当根据法律、法规和规章的调整情况或者执法工作实际，及时修订</w:t>
      </w:r>
      <w:r>
        <w:rPr>
          <w:rFonts w:hint="eastAsia" w:ascii="仿宋_GB2312" w:hAnsi="仿宋_GB2312" w:eastAsia="仿宋_GB2312" w:cs="仿宋_GB2312"/>
          <w:color w:val="auto"/>
          <w:kern w:val="0"/>
          <w:sz w:val="32"/>
          <w:szCs w:val="32"/>
          <w:lang w:eastAsia="zh-CN"/>
        </w:rPr>
        <w:t>行政处罚裁量权基准</w:t>
      </w:r>
      <w:r>
        <w:rPr>
          <w:rFonts w:hint="eastAsia" w:ascii="仿宋_GB2312" w:hAnsi="仿宋_GB2312" w:eastAsia="仿宋_GB2312" w:cs="仿宋_GB2312"/>
          <w:color w:val="auto"/>
          <w:kern w:val="0"/>
          <w:sz w:val="32"/>
          <w:szCs w:val="32"/>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5"/>
        <w:jc w:val="left"/>
        <w:textAlignment w:val="auto"/>
        <w:rPr>
          <w:rFonts w:hint="eastAsia" w:ascii="仿宋_GB2312" w:hAnsi="仿宋_GB2312" w:eastAsia="仿宋_GB2312" w:cs="仿宋_GB2312"/>
          <w:color w:val="auto"/>
          <w:kern w:val="0"/>
          <w:sz w:val="32"/>
          <w:szCs w:val="32"/>
        </w:rPr>
      </w:pPr>
      <w:r>
        <w:rPr>
          <w:rFonts w:hint="eastAsia" w:ascii="黑体" w:hAnsi="黑体" w:eastAsia="黑体" w:cs="黑体"/>
          <w:i w:val="0"/>
          <w:caps w:val="0"/>
          <w:color w:val="auto"/>
          <w:spacing w:val="0"/>
          <w:kern w:val="0"/>
          <w:sz w:val="32"/>
          <w:szCs w:val="32"/>
          <w:shd w:val="clear" w:fill="FFFFFF"/>
          <w:lang w:val="zh-CN" w:eastAsia="zh-CN" w:bidi="ar"/>
        </w:rPr>
        <w:t>第十八条</w:t>
      </w:r>
      <w:r>
        <w:rPr>
          <w:rFonts w:hint="eastAsia" w:ascii="仿宋_GB2312" w:hAnsi="仿宋_GB2312" w:eastAsia="仿宋_GB2312" w:cs="仿宋_GB2312"/>
          <w:color w:val="auto"/>
          <w:kern w:val="0"/>
          <w:sz w:val="32"/>
          <w:szCs w:val="32"/>
        </w:rPr>
        <w:t xml:space="preserve"> </w:t>
      </w:r>
      <w:r>
        <w:rPr>
          <w:rFonts w:hint="eastAsia" w:ascii="仿宋_GB2312" w:hAnsi="仿宋_GB2312" w:eastAsia="仿宋_GB2312" w:cs="仿宋_GB2312"/>
          <w:color w:val="auto"/>
          <w:kern w:val="0"/>
          <w:sz w:val="32"/>
          <w:szCs w:val="32"/>
          <w:lang w:val="en-US" w:eastAsia="zh-CN"/>
        </w:rPr>
        <w:t xml:space="preserve"> </w:t>
      </w:r>
      <w:r>
        <w:rPr>
          <w:rFonts w:hint="eastAsia" w:ascii="仿宋_GB2312" w:hAnsi="仿宋_GB2312" w:eastAsia="仿宋_GB2312" w:cs="仿宋_GB2312"/>
          <w:color w:val="auto"/>
          <w:kern w:val="0"/>
          <w:sz w:val="32"/>
          <w:szCs w:val="32"/>
        </w:rPr>
        <w:t>本</w:t>
      </w:r>
      <w:r>
        <w:rPr>
          <w:rFonts w:hint="eastAsia" w:ascii="仿宋_GB2312" w:hAnsi="仿宋_GB2312" w:eastAsia="仿宋_GB2312" w:cs="仿宋_GB2312"/>
          <w:color w:val="auto"/>
          <w:kern w:val="0"/>
          <w:sz w:val="32"/>
          <w:szCs w:val="32"/>
          <w:lang w:val="en-US" w:eastAsia="zh-CN"/>
        </w:rPr>
        <w:t>制度</w:t>
      </w:r>
      <w:r>
        <w:rPr>
          <w:rFonts w:hint="eastAsia" w:ascii="仿宋_GB2312" w:hAnsi="仿宋_GB2312" w:eastAsia="仿宋_GB2312" w:cs="仿宋_GB2312"/>
          <w:color w:val="auto"/>
          <w:kern w:val="0"/>
          <w:sz w:val="32"/>
          <w:szCs w:val="32"/>
        </w:rPr>
        <w:t>由</w:t>
      </w:r>
      <w:r>
        <w:rPr>
          <w:rFonts w:hint="eastAsia" w:ascii="仿宋_GB2312" w:hAnsi="仿宋_GB2312" w:eastAsia="仿宋_GB2312" w:cs="仿宋_GB2312"/>
          <w:color w:val="auto"/>
          <w:kern w:val="0"/>
          <w:sz w:val="32"/>
          <w:szCs w:val="32"/>
          <w:lang w:eastAsia="zh-CN"/>
        </w:rPr>
        <w:t>衡南县</w:t>
      </w:r>
      <w:r>
        <w:rPr>
          <w:rFonts w:hint="eastAsia" w:ascii="仿宋_GB2312" w:hAnsi="仿宋_GB2312" w:eastAsia="仿宋_GB2312" w:cs="仿宋_GB2312"/>
          <w:color w:val="auto"/>
          <w:kern w:val="0"/>
          <w:sz w:val="32"/>
          <w:szCs w:val="32"/>
        </w:rPr>
        <w:t>民政局负责解释。</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jc w:val="left"/>
        <w:textAlignment w:val="auto"/>
        <w:rPr>
          <w:rFonts w:hint="eastAsia" w:ascii="仿宋_GB2312" w:hAnsi="仿宋_GB2312" w:eastAsia="仿宋_GB2312" w:cs="仿宋_GB2312"/>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jc w:val="left"/>
        <w:textAlignment w:val="auto"/>
        <w:rPr>
          <w:rFonts w:hint="eastAsia" w:ascii="仿宋_GB2312" w:hAnsi="仿宋_GB2312" w:eastAsia="仿宋_GB2312" w:cs="仿宋_GB2312"/>
          <w:color w:val="auto"/>
          <w:kern w:val="0"/>
          <w:sz w:val="32"/>
          <w:szCs w:val="32"/>
        </w:rPr>
      </w:pPr>
      <w:r>
        <w:rPr>
          <w:rFonts w:hint="eastAsia" w:ascii="仿宋_GB2312" w:hAnsi="仿宋_GB2312" w:eastAsia="仿宋_GB2312" w:cs="仿宋_GB2312"/>
          <w:color w:val="auto"/>
          <w:kern w:val="0"/>
          <w:sz w:val="32"/>
          <w:szCs w:val="32"/>
        </w:rPr>
        <w:t xml:space="preserve">  </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jc w:val="left"/>
        <w:textAlignment w:val="auto"/>
        <w:rPr>
          <w:rFonts w:hint="eastAsia" w:ascii="仿宋_GB2312" w:hAnsi="仿宋_GB2312" w:eastAsia="仿宋_GB2312" w:cs="仿宋_GB2312"/>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leftChars="0"/>
        <w:jc w:val="left"/>
        <w:textAlignment w:val="auto"/>
        <w:rPr>
          <w:rFonts w:hint="eastAsia" w:ascii="仿宋_GB2312" w:hAnsi="仿宋_GB2312" w:eastAsia="仿宋_GB2312" w:cs="仿宋_GB2312"/>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315" w:lineRule="atLeast"/>
        <w:jc w:val="left"/>
        <w:textAlignment w:val="auto"/>
        <w:rPr>
          <w:rFonts w:hint="eastAsia" w:ascii="仿宋" w:hAnsi="仿宋" w:eastAsia="仿宋" w:cs="仿宋"/>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315" w:lineRule="atLeast"/>
        <w:jc w:val="left"/>
        <w:textAlignment w:val="auto"/>
        <w:rPr>
          <w:rFonts w:hint="eastAsia" w:ascii="仿宋" w:hAnsi="仿宋" w:eastAsia="仿宋" w:cs="仿宋"/>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315" w:lineRule="atLeast"/>
        <w:jc w:val="left"/>
        <w:textAlignment w:val="auto"/>
        <w:rPr>
          <w:rFonts w:hint="eastAsia" w:ascii="仿宋" w:hAnsi="仿宋" w:eastAsia="仿宋" w:cs="仿宋"/>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315" w:lineRule="atLeast"/>
        <w:jc w:val="left"/>
        <w:textAlignment w:val="auto"/>
        <w:rPr>
          <w:rFonts w:hint="eastAsia" w:ascii="仿宋" w:hAnsi="仿宋" w:eastAsia="仿宋" w:cs="仿宋"/>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315" w:lineRule="atLeast"/>
        <w:jc w:val="left"/>
        <w:textAlignment w:val="auto"/>
        <w:rPr>
          <w:rFonts w:hint="eastAsia" w:ascii="仿宋" w:hAnsi="仿宋" w:eastAsia="仿宋" w:cs="仿宋"/>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315" w:lineRule="atLeast"/>
        <w:jc w:val="left"/>
        <w:textAlignment w:val="auto"/>
        <w:rPr>
          <w:rFonts w:hint="eastAsia" w:ascii="仿宋" w:hAnsi="仿宋" w:eastAsia="仿宋" w:cs="仿宋"/>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315" w:lineRule="atLeast"/>
        <w:jc w:val="left"/>
        <w:textAlignment w:val="auto"/>
        <w:rPr>
          <w:rFonts w:hint="eastAsia" w:ascii="仿宋" w:hAnsi="仿宋" w:eastAsia="仿宋" w:cs="仿宋"/>
          <w:color w:val="auto"/>
          <w:kern w:val="0"/>
          <w:sz w:val="32"/>
          <w:szCs w:val="32"/>
        </w:rPr>
      </w:pPr>
    </w:p>
    <w:p>
      <w:pPr>
        <w:keepNext w:val="0"/>
        <w:keepLines w:val="0"/>
        <w:pageBreakBefore w:val="0"/>
        <w:widowControl w:val="0"/>
        <w:shd w:val="clear" w:color="auto" w:fill="FFFFFF"/>
        <w:kinsoku/>
        <w:wordWrap/>
        <w:overflowPunct/>
        <w:topLinePunct w:val="0"/>
        <w:autoSpaceDE/>
        <w:autoSpaceDN/>
        <w:bidi w:val="0"/>
        <w:adjustRightInd/>
        <w:snapToGrid/>
        <w:spacing w:line="315" w:lineRule="atLeast"/>
        <w:jc w:val="left"/>
        <w:textAlignment w:val="auto"/>
        <w:rPr>
          <w:rFonts w:hint="eastAsia" w:ascii="仿宋" w:hAnsi="仿宋" w:eastAsia="仿宋" w:cs="仿宋"/>
          <w:color w:val="auto"/>
          <w:kern w:val="0"/>
          <w:sz w:val="32"/>
          <w:szCs w:val="32"/>
        </w:rPr>
      </w:pPr>
    </w:p>
    <w:p>
      <w:pPr>
        <w:ind w:firstLine="0"/>
        <w:jc w:val="center"/>
        <w:rPr>
          <w:rFonts w:hint="eastAsia" w:ascii="方正小标宋简体" w:hAnsi="Times New Roman" w:eastAsia="方正小标宋简体" w:cs="Times New Roman"/>
          <w:b w:val="0"/>
          <w:kern w:val="2"/>
          <w:sz w:val="44"/>
          <w:szCs w:val="44"/>
          <w:lang w:val="en-US" w:eastAsia="zh-CN" w:bidi="ar-SA"/>
        </w:rPr>
      </w:pPr>
    </w:p>
    <w:p>
      <w:pPr>
        <w:pStyle w:val="6"/>
        <w:keepNext w:val="0"/>
        <w:keepLines w:val="0"/>
        <w:pageBreakBefore w:val="0"/>
        <w:widowControl w:val="0"/>
        <w:suppressLineNumbers w:val="0"/>
        <w:shd w:val="clear" w:fill="FFFFFF"/>
        <w:kinsoku/>
        <w:wordWrap/>
        <w:overflowPunct/>
        <w:topLinePunct w:val="0"/>
        <w:autoSpaceDE/>
        <w:autoSpaceDN/>
        <w:bidi w:val="0"/>
        <w:adjustRightInd/>
        <w:snapToGrid/>
        <w:spacing w:beforeAutospacing="0" w:afterAutospacing="0" w:line="600" w:lineRule="exact"/>
        <w:ind w:left="0" w:leftChars="0" w:firstLine="0"/>
        <w:jc w:val="center"/>
        <w:textAlignment w:val="auto"/>
        <w:rPr>
          <w:rFonts w:hint="eastAsia" w:ascii="方正小标宋简体" w:hAnsi="方正小标宋简体" w:eastAsia="方正小标宋简体" w:cs="方正小标宋简体"/>
          <w:b/>
          <w:bCs/>
          <w:kern w:val="2"/>
          <w:sz w:val="44"/>
          <w:szCs w:val="44"/>
          <w:lang w:val="en-US" w:eastAsia="zh-CN" w:bidi="ar-SA"/>
        </w:rPr>
      </w:pPr>
      <w:r>
        <w:rPr>
          <w:rFonts w:hint="eastAsia" w:ascii="方正小标宋简体" w:hAnsi="方正小标宋简体" w:eastAsia="方正小标宋简体" w:cs="方正小标宋简体"/>
          <w:b/>
          <w:bCs/>
          <w:kern w:val="2"/>
          <w:sz w:val="44"/>
          <w:szCs w:val="44"/>
          <w:lang w:val="en-US" w:eastAsia="zh-CN" w:bidi="ar-SA"/>
        </w:rPr>
        <w:t>衡南县民政局行政处罚裁量权基准</w:t>
      </w:r>
    </w:p>
    <w:p>
      <w:pPr>
        <w:spacing w:line="400" w:lineRule="exact"/>
        <w:ind w:right="840" w:rightChars="400" w:firstLine="3336" w:firstLineChars="1668"/>
        <w:jc w:val="right"/>
        <w:rPr>
          <w:rFonts w:hint="eastAsia" w:ascii="仿宋" w:hAnsi="仿宋" w:eastAsia="仿宋"/>
          <w:sz w:val="20"/>
        </w:rPr>
      </w:pPr>
    </w:p>
    <w:tbl>
      <w:tblPr>
        <w:tblStyle w:val="7"/>
        <w:tblW w:w="9639" w:type="dxa"/>
        <w:jc w:val="center"/>
        <w:tblLayout w:type="fixed"/>
        <w:tblCellMar>
          <w:top w:w="0" w:type="dxa"/>
          <w:left w:w="108" w:type="dxa"/>
          <w:bottom w:w="0" w:type="dxa"/>
          <w:right w:w="108" w:type="dxa"/>
        </w:tblCellMar>
      </w:tblPr>
      <w:tblGrid>
        <w:gridCol w:w="572"/>
        <w:gridCol w:w="1691"/>
        <w:gridCol w:w="3764"/>
        <w:gridCol w:w="1904"/>
        <w:gridCol w:w="1708"/>
      </w:tblGrid>
      <w:tr>
        <w:tblPrEx>
          <w:tblCellMar>
            <w:top w:w="0" w:type="dxa"/>
            <w:left w:w="108" w:type="dxa"/>
            <w:bottom w:w="0" w:type="dxa"/>
            <w:right w:w="108" w:type="dxa"/>
          </w:tblCellMar>
        </w:tblPrEx>
        <w:trPr>
          <w:trHeight w:val="397" w:hRule="atLeast"/>
          <w:tblHeader/>
          <w:jc w:val="center"/>
        </w:trPr>
        <w:tc>
          <w:tcPr>
            <w:tcW w:w="572" w:type="dxa"/>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黑体" w:hAnsi="黑体" w:eastAsia="黑体"/>
                <w:snapToGrid/>
                <w:sz w:val="21"/>
                <w:szCs w:val="21"/>
              </w:rPr>
            </w:pPr>
            <w:r>
              <w:rPr>
                <w:rFonts w:hint="eastAsia" w:ascii="黑体" w:hAnsi="黑体" w:eastAsia="黑体"/>
                <w:snapToGrid/>
                <w:sz w:val="21"/>
                <w:szCs w:val="21"/>
              </w:rPr>
              <w:t>序号</w:t>
            </w:r>
          </w:p>
        </w:tc>
        <w:tc>
          <w:tcPr>
            <w:tcW w:w="1691" w:type="dxa"/>
            <w:tcBorders>
              <w:top w:val="single" w:color="auto" w:sz="4" w:space="0"/>
              <w:left w:val="nil"/>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黑体" w:hAnsi="黑体" w:eastAsia="黑体" w:cs="宋体"/>
                <w:snapToGrid/>
                <w:sz w:val="21"/>
                <w:szCs w:val="21"/>
              </w:rPr>
            </w:pPr>
            <w:r>
              <w:rPr>
                <w:rFonts w:hint="eastAsia" w:ascii="黑体" w:hAnsi="黑体" w:eastAsia="黑体" w:cs="宋体"/>
                <w:snapToGrid/>
                <w:sz w:val="21"/>
                <w:szCs w:val="21"/>
              </w:rPr>
              <w:t>违法行为名称</w:t>
            </w:r>
          </w:p>
        </w:tc>
        <w:tc>
          <w:tcPr>
            <w:tcW w:w="3764" w:type="dxa"/>
            <w:tcBorders>
              <w:top w:val="single" w:color="auto" w:sz="4" w:space="0"/>
              <w:left w:val="nil"/>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黑体" w:hAnsi="黑体" w:eastAsia="黑体" w:cs="宋体"/>
                <w:snapToGrid/>
                <w:sz w:val="21"/>
                <w:szCs w:val="21"/>
              </w:rPr>
            </w:pPr>
            <w:r>
              <w:rPr>
                <w:rFonts w:hint="eastAsia" w:ascii="黑体" w:hAnsi="黑体" w:eastAsia="黑体" w:cs="宋体"/>
                <w:snapToGrid/>
                <w:sz w:val="21"/>
                <w:szCs w:val="21"/>
              </w:rPr>
              <w:t>处罚依据</w:t>
            </w:r>
          </w:p>
        </w:tc>
        <w:tc>
          <w:tcPr>
            <w:tcW w:w="1904" w:type="dxa"/>
            <w:tcBorders>
              <w:top w:val="single" w:color="auto" w:sz="4" w:space="0"/>
              <w:left w:val="nil"/>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黑体" w:hAnsi="黑体" w:eastAsia="黑体" w:cs="宋体"/>
                <w:snapToGrid/>
                <w:sz w:val="21"/>
                <w:szCs w:val="21"/>
              </w:rPr>
            </w:pPr>
            <w:r>
              <w:rPr>
                <w:rFonts w:hint="eastAsia" w:ascii="黑体" w:hAnsi="黑体" w:eastAsia="黑体" w:cs="宋体"/>
                <w:snapToGrid/>
                <w:sz w:val="21"/>
                <w:szCs w:val="21"/>
              </w:rPr>
              <w:t>裁量因素</w:t>
            </w:r>
          </w:p>
        </w:tc>
        <w:tc>
          <w:tcPr>
            <w:tcW w:w="1708" w:type="dxa"/>
            <w:tcBorders>
              <w:top w:val="single" w:color="auto" w:sz="4" w:space="0"/>
              <w:left w:val="nil"/>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黑体" w:hAnsi="黑体" w:eastAsia="黑体" w:cs="宋体"/>
                <w:snapToGrid/>
                <w:sz w:val="21"/>
                <w:szCs w:val="21"/>
              </w:rPr>
            </w:pPr>
            <w:r>
              <w:rPr>
                <w:rFonts w:hint="eastAsia" w:ascii="黑体" w:hAnsi="黑体" w:eastAsia="黑体" w:cs="宋体"/>
                <w:snapToGrid/>
                <w:sz w:val="21"/>
                <w:szCs w:val="21"/>
              </w:rPr>
              <w:t>裁量标准</w:t>
            </w:r>
          </w:p>
        </w:tc>
      </w:tr>
      <w:tr>
        <w:tblPrEx>
          <w:tblCellMar>
            <w:top w:w="0" w:type="dxa"/>
            <w:left w:w="108" w:type="dxa"/>
            <w:bottom w:w="0" w:type="dxa"/>
            <w:right w:w="108" w:type="dxa"/>
          </w:tblCellMar>
        </w:tblPrEx>
        <w:trPr>
          <w:trHeight w:val="397" w:hRule="atLeast"/>
          <w:jc w:val="center"/>
        </w:trPr>
        <w:tc>
          <w:tcPr>
            <w:tcW w:w="9639" w:type="dxa"/>
            <w:gridSpan w:val="5"/>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黑体" w:hAnsi="黑体" w:eastAsia="黑体" w:cs="宋体"/>
                <w:snapToGrid/>
                <w:sz w:val="21"/>
                <w:szCs w:val="21"/>
              </w:rPr>
            </w:pPr>
            <w:r>
              <w:rPr>
                <w:rFonts w:hint="eastAsia" w:ascii="黑体" w:hAnsi="黑体" w:eastAsia="黑体" w:cs="宋体"/>
                <w:snapToGrid/>
                <w:sz w:val="21"/>
                <w:szCs w:val="21"/>
              </w:rPr>
              <w:t>一、社会团体管理</w:t>
            </w:r>
          </w:p>
        </w:tc>
      </w:tr>
      <w:tr>
        <w:tblPrEx>
          <w:tblCellMar>
            <w:top w:w="0" w:type="dxa"/>
            <w:left w:w="108" w:type="dxa"/>
            <w:bottom w:w="0" w:type="dxa"/>
            <w:right w:w="108" w:type="dxa"/>
          </w:tblCellMar>
        </w:tblPrEx>
        <w:trPr>
          <w:trHeight w:val="2492"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仿宋" w:hAnsi="仿宋" w:eastAsia="仿宋"/>
                <w:snapToGrid/>
                <w:sz w:val="20"/>
              </w:rPr>
            </w:pPr>
            <w:r>
              <w:rPr>
                <w:rFonts w:ascii="仿宋" w:hAnsi="仿宋" w:eastAsia="仿宋"/>
                <w:snapToGrid/>
                <w:sz w:val="20"/>
              </w:rPr>
              <w:t>1</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社会团体在申请登记时弄虚作假，骗取登记的，或者自取得《社会团体法人登记证书》之日起1年未开展活动</w:t>
            </w:r>
          </w:p>
        </w:tc>
        <w:tc>
          <w:tcPr>
            <w:tcW w:w="376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snapToGrid/>
                <w:sz w:val="20"/>
              </w:rPr>
            </w:pPr>
            <w:r>
              <w:rPr>
                <w:rFonts w:hint="eastAsia" w:ascii="仿宋" w:hAnsi="仿宋" w:eastAsia="仿宋"/>
                <w:snapToGrid/>
                <w:sz w:val="20"/>
              </w:rPr>
              <w:t>【行政法规】《社会团体登记管理条例》(</w:t>
            </w:r>
            <w:r>
              <w:rPr>
                <w:rFonts w:hint="eastAsia" w:ascii="仿宋" w:hAnsi="仿宋" w:eastAsia="仿宋"/>
                <w:snapToGrid/>
                <w:sz w:val="20"/>
                <w:lang w:eastAsia="zh-CN"/>
              </w:rPr>
              <w:t>1998年10月25日国务院令第250号发布，2016年2月6日国务院令第666号修订</w:t>
            </w:r>
            <w:r>
              <w:rPr>
                <w:rFonts w:hint="eastAsia" w:ascii="仿宋" w:hAnsi="仿宋" w:eastAsia="仿宋"/>
                <w:snapToGrid/>
                <w:sz w:val="20"/>
              </w:rPr>
              <w:t>)</w:t>
            </w:r>
          </w:p>
          <w:p>
            <w:pPr>
              <w:widowControl/>
              <w:autoSpaceDE/>
              <w:autoSpaceDN/>
              <w:snapToGrid/>
              <w:spacing w:line="280" w:lineRule="exact"/>
              <w:ind w:firstLine="0"/>
              <w:rPr>
                <w:rFonts w:ascii="仿宋" w:hAnsi="仿宋" w:eastAsia="仿宋"/>
                <w:snapToGrid/>
                <w:sz w:val="20"/>
              </w:rPr>
            </w:pPr>
            <w:r>
              <w:rPr>
                <w:rFonts w:ascii="仿宋" w:hAnsi="仿宋" w:eastAsia="仿宋"/>
                <w:snapToGrid/>
                <w:sz w:val="20"/>
              </w:rPr>
              <w:t xml:space="preserve">    </w:t>
            </w:r>
            <w:r>
              <w:rPr>
                <w:rFonts w:hint="eastAsia" w:ascii="仿宋" w:hAnsi="仿宋" w:eastAsia="仿宋"/>
                <w:snapToGrid/>
                <w:sz w:val="20"/>
              </w:rPr>
              <w:t>第二十九条</w:t>
            </w:r>
            <w:r>
              <w:rPr>
                <w:rFonts w:ascii="仿宋" w:hAnsi="仿宋" w:eastAsia="仿宋"/>
                <w:snapToGrid/>
                <w:sz w:val="20"/>
              </w:rPr>
              <w:t xml:space="preserve">  </w:t>
            </w:r>
            <w:r>
              <w:rPr>
                <w:rFonts w:hint="eastAsia" w:ascii="仿宋" w:hAnsi="仿宋" w:eastAsia="仿宋"/>
                <w:snapToGrid/>
                <w:sz w:val="20"/>
              </w:rPr>
              <w:t>社会团体在申请登记时弄虚作假，骗取登记的，或者自取得《社会团体法人登记证书》之日起１年未开展活动的，由登记管理机关予以撤销登记。</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弄虚作假骗取登记，或自取得《社会团体法人登记证书》之日起1年内未开展活动的。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2632"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仿宋" w:hAnsi="仿宋" w:eastAsia="仿宋"/>
                <w:snapToGrid/>
                <w:sz w:val="20"/>
              </w:rPr>
            </w:pPr>
            <w:r>
              <w:rPr>
                <w:rFonts w:ascii="仿宋" w:hAnsi="仿宋" w:eastAsia="仿宋"/>
                <w:snapToGrid/>
                <w:sz w:val="20"/>
              </w:rPr>
              <w:t>2</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社会团体涂改、出租、出借《社会团体法人登记证书》，或者出租、出借社会团体印章</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napToGrid/>
                <w:sz w:val="20"/>
              </w:rPr>
            </w:pPr>
            <w:r>
              <w:rPr>
                <w:rFonts w:hint="eastAsia" w:ascii="仿宋" w:hAnsi="仿宋" w:eastAsia="仿宋"/>
                <w:snapToGrid/>
                <w:sz w:val="20"/>
              </w:rPr>
              <w:t>【行政法规】《社会团体登记管理条例》</w:t>
            </w:r>
            <w:r>
              <w:rPr>
                <w:rFonts w:ascii="仿宋" w:hAnsi="仿宋" w:eastAsia="仿宋"/>
                <w:snapToGrid/>
                <w:sz w:val="20"/>
              </w:rPr>
              <w:t>(</w:t>
            </w:r>
            <w:r>
              <w:rPr>
                <w:rFonts w:hint="eastAsia" w:ascii="仿宋" w:hAnsi="仿宋" w:eastAsia="仿宋"/>
                <w:snapToGrid/>
                <w:sz w:val="20"/>
                <w:lang w:eastAsia="zh-CN"/>
              </w:rPr>
              <w:t>1998年10月25日国务院令第250号发布，2016年2月6日国务院令第666号修订</w:t>
            </w:r>
            <w:r>
              <w:rPr>
                <w:rFonts w:ascii="仿宋" w:hAnsi="仿宋" w:eastAsia="仿宋"/>
                <w:snapToGrid/>
                <w:sz w:val="20"/>
              </w:rPr>
              <w:t>)</w:t>
            </w:r>
          </w:p>
          <w:p>
            <w:pPr>
              <w:widowControl/>
              <w:autoSpaceDE/>
              <w:autoSpaceDN/>
              <w:snapToGrid/>
              <w:spacing w:line="280" w:lineRule="exact"/>
              <w:ind w:firstLine="0"/>
              <w:rPr>
                <w:rFonts w:hint="eastAsia" w:ascii="仿宋" w:hAnsi="仿宋" w:eastAsia="仿宋"/>
                <w:snapToGrid/>
                <w:sz w:val="20"/>
              </w:rPr>
            </w:pPr>
            <w:r>
              <w:rPr>
                <w:rFonts w:ascii="仿宋" w:hAnsi="仿宋" w:eastAsia="仿宋"/>
                <w:snapToGrid/>
                <w:sz w:val="20"/>
              </w:rPr>
              <w:t xml:space="preserve">    </w:t>
            </w:r>
            <w:r>
              <w:rPr>
                <w:rFonts w:hint="eastAsia" w:ascii="仿宋" w:hAnsi="仿宋" w:eastAsia="仿宋"/>
                <w:snapToGrid/>
                <w:sz w:val="20"/>
              </w:rPr>
              <w:t>第三十条</w:t>
            </w:r>
            <w:r>
              <w:rPr>
                <w:rFonts w:ascii="仿宋" w:hAnsi="仿宋" w:eastAsia="仿宋"/>
                <w:snapToGrid/>
                <w:sz w:val="20"/>
              </w:rPr>
              <w:t xml:space="preserve">  </w:t>
            </w:r>
            <w:r>
              <w:rPr>
                <w:rFonts w:hint="eastAsia" w:ascii="仿宋" w:hAnsi="仿宋" w:eastAsia="仿宋"/>
                <w:snapToGrid/>
                <w:sz w:val="20"/>
              </w:rPr>
              <w:t>社会团体有下列情形之一的，由登记管理机关给予警告，责令改正，可以限期停止活动，并可以责令撤换直接负责的主管人员；情节严重的，予以撤销登记；构成犯罪的，依法追究刑事责任：</w:t>
            </w:r>
          </w:p>
          <w:p>
            <w:pPr>
              <w:widowControl/>
              <w:autoSpaceDE/>
              <w:autoSpaceDN/>
              <w:snapToGrid/>
              <w:spacing w:line="280" w:lineRule="exact"/>
              <w:ind w:firstLine="0"/>
              <w:rPr>
                <w:rFonts w:hint="eastAsia" w:ascii="仿宋" w:hAnsi="仿宋" w:eastAsia="仿宋"/>
                <w:snapToGrid/>
                <w:sz w:val="20"/>
              </w:rPr>
            </w:pPr>
            <w:r>
              <w:rPr>
                <w:rFonts w:ascii="仿宋" w:hAnsi="仿宋" w:eastAsia="仿宋"/>
                <w:snapToGrid/>
                <w:sz w:val="20"/>
              </w:rPr>
              <w:t xml:space="preserve">    </w:t>
            </w:r>
            <w:r>
              <w:rPr>
                <w:rFonts w:hint="eastAsia" w:ascii="仿宋" w:hAnsi="仿宋" w:eastAsia="仿宋"/>
                <w:snapToGrid/>
                <w:sz w:val="20"/>
              </w:rPr>
              <w:t>（一）涂改、出租、出借《社会团体法人登记证书》，或者出租、出借社会团体印章的；</w:t>
            </w:r>
          </w:p>
          <w:p>
            <w:pPr>
              <w:widowControl/>
              <w:autoSpaceDE/>
              <w:autoSpaceDN/>
              <w:snapToGrid/>
              <w:spacing w:line="280" w:lineRule="exact"/>
              <w:ind w:firstLine="0"/>
              <w:rPr>
                <w:rFonts w:ascii="仿宋" w:hAnsi="仿宋" w:eastAsia="仿宋"/>
                <w:snapToGrid/>
                <w:sz w:val="20"/>
              </w:rPr>
            </w:pPr>
            <w:r>
              <w:rPr>
                <w:rFonts w:ascii="仿宋" w:hAnsi="仿宋" w:eastAsia="仿宋"/>
                <w:snapToGrid/>
                <w:sz w:val="20"/>
              </w:rPr>
              <w:t xml:space="preserve">    </w:t>
            </w:r>
            <w:r>
              <w:rPr>
                <w:rFonts w:hint="eastAsia" w:ascii="仿宋" w:hAnsi="仿宋" w:eastAsia="仿宋"/>
                <w:snapToGrid/>
                <w:sz w:val="20"/>
              </w:rPr>
              <w:t>前款规定的行为有违法经营额或者违法所得的，予以没收，可以并处违法经营额</w:t>
            </w:r>
            <w:r>
              <w:rPr>
                <w:rFonts w:ascii="仿宋" w:hAnsi="仿宋" w:eastAsia="仿宋"/>
                <w:snapToGrid/>
                <w:sz w:val="20"/>
              </w:rPr>
              <w:t>1</w:t>
            </w:r>
            <w:r>
              <w:rPr>
                <w:rFonts w:hint="eastAsia" w:ascii="仿宋" w:hAnsi="仿宋" w:eastAsia="仿宋"/>
                <w:snapToGrid/>
                <w:sz w:val="20"/>
              </w:rPr>
              <w:t>倍以上</w:t>
            </w:r>
            <w:r>
              <w:rPr>
                <w:rFonts w:ascii="仿宋" w:hAnsi="仿宋" w:eastAsia="仿宋"/>
                <w:snapToGrid/>
                <w:sz w:val="20"/>
              </w:rPr>
              <w:t>3</w:t>
            </w:r>
            <w:r>
              <w:rPr>
                <w:rFonts w:hint="eastAsia" w:ascii="仿宋" w:hAnsi="仿宋" w:eastAsia="仿宋"/>
                <w:snapToGrid/>
                <w:sz w:val="20"/>
              </w:rPr>
              <w:t>倍以下或者违法所得</w:t>
            </w:r>
            <w:r>
              <w:rPr>
                <w:rFonts w:ascii="仿宋" w:hAnsi="仿宋" w:eastAsia="仿宋"/>
                <w:snapToGrid/>
                <w:sz w:val="20"/>
              </w:rPr>
              <w:t>3</w:t>
            </w:r>
            <w:r>
              <w:rPr>
                <w:rFonts w:hint="eastAsia" w:ascii="仿宋" w:hAnsi="仿宋" w:eastAsia="仿宋"/>
                <w:snapToGrid/>
                <w:sz w:val="20"/>
              </w:rPr>
              <w:t>倍以上</w:t>
            </w:r>
            <w:r>
              <w:rPr>
                <w:rFonts w:ascii="仿宋" w:hAnsi="仿宋" w:eastAsia="仿宋"/>
                <w:snapToGrid/>
                <w:sz w:val="20"/>
              </w:rPr>
              <w:t>5</w:t>
            </w:r>
            <w:r>
              <w:rPr>
                <w:rFonts w:hint="eastAsia" w:ascii="仿宋" w:hAnsi="仿宋" w:eastAsia="仿宋"/>
                <w:snapToGrid/>
                <w:sz w:val="20"/>
              </w:rPr>
              <w:t>倍以下的罚款。</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涂改证书事项2项以下的；</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约定出租、出借时间1年以下的；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违法经营额或者违法所得5万元以下的。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3025"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涂改证书事项3至4项的；</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约定出租、出借时间1年以上、2年以下的；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违法经营额或者违法所得5万元以上、10万元以下的。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责令限期停止活动，责令撤换责任人员，没收违法经营额或者违法所得，可并处违法经营额1倍以上2倍以下罚款或者违法所得3倍以上4倍以下罚款。</w:t>
            </w:r>
          </w:p>
        </w:tc>
      </w:tr>
      <w:tr>
        <w:tblPrEx>
          <w:tblCellMar>
            <w:top w:w="0" w:type="dxa"/>
            <w:left w:w="108" w:type="dxa"/>
            <w:bottom w:w="0" w:type="dxa"/>
            <w:right w:w="108" w:type="dxa"/>
          </w:tblCellMar>
        </w:tblPrEx>
        <w:trPr>
          <w:trHeight w:val="322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涂改证书事项5项以上的；</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约定出租、出借时间2年以上的；</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违法经营额或者违法所得10万元以上的；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拒不按照要求改正的。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撤销登记，没收违法经营额或者违法所得，可并处违法经营额2倍以上3倍以下罚款或违法所得4倍以上5倍以下罚款。</w:t>
            </w:r>
          </w:p>
        </w:tc>
      </w:tr>
      <w:tr>
        <w:tblPrEx>
          <w:tblCellMar>
            <w:top w:w="0" w:type="dxa"/>
            <w:left w:w="108" w:type="dxa"/>
            <w:bottom w:w="0" w:type="dxa"/>
            <w:right w:w="108" w:type="dxa"/>
          </w:tblCellMar>
        </w:tblPrEx>
        <w:trPr>
          <w:trHeight w:val="23"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仿宋" w:hAnsi="仿宋" w:eastAsia="仿宋"/>
                <w:snapToGrid/>
                <w:sz w:val="20"/>
              </w:rPr>
            </w:pPr>
            <w:r>
              <w:rPr>
                <w:rFonts w:ascii="仿宋" w:hAnsi="仿宋" w:eastAsia="仿宋"/>
                <w:snapToGrid/>
                <w:sz w:val="20"/>
              </w:rPr>
              <w:t>3</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社会团体超出章程规定的宗旨和业务范围进行活动</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【行政法规】《社会团体登记管理条例》(</w:t>
            </w:r>
            <w:r>
              <w:rPr>
                <w:rFonts w:hint="eastAsia" w:ascii="仿宋" w:hAnsi="仿宋" w:eastAsia="仿宋" w:cs="宋体"/>
                <w:snapToGrid/>
                <w:spacing w:val="-10"/>
                <w:sz w:val="20"/>
                <w:lang w:eastAsia="zh-CN"/>
              </w:rPr>
              <w:t>1998年10月25日国务院令第250号发布，2016年2月6日国务院令第666号修订</w:t>
            </w:r>
            <w:r>
              <w:rPr>
                <w:rFonts w:hint="eastAsia" w:ascii="仿宋" w:hAnsi="仿宋" w:eastAsia="仿宋" w:cs="宋体"/>
                <w:snapToGrid/>
                <w:spacing w:val="-10"/>
                <w:sz w:val="20"/>
              </w:rPr>
              <w:t>)</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 xml:space="preserve">    第三十条  社会团体有下列情形之一的，由登记管理机关给予警告，责令改正，可以限期停止活动，并可以责令撤换直接负责的主管人员；情节严重的，予以撤销登记；构成犯罪的，依法追究刑事责任：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 xml:space="preserve">    （二）超出章程规定的宗旨和业务范围进行活动的；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ascii="仿宋" w:hAnsi="仿宋" w:eastAsia="仿宋"/>
                <w:snapToGrid/>
                <w:sz w:val="20"/>
              </w:rPr>
            </w:pPr>
            <w:r>
              <w:rPr>
                <w:rFonts w:hint="eastAsia" w:ascii="仿宋" w:hAnsi="仿宋" w:eastAsia="仿宋" w:cs="宋体"/>
                <w:snapToGrid/>
                <w:spacing w:val="-10"/>
                <w:sz w:val="20"/>
              </w:rPr>
              <w:t xml:space="preserve">    前款规定的行为有违法经营额或者违法所得的，予以没收，可以并处违法经营额１倍以上3倍以下或者违法所得3倍以上5倍以下的罚款。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初次超出章程规定的宗旨和业务范围进行活动的；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lang w:eastAsia="zh-CN"/>
              </w:rPr>
            </w:pPr>
            <w:r>
              <w:rPr>
                <w:rFonts w:hint="eastAsia" w:ascii="仿宋" w:hAnsi="仿宋" w:eastAsia="仿宋" w:cs="宋体"/>
                <w:snapToGrid/>
                <w:spacing w:val="-10"/>
                <w:sz w:val="20"/>
              </w:rPr>
              <w:t>违法经营额或者违法所得5万元以下的</w:t>
            </w:r>
            <w:r>
              <w:rPr>
                <w:rFonts w:hint="eastAsia" w:ascii="仿宋" w:hAnsi="仿宋" w:eastAsia="仿宋" w:cs="宋体"/>
                <w:snapToGrid/>
                <w:spacing w:val="-10"/>
                <w:sz w:val="20"/>
                <w:lang w:eastAsia="zh-CN"/>
              </w:rPr>
              <w:t>；</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及时改正，且尚未造成不良影响的。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超出章程规定的宗旨和业务范围进行活动2次到3次的；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违法经营额或者违法所得5万元以上、10万元以下的；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造成不良影响的。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责令限期停止活动，责令撤换直接负责的主管人员，没收违法经营额或者违法所得，可并处违法经营额1倍以上2倍以下罚款或者违法所得3倍以上4倍以下罚款。</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超出章程规定的宗旨和业务范围进行活动4次以上的；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违法经营额或者违法所得10万元以上的；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 xml:space="preserve">造成重大不良影响的。 </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pacing w:val="-10"/>
                <w:sz w:val="20"/>
              </w:rPr>
              <w:t>撤销登记，没收违法经营额或者违法所得，可并处违法经营额2倍以上3倍以下罚款或违法所得4倍以上5倍以下罚款。</w:t>
            </w:r>
          </w:p>
        </w:tc>
      </w:tr>
      <w:tr>
        <w:tblPrEx>
          <w:tblCellMar>
            <w:top w:w="0" w:type="dxa"/>
            <w:left w:w="108" w:type="dxa"/>
            <w:bottom w:w="0" w:type="dxa"/>
            <w:right w:w="108" w:type="dxa"/>
          </w:tblCellMar>
        </w:tblPrEx>
        <w:trPr>
          <w:trHeight w:val="23"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仿宋" w:hAnsi="仿宋" w:eastAsia="仿宋"/>
                <w:snapToGrid/>
                <w:sz w:val="20"/>
              </w:rPr>
            </w:pPr>
            <w:r>
              <w:rPr>
                <w:rFonts w:ascii="仿宋" w:hAnsi="仿宋" w:eastAsia="仿宋"/>
                <w:snapToGrid/>
                <w:sz w:val="20"/>
              </w:rPr>
              <w:t>4</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社会团体拒不接受或者不按照规定接受监督检查</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【行政法规】《社会团体登记管理条例》(</w:t>
            </w:r>
            <w:r>
              <w:rPr>
                <w:rFonts w:hint="eastAsia" w:ascii="仿宋" w:hAnsi="仿宋" w:eastAsia="仿宋" w:cs="宋体"/>
                <w:snapToGrid/>
                <w:spacing w:val="-10"/>
                <w:sz w:val="20"/>
                <w:lang w:eastAsia="zh-CN"/>
              </w:rPr>
              <w:t>1998年10月25日国务院令第250号发布，2016年2月6日国务院令第666号修订</w:t>
            </w:r>
            <w:r>
              <w:rPr>
                <w:rFonts w:hint="eastAsia" w:ascii="仿宋" w:hAnsi="仿宋" w:eastAsia="仿宋" w:cs="宋体"/>
                <w:snapToGrid/>
                <w:spacing w:val="-10"/>
                <w:sz w:val="20"/>
              </w:rPr>
              <w:t>)</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 xml:space="preserve">    第三十条  社会团体有下列情形之一的，由登记管理机关给予警告，责令改正，可以限期停止活动，并可以责令撤换直接负责的主管人员；情节严重的，予以撤销登记；构成犯罪的，依法追究刑事责任：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 xml:space="preserve">    （三）拒不接受或者不按照规定接受监督检查的；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ascii="仿宋" w:hAnsi="仿宋" w:eastAsia="仿宋"/>
                <w:snapToGrid/>
                <w:sz w:val="20"/>
              </w:rPr>
            </w:pPr>
            <w:r>
              <w:rPr>
                <w:rFonts w:hint="eastAsia" w:ascii="仿宋" w:hAnsi="仿宋" w:eastAsia="仿宋" w:cs="宋体"/>
                <w:snapToGrid/>
                <w:spacing w:val="-10"/>
                <w:sz w:val="20"/>
              </w:rPr>
              <w:t xml:space="preserve">    前款规定的行为有违法经营额或者违法所得的，予以没收，可以并处违法经营额１倍以上3倍以下或者违法所得3倍以上5倍以下的罚款。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1年不参加年度检查的；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不按照规定接受监督检查的；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拒不接受监督检查的。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累计2次以上不按照规定接受监督检查的；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累计2次以上拒不接受监督检查的。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责令限期停止活动，责令撤换责任人员。</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连续</w:t>
            </w:r>
            <w:r>
              <w:rPr>
                <w:rFonts w:hint="eastAsia" w:ascii="仿宋" w:hAnsi="仿宋" w:eastAsia="仿宋" w:cs="宋体"/>
                <w:snapToGrid/>
                <w:spacing w:val="-10"/>
                <w:sz w:val="20"/>
                <w:lang w:val="en-US" w:eastAsia="zh-CN"/>
              </w:rPr>
              <w:t>2</w:t>
            </w:r>
            <w:r>
              <w:rPr>
                <w:rFonts w:hint="eastAsia" w:ascii="仿宋" w:hAnsi="仿宋" w:eastAsia="仿宋" w:cs="宋体"/>
                <w:snapToGrid/>
                <w:spacing w:val="-10"/>
                <w:sz w:val="20"/>
              </w:rPr>
              <w:t>年以上不参加年度检查的。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23"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仿宋" w:hAnsi="仿宋" w:eastAsia="仿宋"/>
                <w:snapToGrid/>
                <w:sz w:val="20"/>
              </w:rPr>
            </w:pPr>
            <w:r>
              <w:rPr>
                <w:rFonts w:ascii="仿宋" w:hAnsi="仿宋" w:eastAsia="仿宋"/>
                <w:snapToGrid/>
                <w:sz w:val="20"/>
              </w:rPr>
              <w:t>5</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社会团体不按照规定办理变更登记</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【行政法规】《社会团体登记管理条例》(</w:t>
            </w:r>
            <w:r>
              <w:rPr>
                <w:rFonts w:hint="eastAsia" w:ascii="仿宋" w:hAnsi="仿宋" w:eastAsia="仿宋" w:cs="宋体"/>
                <w:snapToGrid/>
                <w:sz w:val="20"/>
                <w:lang w:eastAsia="zh-CN"/>
              </w:rPr>
              <w:t>1998年10月25日国务院令第250号发布，2016年2月6日国务院令第666号修订</w:t>
            </w:r>
            <w:r>
              <w:rPr>
                <w:rFonts w:hint="eastAsia" w:ascii="仿宋" w:hAnsi="仿宋" w:eastAsia="仿宋" w:cs="宋体"/>
                <w:snapToGrid/>
                <w:sz w:val="20"/>
              </w:rPr>
              <w:t>)</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第三十条  社会团体有下列情形之一的，由登记管理机关给予警告，责令改正，可以限期停止活动，并可以责令撤换直接负责的主管人员；情节严重的，予以撤销登记；构成犯罪的，依法追究刑事责任：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w:t>
            </w:r>
            <w:r>
              <w:rPr>
                <w:rFonts w:hint="eastAsia" w:ascii="仿宋" w:hAnsi="仿宋" w:eastAsia="仿宋" w:cs="宋体"/>
                <w:snapToGrid/>
                <w:sz w:val="20"/>
                <w:lang w:val="en-US" w:eastAsia="zh-CN"/>
              </w:rPr>
              <w:t xml:space="preserve"> </w:t>
            </w:r>
            <w:r>
              <w:rPr>
                <w:rFonts w:hint="eastAsia" w:ascii="仿宋" w:hAnsi="仿宋" w:eastAsia="仿宋" w:cs="宋体"/>
                <w:snapToGrid/>
                <w:sz w:val="20"/>
              </w:rPr>
              <w:t>（四）不按照规定办理变更登记的；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不按照规定变更登记事项1项的。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不按照规定变更登记事项2至3项的。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责令限期停止活动，责令撤换责任人员。</w:t>
            </w:r>
          </w:p>
        </w:tc>
      </w:tr>
      <w:tr>
        <w:tblPrEx>
          <w:tblCellMar>
            <w:top w:w="0" w:type="dxa"/>
            <w:left w:w="108" w:type="dxa"/>
            <w:bottom w:w="0" w:type="dxa"/>
            <w:right w:w="108" w:type="dxa"/>
          </w:tblCellMar>
        </w:tblPrEx>
        <w:trPr>
          <w:trHeight w:val="138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不按照规定变更登记事项4项以上的。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680" w:hRule="atLeast"/>
          <w:jc w:val="center"/>
        </w:trPr>
        <w:tc>
          <w:tcPr>
            <w:tcW w:w="572"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val="en-US" w:eastAsia="zh-CN"/>
              </w:rPr>
            </w:pPr>
            <w:r>
              <w:rPr>
                <w:rFonts w:hint="eastAsia" w:ascii="仿宋" w:hAnsi="仿宋" w:eastAsia="仿宋"/>
                <w:snapToGrid/>
                <w:sz w:val="20"/>
                <w:lang w:val="en-US" w:eastAsia="zh-CN"/>
              </w:rPr>
              <w:t>6</w:t>
            </w:r>
          </w:p>
        </w:tc>
        <w:tc>
          <w:tcPr>
            <w:tcW w:w="1691"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社会团体违反规定设立分支机构、代表机构，或者对分支机构、代表机构疏于管理，造成严重后果的；</w:t>
            </w:r>
          </w:p>
        </w:tc>
        <w:tc>
          <w:tcPr>
            <w:tcW w:w="3764"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【行政法规】《社会团体登记管理条例》(</w:t>
            </w:r>
            <w:r>
              <w:rPr>
                <w:rFonts w:hint="eastAsia" w:ascii="仿宋" w:hAnsi="仿宋" w:eastAsia="仿宋" w:cs="宋体"/>
                <w:snapToGrid/>
                <w:sz w:val="20"/>
                <w:lang w:eastAsia="zh-CN"/>
              </w:rPr>
              <w:t>1998年10月25日国务院令第250号发布，2016年2月6日国务院令第666号修订</w:t>
            </w:r>
            <w:r>
              <w:rPr>
                <w:rFonts w:hint="eastAsia" w:ascii="仿宋" w:hAnsi="仿宋" w:eastAsia="仿宋" w:cs="宋体"/>
                <w:snapToGrid/>
                <w:sz w:val="20"/>
              </w:rPr>
              <w:t>)</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第三十条  社会团体有下列情形之一的，由登记管理机关给予警告，责令改正，可以限期停止活动，并可以责令撤换直接负责的主管人员；情节严重的，予以撤销登记；构成犯罪的，依法追究刑事责任：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40" w:lineRule="exact"/>
              <w:ind w:firstLine="200" w:firstLineChars="100"/>
              <w:textAlignment w:val="auto"/>
              <w:rPr>
                <w:rFonts w:hint="eastAsia" w:ascii="仿宋" w:hAnsi="仿宋" w:eastAsia="仿宋" w:cs="宋体"/>
                <w:snapToGrid/>
                <w:sz w:val="20"/>
              </w:rPr>
            </w:pPr>
            <w:r>
              <w:rPr>
                <w:rFonts w:hint="eastAsia" w:ascii="仿宋" w:hAnsi="仿宋" w:eastAsia="仿宋" w:cs="宋体"/>
                <w:snapToGrid/>
                <w:sz w:val="20"/>
              </w:rPr>
              <w:t>（五）违反规定设立分支机构、代表机构，或者对分支机构、代表机构疏于管理，造成严重后果的；</w:t>
            </w:r>
          </w:p>
          <w:p>
            <w:pPr>
              <w:keepNext w:val="0"/>
              <w:keepLines w:val="0"/>
              <w:pageBreakBefore w:val="0"/>
              <w:widowControl/>
              <w:kinsoku/>
              <w:wordWrap/>
              <w:overflowPunct/>
              <w:topLinePunct w:val="0"/>
              <w:autoSpaceDE/>
              <w:autoSpaceDN/>
              <w:bidi w:val="0"/>
              <w:adjustRightInd/>
              <w:snapToGrid/>
              <w:spacing w:line="240" w:lineRule="exact"/>
              <w:ind w:firstLine="200" w:firstLineChars="100"/>
              <w:textAlignment w:val="auto"/>
              <w:rPr>
                <w:rFonts w:hint="eastAsia" w:ascii="仿宋" w:hAnsi="仿宋" w:eastAsia="仿宋" w:cs="宋体"/>
                <w:snapToGrid/>
                <w:sz w:val="20"/>
              </w:rPr>
            </w:pPr>
            <w:r>
              <w:rPr>
                <w:rFonts w:hint="eastAsia" w:ascii="仿宋" w:hAnsi="仿宋" w:eastAsia="仿宋" w:cs="宋体"/>
                <w:snapToGrid/>
                <w:sz w:val="20"/>
              </w:rPr>
              <w:t>前款规定的行为有违法经营额或者违法所得的，予以没收，可以并处违法经营额1倍以上3倍以下或者违法所得3倍以上5倍以下的罚款。</w:t>
            </w:r>
          </w:p>
        </w:tc>
        <w:tc>
          <w:tcPr>
            <w:tcW w:w="190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擅自设立分支机构</w:t>
            </w:r>
            <w:r>
              <w:rPr>
                <w:rFonts w:hint="eastAsia" w:ascii="仿宋" w:hAnsi="仿宋" w:eastAsia="仿宋" w:cs="宋体"/>
                <w:snapToGrid/>
                <w:spacing w:val="-10"/>
                <w:sz w:val="20"/>
                <w:lang w:eastAsia="zh-CN"/>
              </w:rPr>
              <w:t>、</w:t>
            </w:r>
            <w:r>
              <w:rPr>
                <w:rFonts w:hint="eastAsia" w:ascii="仿宋" w:hAnsi="仿宋" w:eastAsia="仿宋" w:cs="宋体"/>
                <w:snapToGrid/>
                <w:spacing w:val="-10"/>
                <w:sz w:val="20"/>
                <w:lang w:val="en-US" w:eastAsia="zh-CN"/>
              </w:rPr>
              <w:t>代表机构</w:t>
            </w:r>
            <w:r>
              <w:rPr>
                <w:rFonts w:hint="eastAsia" w:ascii="仿宋" w:hAnsi="仿宋" w:eastAsia="仿宋" w:cs="宋体"/>
                <w:snapToGrid/>
                <w:spacing w:val="-10"/>
                <w:sz w:val="20"/>
              </w:rPr>
              <w:t>累计不超过1个的；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lang w:eastAsia="zh-CN"/>
              </w:rPr>
            </w:pPr>
            <w:r>
              <w:rPr>
                <w:rFonts w:hint="eastAsia" w:ascii="仿宋" w:hAnsi="仿宋" w:eastAsia="仿宋" w:cs="宋体"/>
                <w:snapToGrid/>
                <w:spacing w:val="-10"/>
                <w:sz w:val="20"/>
              </w:rPr>
              <w:t>违法经营额或者违法所得5万元以下的</w:t>
            </w:r>
            <w:r>
              <w:rPr>
                <w:rFonts w:hint="eastAsia" w:ascii="仿宋" w:hAnsi="仿宋" w:eastAsia="仿宋" w:cs="宋体"/>
                <w:snapToGrid/>
                <w:spacing w:val="-10"/>
                <w:sz w:val="20"/>
                <w:lang w:eastAsia="zh-CN"/>
              </w:rPr>
              <w:t>；</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lang w:eastAsia="zh-CN"/>
              </w:rPr>
            </w:pPr>
            <w:r>
              <w:rPr>
                <w:rFonts w:hint="eastAsia" w:ascii="仿宋" w:hAnsi="仿宋" w:eastAsia="仿宋" w:cs="宋体"/>
                <w:snapToGrid/>
                <w:spacing w:val="-10"/>
                <w:sz w:val="20"/>
              </w:rPr>
              <w:t>对分支机构、代表机构疏于管理，</w:t>
            </w:r>
            <w:r>
              <w:rPr>
                <w:rFonts w:hint="eastAsia" w:ascii="仿宋" w:hAnsi="仿宋" w:eastAsia="仿宋" w:cs="宋体"/>
                <w:snapToGrid/>
                <w:spacing w:val="-10"/>
                <w:sz w:val="20"/>
                <w:lang w:val="en-US" w:eastAsia="zh-CN"/>
              </w:rPr>
              <w:t>未造成危害后果。</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680" w:hRule="atLeast"/>
          <w:jc w:val="center"/>
        </w:trPr>
        <w:tc>
          <w:tcPr>
            <w:tcW w:w="572"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snapToGrid/>
                <w:sz w:val="20"/>
              </w:rPr>
            </w:pPr>
          </w:p>
        </w:tc>
        <w:tc>
          <w:tcPr>
            <w:tcW w:w="190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擅自设立分支机构</w:t>
            </w:r>
            <w:r>
              <w:rPr>
                <w:rFonts w:hint="eastAsia" w:ascii="仿宋" w:hAnsi="仿宋" w:eastAsia="仿宋" w:cs="宋体"/>
                <w:snapToGrid/>
                <w:spacing w:val="-10"/>
                <w:sz w:val="20"/>
                <w:lang w:eastAsia="zh-CN"/>
              </w:rPr>
              <w:t>、</w:t>
            </w:r>
            <w:r>
              <w:rPr>
                <w:rFonts w:hint="eastAsia" w:ascii="仿宋" w:hAnsi="仿宋" w:eastAsia="仿宋" w:cs="宋体"/>
                <w:snapToGrid/>
                <w:spacing w:val="-10"/>
                <w:sz w:val="20"/>
                <w:lang w:val="en-US" w:eastAsia="zh-CN"/>
              </w:rPr>
              <w:t>代表机构</w:t>
            </w:r>
            <w:r>
              <w:rPr>
                <w:rFonts w:hint="eastAsia" w:ascii="仿宋" w:hAnsi="仿宋" w:eastAsia="仿宋" w:cs="宋体"/>
                <w:snapToGrid/>
                <w:spacing w:val="-10"/>
                <w:sz w:val="20"/>
              </w:rPr>
              <w:t>，累计2个以上，5个以下的；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lang w:eastAsia="zh-CN"/>
              </w:rPr>
            </w:pPr>
            <w:r>
              <w:rPr>
                <w:rFonts w:hint="eastAsia" w:ascii="仿宋" w:hAnsi="仿宋" w:eastAsia="仿宋" w:cs="宋体"/>
                <w:snapToGrid/>
                <w:spacing w:val="-10"/>
                <w:sz w:val="20"/>
              </w:rPr>
              <w:t>违法经营额或者违法所得5万元以上、10万元以下的</w:t>
            </w:r>
            <w:r>
              <w:rPr>
                <w:rFonts w:hint="eastAsia" w:ascii="仿宋" w:hAnsi="仿宋" w:eastAsia="仿宋" w:cs="宋体"/>
                <w:snapToGrid/>
                <w:spacing w:val="-10"/>
                <w:sz w:val="20"/>
                <w:lang w:eastAsia="zh-CN"/>
              </w:rPr>
              <w:t>；</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default" w:ascii="仿宋" w:hAnsi="仿宋" w:eastAsia="仿宋" w:cs="宋体"/>
                <w:snapToGrid/>
                <w:spacing w:val="-10"/>
                <w:sz w:val="20"/>
                <w:lang w:val="en-US" w:eastAsia="zh-CN"/>
              </w:rPr>
            </w:pPr>
            <w:r>
              <w:rPr>
                <w:rFonts w:hint="eastAsia" w:ascii="仿宋" w:hAnsi="仿宋" w:eastAsia="仿宋" w:cs="宋体"/>
                <w:snapToGrid/>
                <w:spacing w:val="-10"/>
                <w:sz w:val="20"/>
              </w:rPr>
              <w:t>对分支机构、代表机构疏于管理，</w:t>
            </w:r>
            <w:r>
              <w:rPr>
                <w:rFonts w:hint="eastAsia" w:ascii="仿宋" w:hAnsi="仿宋" w:eastAsia="仿宋" w:cs="宋体"/>
                <w:snapToGrid/>
                <w:spacing w:val="-10"/>
                <w:sz w:val="20"/>
                <w:lang w:val="en-US" w:eastAsia="zh-CN"/>
              </w:rPr>
              <w:t>造成一定社会影响。</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z w:val="20"/>
              </w:rPr>
            </w:pPr>
            <w:r>
              <w:rPr>
                <w:rFonts w:hint="eastAsia" w:ascii="仿宋" w:hAnsi="仿宋" w:eastAsia="仿宋" w:cs="宋体"/>
                <w:snapToGrid/>
                <w:spacing w:val="-10"/>
                <w:sz w:val="20"/>
              </w:rPr>
              <w:t>责令限期停止活动</w:t>
            </w:r>
            <w:r>
              <w:rPr>
                <w:rFonts w:hint="eastAsia" w:ascii="仿宋" w:hAnsi="仿宋" w:eastAsia="仿宋" w:cs="宋体"/>
                <w:snapToGrid/>
                <w:spacing w:val="-10"/>
                <w:sz w:val="20"/>
                <w:lang w:eastAsia="zh-CN"/>
              </w:rPr>
              <w:t>，</w:t>
            </w:r>
            <w:r>
              <w:rPr>
                <w:rFonts w:hint="eastAsia" w:ascii="仿宋" w:hAnsi="仿宋" w:eastAsia="仿宋" w:cs="宋体"/>
                <w:snapToGrid/>
                <w:spacing w:val="-10"/>
                <w:sz w:val="20"/>
                <w:lang w:val="en-US" w:eastAsia="zh-CN"/>
              </w:rPr>
              <w:t>并责令撤换直接负责的主管人员，</w:t>
            </w:r>
            <w:r>
              <w:rPr>
                <w:rFonts w:hint="eastAsia" w:ascii="仿宋" w:hAnsi="仿宋" w:eastAsia="仿宋" w:cs="宋体"/>
                <w:snapToGrid/>
                <w:spacing w:val="-10"/>
                <w:sz w:val="20"/>
              </w:rPr>
              <w:t>没收违法经营额或者违法所得，并处违法经营额1倍以上2倍以下罚款或者违法所得3倍以上4倍以下罚款。</w:t>
            </w:r>
          </w:p>
        </w:tc>
      </w:tr>
      <w:tr>
        <w:tblPrEx>
          <w:tblCellMar>
            <w:top w:w="0" w:type="dxa"/>
            <w:left w:w="108" w:type="dxa"/>
            <w:bottom w:w="0" w:type="dxa"/>
            <w:right w:w="108" w:type="dxa"/>
          </w:tblCellMar>
        </w:tblPrEx>
        <w:trPr>
          <w:trHeight w:val="680"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snapToGrid/>
                <w:sz w:val="20"/>
              </w:rPr>
            </w:pP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rPr>
            </w:pPr>
            <w:r>
              <w:rPr>
                <w:rFonts w:hint="eastAsia" w:ascii="仿宋" w:hAnsi="仿宋" w:eastAsia="仿宋" w:cs="宋体"/>
                <w:snapToGrid/>
                <w:spacing w:val="-10"/>
                <w:sz w:val="20"/>
              </w:rPr>
              <w:t>擅自设立分支机构</w:t>
            </w:r>
            <w:r>
              <w:rPr>
                <w:rFonts w:hint="eastAsia" w:ascii="仿宋" w:hAnsi="仿宋" w:eastAsia="仿宋" w:cs="宋体"/>
                <w:snapToGrid/>
                <w:spacing w:val="-10"/>
                <w:sz w:val="20"/>
                <w:lang w:eastAsia="zh-CN"/>
              </w:rPr>
              <w:t>、</w:t>
            </w:r>
            <w:r>
              <w:rPr>
                <w:rFonts w:hint="eastAsia" w:ascii="仿宋" w:hAnsi="仿宋" w:eastAsia="仿宋" w:cs="宋体"/>
                <w:snapToGrid/>
                <w:spacing w:val="-10"/>
                <w:sz w:val="20"/>
                <w:lang w:val="en-US" w:eastAsia="zh-CN"/>
              </w:rPr>
              <w:t>代表机构</w:t>
            </w:r>
            <w:r>
              <w:rPr>
                <w:rFonts w:hint="eastAsia" w:ascii="仿宋" w:hAnsi="仿宋" w:eastAsia="仿宋" w:cs="宋体"/>
                <w:snapToGrid/>
                <w:spacing w:val="-10"/>
                <w:sz w:val="20"/>
              </w:rPr>
              <w:t>累计5个以上的；</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pacing w:val="-10"/>
                <w:sz w:val="20"/>
                <w:lang w:eastAsia="zh-CN"/>
              </w:rPr>
            </w:pPr>
            <w:r>
              <w:rPr>
                <w:rFonts w:hint="eastAsia" w:ascii="仿宋" w:hAnsi="仿宋" w:eastAsia="仿宋" w:cs="宋体"/>
                <w:snapToGrid/>
                <w:spacing w:val="-10"/>
                <w:sz w:val="20"/>
              </w:rPr>
              <w:t>违法经营额或者违法所得10万元以上的</w:t>
            </w:r>
            <w:r>
              <w:rPr>
                <w:rFonts w:hint="eastAsia" w:ascii="仿宋" w:hAnsi="仿宋" w:eastAsia="仿宋" w:cs="宋体"/>
                <w:snapToGrid/>
                <w:spacing w:val="-10"/>
                <w:sz w:val="20"/>
                <w:lang w:eastAsia="zh-CN"/>
              </w:rPr>
              <w:t>；</w:t>
            </w:r>
          </w:p>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default" w:ascii="仿宋" w:hAnsi="仿宋" w:eastAsia="仿宋" w:cs="宋体"/>
                <w:snapToGrid/>
                <w:spacing w:val="-10"/>
                <w:sz w:val="20"/>
                <w:lang w:val="en-US" w:eastAsia="zh-CN"/>
              </w:rPr>
            </w:pPr>
            <w:r>
              <w:rPr>
                <w:rFonts w:hint="eastAsia" w:ascii="仿宋" w:hAnsi="仿宋" w:eastAsia="仿宋" w:cs="宋体"/>
                <w:snapToGrid/>
                <w:spacing w:val="-10"/>
                <w:sz w:val="20"/>
              </w:rPr>
              <w:t>对分支机构、代表机构疏于管理，</w:t>
            </w:r>
            <w:r>
              <w:rPr>
                <w:rFonts w:hint="eastAsia" w:ascii="仿宋" w:hAnsi="仿宋" w:eastAsia="仿宋" w:cs="宋体"/>
                <w:snapToGrid/>
                <w:spacing w:val="-10"/>
                <w:sz w:val="20"/>
                <w:lang w:val="en-US" w:eastAsia="zh-CN"/>
              </w:rPr>
              <w:t>造成严重后果的，或者在整改期限内整改不到位的，或者拒不改正的。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firstLineChars="0"/>
              <w:textAlignment w:val="auto"/>
              <w:rPr>
                <w:rFonts w:hint="eastAsia" w:ascii="仿宋" w:hAnsi="仿宋" w:eastAsia="仿宋" w:cs="宋体"/>
                <w:snapToGrid/>
                <w:sz w:val="20"/>
              </w:rPr>
            </w:pPr>
            <w:r>
              <w:rPr>
                <w:rFonts w:hint="eastAsia" w:ascii="仿宋" w:hAnsi="仿宋" w:eastAsia="仿宋" w:cs="宋体"/>
                <w:snapToGrid/>
                <w:sz w:val="20"/>
              </w:rPr>
              <w:t>撤销登记，没收违法经营额或者违法所得，并处违法经营额2倍以上3倍以下罚款或违法所得4倍以上5倍以下罚款。</w:t>
            </w:r>
          </w:p>
        </w:tc>
      </w:tr>
      <w:tr>
        <w:tblPrEx>
          <w:tblCellMar>
            <w:top w:w="0" w:type="dxa"/>
            <w:left w:w="108" w:type="dxa"/>
            <w:bottom w:w="0" w:type="dxa"/>
            <w:right w:w="108" w:type="dxa"/>
          </w:tblCellMar>
        </w:tblPrEx>
        <w:trPr>
          <w:trHeight w:val="680"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hint="eastAsia" w:ascii="仿宋" w:hAnsi="仿宋" w:eastAsia="仿宋"/>
                <w:snapToGrid/>
                <w:sz w:val="20"/>
                <w:lang w:val="en-US" w:eastAsia="zh-CN"/>
              </w:rPr>
              <w:t>7</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社会团体从事营利性经营活动</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【行政法规】《社会团体登记管理条例》(</w:t>
            </w:r>
            <w:r>
              <w:rPr>
                <w:rFonts w:hint="eastAsia" w:ascii="仿宋" w:hAnsi="仿宋" w:eastAsia="仿宋" w:cs="宋体"/>
                <w:snapToGrid/>
                <w:sz w:val="20"/>
                <w:lang w:eastAsia="zh-CN"/>
              </w:rPr>
              <w:t>1998年10月25日国务院令第250号发布，2016年2月6日国务院令第666号修订</w:t>
            </w:r>
            <w:r>
              <w:rPr>
                <w:rFonts w:hint="eastAsia" w:ascii="仿宋" w:hAnsi="仿宋" w:eastAsia="仿宋" w:cs="宋体"/>
                <w:snapToGrid/>
                <w:sz w:val="20"/>
              </w:rPr>
              <w:t>)</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第三十条  社会团体有下列情形之一的，由登记管理机关给予警告，责令改正，可以限期停止活动，并可以责令撤换直接负责的主管人员；情节严重的，予以撤销登记；构成犯罪的，依法追究刑事责任：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（六）从事营利性的经营活动的；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snapToGrid/>
                <w:sz w:val="20"/>
              </w:rPr>
            </w:pPr>
            <w:r>
              <w:rPr>
                <w:rFonts w:hint="eastAsia" w:ascii="仿宋" w:hAnsi="仿宋" w:eastAsia="仿宋"/>
                <w:snapToGrid/>
                <w:sz w:val="20"/>
              </w:rPr>
              <w:t>持续时间在6个月以下的；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snapToGrid/>
                <w:sz w:val="20"/>
              </w:rPr>
              <w:t>违法经营额或者违法所得20万元以下的。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snapToGrid/>
                <w:sz w:val="20"/>
                <w:lang w:eastAsia="zh-CN"/>
              </w:rPr>
              <w:t>警告，没收违法经营额或者违法所得。</w:t>
            </w:r>
          </w:p>
        </w:tc>
      </w:tr>
      <w:tr>
        <w:tblPrEx>
          <w:tblCellMar>
            <w:top w:w="0" w:type="dxa"/>
            <w:left w:w="108" w:type="dxa"/>
            <w:bottom w:w="0" w:type="dxa"/>
            <w:right w:w="108" w:type="dxa"/>
          </w:tblCellMar>
        </w:tblPrEx>
        <w:trPr>
          <w:trHeight w:val="680"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snapToGrid/>
                <w:sz w:val="20"/>
              </w:rPr>
            </w:pPr>
            <w:r>
              <w:rPr>
                <w:rFonts w:hint="eastAsia" w:ascii="仿宋" w:hAnsi="仿宋" w:eastAsia="仿宋"/>
                <w:snapToGrid/>
                <w:sz w:val="20"/>
              </w:rPr>
              <w:t>持续时间在6个月以上、1年以下的；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snapToGrid/>
                <w:sz w:val="20"/>
              </w:rPr>
              <w:t>违法经营额或者违法所得20万元以上、100万元以下的。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snapToGrid/>
                <w:sz w:val="20"/>
              </w:rPr>
            </w:pPr>
            <w:r>
              <w:rPr>
                <w:rFonts w:hint="eastAsia" w:ascii="仿宋" w:hAnsi="仿宋" w:eastAsia="仿宋" w:cs="宋体"/>
                <w:snapToGrid/>
                <w:sz w:val="20"/>
              </w:rPr>
              <w:t>责令限期停止活动，责令撤换直接负责的主管人员，没收违法经营额或者违法所得，可并处违法经营额1倍以上2倍以下罚款或者违法所得3倍以上4倍以下罚款。</w:t>
            </w:r>
          </w:p>
        </w:tc>
      </w:tr>
      <w:tr>
        <w:tblPrEx>
          <w:tblCellMar>
            <w:top w:w="0" w:type="dxa"/>
            <w:left w:w="108" w:type="dxa"/>
            <w:bottom w:w="0" w:type="dxa"/>
            <w:right w:w="108" w:type="dxa"/>
          </w:tblCellMar>
        </w:tblPrEx>
        <w:trPr>
          <w:trHeight w:val="2172"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hint="eastAsia" w:ascii="仿宋" w:hAnsi="仿宋" w:eastAsia="仿宋"/>
                <w:snapToGrid/>
                <w:sz w:val="20"/>
              </w:rPr>
            </w:pPr>
            <w:r>
              <w:rPr>
                <w:rFonts w:hint="eastAsia" w:ascii="仿宋" w:hAnsi="仿宋" w:eastAsia="仿宋"/>
                <w:snapToGrid/>
                <w:sz w:val="20"/>
              </w:rPr>
              <w:t>持续时间在1年以上的；</w:t>
            </w:r>
          </w:p>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ascii="仿宋" w:hAnsi="仿宋" w:eastAsia="仿宋" w:cs="宋体"/>
                <w:snapToGrid/>
                <w:sz w:val="20"/>
              </w:rPr>
            </w:pPr>
            <w:r>
              <w:rPr>
                <w:rFonts w:hint="eastAsia" w:ascii="仿宋" w:hAnsi="仿宋" w:eastAsia="仿宋"/>
                <w:snapToGrid/>
                <w:sz w:val="20"/>
              </w:rPr>
              <w:t>违法经营额或者违法所得100万元以上的。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hint="eastAsia" w:ascii="仿宋" w:hAnsi="仿宋" w:eastAsia="仿宋"/>
                <w:snapToGrid/>
                <w:sz w:val="20"/>
              </w:rPr>
            </w:pPr>
            <w:r>
              <w:rPr>
                <w:rFonts w:hint="eastAsia" w:ascii="仿宋" w:hAnsi="仿宋" w:eastAsia="仿宋" w:cs="宋体"/>
                <w:snapToGrid/>
                <w:sz w:val="20"/>
              </w:rPr>
              <w:t>撤销登记，没收违法经营额或者违法所得，可并处违法经营额2倍以上3倍以下罚款或违法所得4倍以上5倍以下罚款。</w:t>
            </w:r>
          </w:p>
        </w:tc>
      </w:tr>
      <w:tr>
        <w:tblPrEx>
          <w:tblCellMar>
            <w:top w:w="0" w:type="dxa"/>
            <w:left w:w="108" w:type="dxa"/>
            <w:bottom w:w="0" w:type="dxa"/>
            <w:right w:w="108" w:type="dxa"/>
          </w:tblCellMar>
        </w:tblPrEx>
        <w:trPr>
          <w:trHeight w:val="39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hint="eastAsia" w:ascii="仿宋" w:hAnsi="仿宋" w:eastAsia="仿宋"/>
                <w:snapToGrid/>
                <w:sz w:val="20"/>
                <w:lang w:val="en-US" w:eastAsia="zh-CN"/>
              </w:rPr>
              <w:t>8</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社会团体侵占、私分、挪用社会团体资产或者所接受的捐赠、资助</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【行政法规】《社会团体登记管理条例》(</w:t>
            </w:r>
            <w:r>
              <w:rPr>
                <w:rFonts w:hint="eastAsia" w:ascii="仿宋" w:hAnsi="仿宋" w:eastAsia="仿宋" w:cs="宋体"/>
                <w:snapToGrid/>
                <w:sz w:val="20"/>
                <w:lang w:eastAsia="zh-CN"/>
              </w:rPr>
              <w:t>1998年10月25日国务院令第250号发布，2016年2月6日国务院令第666号修订</w:t>
            </w:r>
            <w:r>
              <w:rPr>
                <w:rFonts w:hint="eastAsia" w:ascii="仿宋" w:hAnsi="仿宋" w:eastAsia="仿宋" w:cs="宋体"/>
                <w:snapToGrid/>
                <w:sz w:val="20"/>
              </w:rPr>
              <w:t>)</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第三十条  社会团体有下列情形之一的，由登记管理机关给予警告，责令改正，可以限期停止活动，并可以责令撤换直接负责的主管人员；情节严重的，予以撤销登记；构成犯罪的，依法追究刑事责任：</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（七）侵占、私分、挪用社会团体资产或者所接受的捐赠、资助的；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前款规定的行为有违法经营额或者违法所得的，予以没收，可以并处违法经营额１倍以上３倍以下或者违法所得３倍以上５倍以下的罚款。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侵占、私分社会团体资产数额5万元以下的；</w:t>
            </w:r>
          </w:p>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挪用社会团体资产数额20万元以下的；</w:t>
            </w:r>
          </w:p>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ascii="仿宋" w:hAnsi="仿宋" w:eastAsia="仿宋" w:cs="宋体"/>
                <w:snapToGrid/>
                <w:sz w:val="20"/>
              </w:rPr>
            </w:pPr>
            <w:r>
              <w:rPr>
                <w:rFonts w:hint="eastAsia" w:ascii="仿宋" w:hAnsi="仿宋" w:eastAsia="仿宋" w:cs="宋体"/>
                <w:snapToGrid/>
                <w:sz w:val="20"/>
              </w:rPr>
              <w:t>违法经营额或者违法所得5万元以下的。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侵占、私分社会团体资产数额5万元以上、10万元以下的；</w:t>
            </w:r>
          </w:p>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挪用社会团体资产数额20万元以上、100万元以下的；</w:t>
            </w:r>
          </w:p>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ascii="仿宋" w:hAnsi="仿宋" w:eastAsia="仿宋" w:cs="宋体"/>
                <w:snapToGrid/>
                <w:sz w:val="20"/>
              </w:rPr>
            </w:pPr>
            <w:r>
              <w:rPr>
                <w:rFonts w:hint="eastAsia" w:ascii="仿宋" w:hAnsi="仿宋" w:eastAsia="仿宋" w:cs="宋体"/>
                <w:snapToGrid/>
                <w:sz w:val="20"/>
              </w:rPr>
              <w:t>违法经营额或者违法所得5万元以上、10万元以下的。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责令限期停止活动，责令撤换直接负责的主管人员，没收违法所得，可并处违法经营额1倍以上2倍以下罚款或者违法所得3倍以上4倍以下罚款。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侵占、私分社会团体资产数额10万元以上的；</w:t>
            </w:r>
          </w:p>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挪用社会团体资产数额100万元以上的；</w:t>
            </w:r>
          </w:p>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ascii="仿宋" w:hAnsi="仿宋" w:eastAsia="仿宋" w:cs="宋体"/>
                <w:snapToGrid/>
                <w:sz w:val="20"/>
              </w:rPr>
            </w:pPr>
            <w:r>
              <w:rPr>
                <w:rFonts w:hint="eastAsia" w:ascii="仿宋" w:hAnsi="仿宋" w:eastAsia="仿宋" w:cs="宋体"/>
                <w:snapToGrid/>
                <w:sz w:val="20"/>
              </w:rPr>
              <w:t>违法经营额或者违法所得10万元以上的。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撤销登记，没收违法所得，可并处违法经营额2倍以上3倍以下罚款或违法所得4倍以上5倍以下罚款。</w:t>
            </w:r>
          </w:p>
        </w:tc>
      </w:tr>
      <w:tr>
        <w:tblPrEx>
          <w:tblCellMar>
            <w:top w:w="0" w:type="dxa"/>
            <w:left w:w="108" w:type="dxa"/>
            <w:bottom w:w="0" w:type="dxa"/>
            <w:right w:w="108" w:type="dxa"/>
          </w:tblCellMar>
        </w:tblPrEx>
        <w:trPr>
          <w:trHeight w:val="39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hint="eastAsia" w:ascii="仿宋" w:hAnsi="仿宋" w:eastAsia="仿宋"/>
                <w:snapToGrid/>
                <w:sz w:val="20"/>
                <w:lang w:val="en-US" w:eastAsia="zh-CN"/>
              </w:rPr>
              <w:t>9</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社会团体违反国家有关规定收取费用、筹集资金或者接受、使用捐赠、资助</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【行政法规】《社会团体登记管理条例》(</w:t>
            </w:r>
            <w:r>
              <w:rPr>
                <w:rFonts w:hint="eastAsia" w:ascii="仿宋" w:hAnsi="仿宋" w:eastAsia="仿宋" w:cs="宋体"/>
                <w:snapToGrid/>
                <w:sz w:val="20"/>
                <w:lang w:eastAsia="zh-CN"/>
              </w:rPr>
              <w:t>1998年10月25日国务院令第250号发布，2016年2月6日国务院令第666号修订</w:t>
            </w:r>
            <w:r>
              <w:rPr>
                <w:rFonts w:hint="eastAsia" w:ascii="仿宋" w:hAnsi="仿宋" w:eastAsia="仿宋" w:cs="宋体"/>
                <w:snapToGrid/>
                <w:sz w:val="20"/>
              </w:rPr>
              <w:t>)</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第三十条  社会团体有下列情形之一的，由登记管理机关给予警告，责令改正，可以限期停止活动，并可以责令撤换直接负责的主管人员；情节严重的，予以撤销登记；构成犯罪的，依法追究刑事责任：</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（八）违反国家有关规定收取费用、筹集资金或者接受、使用捐赠、资助的。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前款规定的行为有违法经营额或者违法所得的，予以没收，可以并处违法经营额１倍以上３倍以下或者违法所得３倍以上５倍以下的罚款。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按国家规定项目和标准收取费用，但未按规定出具相关票据或者履行有关手续的；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违规收取费用或者筹集资金累计10万以下的。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2662"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违规收取费用或者筹集资金累计10万元以上、50万以下的；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违规收取费用或者筹集资金，存在强迫行为的。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责令限期停止活动，责令撤换责任人员，没收违法经营额或者违法所得，可并处违法经营额1倍以上2倍以下罚款或者违法所得3倍以上4倍以下罚款。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违规收取费用或者筹集资金累计50万以上的。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撤销登记，没收违法经营额或者违法所得，可并处罚款并处违法经营额2倍以上3倍以下罚款或违法所得4倍以上5倍以下罚款。</w:t>
            </w:r>
          </w:p>
        </w:tc>
      </w:tr>
      <w:tr>
        <w:tblPrEx>
          <w:tblCellMar>
            <w:top w:w="0" w:type="dxa"/>
            <w:left w:w="108" w:type="dxa"/>
            <w:bottom w:w="0" w:type="dxa"/>
            <w:right w:w="108" w:type="dxa"/>
          </w:tblCellMar>
        </w:tblPrEx>
        <w:trPr>
          <w:trHeight w:val="20"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10</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社会团体违反《社会团体登记管理条例》以外的其他法律、法规，有关国家机关认为应当撤销登记</w:t>
            </w:r>
          </w:p>
        </w:tc>
        <w:tc>
          <w:tcPr>
            <w:tcW w:w="3764"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【行政法规】《社会团体登记管理条例》(</w:t>
            </w:r>
            <w:r>
              <w:rPr>
                <w:rFonts w:hint="eastAsia" w:ascii="仿宋" w:hAnsi="仿宋" w:eastAsia="仿宋" w:cs="宋体"/>
                <w:snapToGrid/>
                <w:sz w:val="20"/>
                <w:lang w:eastAsia="zh-CN"/>
              </w:rPr>
              <w:t>1998年10月25日国务院令第250号发布，2016年2月6日国务院令第666号修订</w:t>
            </w:r>
            <w:r>
              <w:rPr>
                <w:rFonts w:hint="eastAsia" w:ascii="仿宋" w:hAnsi="仿宋" w:eastAsia="仿宋" w:cs="宋体"/>
                <w:snapToGrid/>
                <w:sz w:val="20"/>
              </w:rPr>
              <w:t>)第三十一条  社会团体的活动违反其他法律、法规的，由有关国家机关依法处理；有关国家机关认为应当撤销登记的，由登记管理机关撤销登记。</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违反《社会团体登记管理条例》以外的其他法律、法规，有关国家机关认为应当撤销登记的。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20"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1</w:t>
            </w:r>
            <w:r>
              <w:rPr>
                <w:rFonts w:hint="eastAsia" w:ascii="仿宋" w:hAnsi="仿宋" w:eastAsia="仿宋"/>
                <w:snapToGrid/>
                <w:sz w:val="20"/>
                <w:lang w:val="en-US" w:eastAsia="zh-CN"/>
              </w:rPr>
              <w:t>1</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筹备期间开展筹备以外的活动，或者未经登记，擅自以社会团体名义进行活动，以及被撤销登记的社会团体继续以社会团体名义进行活动</w:t>
            </w:r>
          </w:p>
        </w:tc>
        <w:tc>
          <w:tcPr>
            <w:tcW w:w="3764"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hint="eastAsia" w:ascii="仿宋" w:hAnsi="仿宋" w:eastAsia="仿宋" w:cs="宋体"/>
                <w:snapToGrid/>
                <w:sz w:val="20"/>
              </w:rPr>
            </w:pPr>
            <w:r>
              <w:rPr>
                <w:rFonts w:hint="eastAsia" w:ascii="仿宋" w:hAnsi="仿宋" w:eastAsia="仿宋" w:cs="宋体"/>
                <w:snapToGrid/>
                <w:sz w:val="20"/>
              </w:rPr>
              <w:t>【行政法规】《社会团体登记管理条例》(</w:t>
            </w:r>
            <w:r>
              <w:rPr>
                <w:rFonts w:hint="eastAsia" w:ascii="仿宋" w:hAnsi="仿宋" w:eastAsia="仿宋" w:cs="宋体"/>
                <w:snapToGrid/>
                <w:sz w:val="20"/>
                <w:lang w:eastAsia="zh-CN"/>
              </w:rPr>
              <w:t>1998年10月25日国务院令第250号发布，2016年2月6日国务院令第666号修订</w:t>
            </w:r>
            <w:r>
              <w:rPr>
                <w:rFonts w:hint="eastAsia" w:ascii="仿宋" w:hAnsi="仿宋" w:eastAsia="仿宋" w:cs="宋体"/>
                <w:snapToGrid/>
                <w:sz w:val="20"/>
              </w:rPr>
              <w:t>)</w:t>
            </w:r>
            <w:bookmarkStart w:id="0" w:name="_GoBack"/>
            <w:bookmarkEnd w:id="0"/>
            <w:r>
              <w:rPr>
                <w:rFonts w:hint="eastAsia" w:ascii="仿宋" w:hAnsi="仿宋" w:eastAsia="仿宋" w:cs="宋体"/>
                <w:snapToGrid/>
                <w:sz w:val="20"/>
              </w:rPr>
              <w:t>第三十二条  筹备期间开展筹备以外的活动，或者未经登记，擅自以社会团体名义进行活动，以及被撤销登记的社会团体继续以社会团体名义进行活动的，由登记管理机关予以取缔，没收非法财产；构成犯罪的，依法追究刑事责任；尚不构成犯罪的，依法给予治安管理处罚。</w:t>
            </w:r>
          </w:p>
          <w:p>
            <w:pPr>
              <w:widowControl/>
              <w:autoSpaceDE/>
              <w:autoSpaceDN/>
              <w:snapToGrid/>
              <w:spacing w:line="240" w:lineRule="exact"/>
              <w:ind w:firstLine="0"/>
              <w:rPr>
                <w:rFonts w:hint="eastAsia" w:ascii="仿宋" w:hAnsi="仿宋" w:eastAsia="仿宋" w:cs="宋体"/>
                <w:snapToGrid/>
                <w:sz w:val="20"/>
              </w:rPr>
            </w:pPr>
            <w:r>
              <w:rPr>
                <w:rFonts w:hint="eastAsia" w:ascii="仿宋" w:hAnsi="仿宋" w:eastAsia="仿宋" w:cs="宋体"/>
                <w:snapToGrid/>
                <w:sz w:val="20"/>
              </w:rPr>
              <w:t>【规章】《取缔非法民间组织暂行办法》（民政部令第21号）</w:t>
            </w:r>
          </w:p>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 xml:space="preserve">    第三条  </w:t>
            </w:r>
            <w:r>
              <w:rPr>
                <w:rFonts w:hint="eastAsia" w:ascii="仿宋" w:hAnsi="仿宋" w:eastAsia="仿宋" w:cs="宋体"/>
                <w:snapToGrid/>
                <w:spacing w:val="-6"/>
                <w:sz w:val="20"/>
              </w:rPr>
              <w:t>社会团体和民办非企业单位登记管理机关（以下统称登记管理机关）负责对非法民间组织进行调查，收集有关证据，依法作出取缔决定，没收其非法财产。</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筹备期间开展筹备以外的活动，或者未经登记，擅自以社会团体名义进行活动，以及被撤销登记的社会团体继续以社会团体名义进行活动的。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取缔，没收非法财产。</w:t>
            </w:r>
          </w:p>
        </w:tc>
      </w:tr>
      <w:tr>
        <w:tblPrEx>
          <w:tblCellMar>
            <w:top w:w="0" w:type="dxa"/>
            <w:left w:w="108" w:type="dxa"/>
            <w:bottom w:w="0" w:type="dxa"/>
            <w:right w:w="108" w:type="dxa"/>
          </w:tblCellMar>
        </w:tblPrEx>
        <w:trPr>
          <w:trHeight w:val="397" w:hRule="atLeast"/>
          <w:jc w:val="center"/>
        </w:trPr>
        <w:tc>
          <w:tcPr>
            <w:tcW w:w="9639" w:type="dxa"/>
            <w:gridSpan w:val="5"/>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黑体" w:hAnsi="黑体" w:eastAsia="黑体" w:cs="宋体"/>
                <w:snapToGrid/>
                <w:sz w:val="21"/>
                <w:szCs w:val="21"/>
              </w:rPr>
            </w:pPr>
            <w:r>
              <w:rPr>
                <w:rFonts w:hint="eastAsia" w:ascii="黑体" w:hAnsi="黑体" w:eastAsia="黑体" w:cs="宋体"/>
                <w:snapToGrid/>
                <w:sz w:val="21"/>
                <w:szCs w:val="21"/>
              </w:rPr>
              <w:t>二、民办非企业单位管理</w:t>
            </w:r>
          </w:p>
        </w:tc>
      </w:tr>
      <w:tr>
        <w:tblPrEx>
          <w:tblCellMar>
            <w:top w:w="0" w:type="dxa"/>
            <w:left w:w="108" w:type="dxa"/>
            <w:bottom w:w="0" w:type="dxa"/>
            <w:right w:w="108" w:type="dxa"/>
          </w:tblCellMar>
        </w:tblPrEx>
        <w:trPr>
          <w:trHeight w:val="20"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1</w:t>
            </w:r>
            <w:r>
              <w:rPr>
                <w:rFonts w:hint="eastAsia" w:ascii="仿宋" w:hAnsi="仿宋" w:eastAsia="仿宋"/>
                <w:snapToGrid/>
                <w:sz w:val="20"/>
                <w:lang w:val="en-US" w:eastAsia="zh-CN"/>
              </w:rPr>
              <w:t>2</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民办非企业单位在申请登记时弄虚作假，骗取登记的，或者业务主管单位撤销批准</w:t>
            </w:r>
          </w:p>
        </w:tc>
        <w:tc>
          <w:tcPr>
            <w:tcW w:w="3764"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 xml:space="preserve">    第二十四条  民办非企业单位在申请登记时弄虚作假，骗取登记的，或者业务主管单位撤销批准的，由登记管理机关予以撤销登记。</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申请登记时弄虚作假，骗取登记的。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39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13</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涂改、出租、出借民办非企业单位登记证书，或者出租、出借民办非企业单位印章</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40" w:lineRule="exact"/>
              <w:ind w:firstLine="0"/>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widowControl/>
              <w:autoSpaceDE/>
              <w:autoSpaceDN/>
              <w:snapToGrid/>
              <w:spacing w:line="240" w:lineRule="exact"/>
              <w:ind w:firstLine="0"/>
              <w:rPr>
                <w:rFonts w:hint="eastAsia" w:ascii="仿宋" w:hAnsi="仿宋" w:eastAsia="仿宋" w:cs="宋体"/>
                <w:snapToGrid/>
                <w:sz w:val="20"/>
              </w:rPr>
            </w:pPr>
            <w:r>
              <w:rPr>
                <w:rFonts w:hint="eastAsia" w:ascii="仿宋" w:hAnsi="仿宋" w:eastAsia="仿宋" w:cs="宋体"/>
                <w:snapToGrid/>
                <w:sz w:val="20"/>
              </w:rPr>
              <w:t xml:space="preserve">    第二十五条  民办非企业单位有下列情形之一的，由登记管理机关予以警告，责令改正，可以限期停止活动；情节严重的，予以撤销登记；构成犯罪的，依法追究刑事责任：</w:t>
            </w:r>
          </w:p>
          <w:p>
            <w:pPr>
              <w:widowControl/>
              <w:autoSpaceDE/>
              <w:autoSpaceDN/>
              <w:snapToGrid/>
              <w:spacing w:line="240" w:lineRule="exact"/>
              <w:ind w:firstLine="0"/>
              <w:rPr>
                <w:rFonts w:hint="eastAsia" w:ascii="仿宋" w:hAnsi="仿宋" w:eastAsia="仿宋" w:cs="宋体"/>
                <w:snapToGrid/>
                <w:sz w:val="20"/>
              </w:rPr>
            </w:pPr>
            <w:r>
              <w:rPr>
                <w:rFonts w:hint="eastAsia" w:ascii="仿宋" w:hAnsi="仿宋" w:eastAsia="仿宋" w:cs="宋体"/>
                <w:snapToGrid/>
                <w:sz w:val="20"/>
              </w:rPr>
              <w:t xml:space="preserve">    （一）涂改、出租、出借民办非企业单位登记证书，或者出租、出借民办非企业单位印章的；</w:t>
            </w:r>
          </w:p>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hint="eastAsia" w:ascii="仿宋" w:hAnsi="仿宋" w:eastAsia="仿宋" w:cs="宋体"/>
                <w:snapToGrid/>
                <w:spacing w:val="-6"/>
                <w:sz w:val="20"/>
              </w:rPr>
            </w:pPr>
            <w:r>
              <w:rPr>
                <w:rFonts w:hint="eastAsia" w:ascii="仿宋" w:hAnsi="仿宋" w:eastAsia="仿宋" w:cs="宋体"/>
                <w:snapToGrid/>
                <w:spacing w:val="-6"/>
                <w:sz w:val="20"/>
              </w:rPr>
              <w:t>涂改证书事项2项以下的；</w:t>
            </w:r>
          </w:p>
          <w:p>
            <w:pPr>
              <w:widowControl/>
              <w:autoSpaceDE/>
              <w:autoSpaceDN/>
              <w:snapToGrid/>
              <w:spacing w:line="240" w:lineRule="exact"/>
              <w:ind w:firstLine="0"/>
              <w:rPr>
                <w:rFonts w:hint="eastAsia" w:ascii="仿宋" w:hAnsi="仿宋" w:eastAsia="仿宋" w:cs="宋体"/>
                <w:snapToGrid/>
                <w:spacing w:val="-6"/>
                <w:sz w:val="20"/>
              </w:rPr>
            </w:pPr>
            <w:r>
              <w:rPr>
                <w:rFonts w:hint="eastAsia" w:ascii="仿宋" w:hAnsi="仿宋" w:eastAsia="仿宋" w:cs="宋体"/>
                <w:snapToGrid/>
                <w:spacing w:val="-6"/>
                <w:sz w:val="20"/>
              </w:rPr>
              <w:t>约定出租、出借时间1年以下的；</w:t>
            </w:r>
          </w:p>
          <w:p>
            <w:pPr>
              <w:widowControl/>
              <w:autoSpaceDE/>
              <w:autoSpaceDN/>
              <w:snapToGrid/>
              <w:spacing w:line="240" w:lineRule="exact"/>
              <w:ind w:firstLine="0"/>
              <w:rPr>
                <w:rFonts w:ascii="仿宋" w:hAnsi="仿宋" w:eastAsia="仿宋" w:cs="宋体"/>
                <w:snapToGrid/>
                <w:spacing w:val="-6"/>
                <w:sz w:val="20"/>
              </w:rPr>
            </w:pPr>
            <w:r>
              <w:rPr>
                <w:rFonts w:hint="eastAsia" w:ascii="仿宋" w:hAnsi="仿宋" w:eastAsia="仿宋" w:cs="宋体"/>
                <w:snapToGrid/>
                <w:spacing w:val="-6"/>
                <w:sz w:val="20"/>
              </w:rPr>
              <w:t>违法经营额或者违法所得5万元以下的。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hint="eastAsia" w:ascii="仿宋" w:hAnsi="仿宋" w:eastAsia="仿宋" w:cs="宋体"/>
                <w:snapToGrid/>
                <w:sz w:val="20"/>
              </w:rPr>
            </w:pPr>
            <w:r>
              <w:rPr>
                <w:rFonts w:hint="eastAsia" w:ascii="仿宋" w:hAnsi="仿宋" w:eastAsia="仿宋" w:cs="宋体"/>
                <w:snapToGrid/>
                <w:sz w:val="20"/>
              </w:rPr>
              <w:t>涂改证书事项3至4项的；</w:t>
            </w:r>
          </w:p>
          <w:p>
            <w:pPr>
              <w:widowControl/>
              <w:autoSpaceDE/>
              <w:autoSpaceDN/>
              <w:snapToGrid/>
              <w:spacing w:line="240" w:lineRule="exact"/>
              <w:ind w:firstLine="0"/>
              <w:rPr>
                <w:rFonts w:hint="eastAsia" w:ascii="仿宋" w:hAnsi="仿宋" w:eastAsia="仿宋" w:cs="宋体"/>
                <w:snapToGrid/>
                <w:spacing w:val="-8"/>
                <w:sz w:val="20"/>
              </w:rPr>
            </w:pPr>
            <w:r>
              <w:rPr>
                <w:rFonts w:hint="eastAsia" w:ascii="仿宋" w:hAnsi="仿宋" w:eastAsia="仿宋" w:cs="宋体"/>
                <w:snapToGrid/>
                <w:spacing w:val="-8"/>
                <w:sz w:val="20"/>
              </w:rPr>
              <w:t>约定出租、出借时间1年以上、2年以下的；</w:t>
            </w:r>
          </w:p>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违法经营额或者违法所得5万元以上、10万元以下的。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责令限期停止活动，没收违法经营额或者违法所得，可并处违法经营额1倍以上2倍以下罚款或者违法所得3倍以上4倍以下罚款。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hint="eastAsia" w:ascii="仿宋" w:hAnsi="仿宋" w:eastAsia="仿宋" w:cs="宋体"/>
                <w:snapToGrid/>
                <w:sz w:val="20"/>
              </w:rPr>
            </w:pPr>
            <w:r>
              <w:rPr>
                <w:rFonts w:hint="eastAsia" w:ascii="仿宋" w:hAnsi="仿宋" w:eastAsia="仿宋" w:cs="宋体"/>
                <w:snapToGrid/>
                <w:sz w:val="20"/>
              </w:rPr>
              <w:t>涂改证书事项5项以上的；</w:t>
            </w:r>
          </w:p>
          <w:p>
            <w:pPr>
              <w:widowControl/>
              <w:autoSpaceDE/>
              <w:autoSpaceDN/>
              <w:snapToGrid/>
              <w:spacing w:line="240" w:lineRule="exact"/>
              <w:ind w:firstLine="0"/>
              <w:rPr>
                <w:rFonts w:hint="eastAsia" w:ascii="仿宋" w:hAnsi="仿宋" w:eastAsia="仿宋" w:cs="宋体"/>
                <w:snapToGrid/>
                <w:sz w:val="20"/>
              </w:rPr>
            </w:pPr>
            <w:r>
              <w:rPr>
                <w:rFonts w:hint="eastAsia" w:ascii="仿宋" w:hAnsi="仿宋" w:eastAsia="仿宋" w:cs="宋体"/>
                <w:snapToGrid/>
                <w:sz w:val="20"/>
              </w:rPr>
              <w:t>约定出租、出借时间2年以上的；</w:t>
            </w:r>
          </w:p>
          <w:p>
            <w:pPr>
              <w:widowControl/>
              <w:autoSpaceDE/>
              <w:autoSpaceDN/>
              <w:snapToGrid/>
              <w:spacing w:line="240" w:lineRule="exact"/>
              <w:ind w:firstLine="0"/>
              <w:rPr>
                <w:rFonts w:hint="eastAsia" w:ascii="仿宋" w:hAnsi="仿宋" w:eastAsia="仿宋" w:cs="宋体"/>
                <w:snapToGrid/>
                <w:spacing w:val="-4"/>
                <w:sz w:val="20"/>
              </w:rPr>
            </w:pPr>
            <w:r>
              <w:rPr>
                <w:rFonts w:hint="eastAsia" w:ascii="仿宋" w:hAnsi="仿宋" w:eastAsia="仿宋" w:cs="宋体"/>
                <w:snapToGrid/>
                <w:spacing w:val="-4"/>
                <w:sz w:val="20"/>
              </w:rPr>
              <w:t>违法经营额或者违法所得10万元以上的；</w:t>
            </w:r>
          </w:p>
          <w:p>
            <w:pPr>
              <w:widowControl/>
              <w:autoSpaceDE/>
              <w:autoSpaceDN/>
              <w:snapToGrid/>
              <w:spacing w:line="240" w:lineRule="exact"/>
              <w:ind w:firstLine="0"/>
              <w:rPr>
                <w:rFonts w:ascii="仿宋" w:hAnsi="仿宋" w:eastAsia="仿宋" w:cs="宋体"/>
                <w:snapToGrid/>
                <w:spacing w:val="-12"/>
                <w:sz w:val="20"/>
              </w:rPr>
            </w:pPr>
            <w:r>
              <w:rPr>
                <w:rFonts w:hint="eastAsia" w:ascii="仿宋" w:hAnsi="仿宋" w:eastAsia="仿宋" w:cs="宋体"/>
                <w:snapToGrid/>
                <w:spacing w:val="-12"/>
                <w:sz w:val="20"/>
              </w:rPr>
              <w:t>拒不按照要求改正的。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40" w:lineRule="exact"/>
              <w:ind w:firstLine="0"/>
              <w:rPr>
                <w:rFonts w:ascii="仿宋" w:hAnsi="仿宋" w:eastAsia="仿宋" w:cs="宋体"/>
                <w:snapToGrid/>
                <w:sz w:val="20"/>
              </w:rPr>
            </w:pPr>
            <w:r>
              <w:rPr>
                <w:rFonts w:hint="eastAsia" w:ascii="仿宋" w:hAnsi="仿宋" w:eastAsia="仿宋" w:cs="宋体"/>
                <w:snapToGrid/>
                <w:sz w:val="20"/>
              </w:rPr>
              <w:t>撤销登记，没收违法经营额或者违法</w:t>
            </w:r>
            <w:r>
              <w:rPr>
                <w:rFonts w:hint="eastAsia" w:ascii="仿宋" w:hAnsi="仿宋" w:eastAsia="仿宋" w:cs="宋体"/>
                <w:snapToGrid/>
                <w:spacing w:val="-4"/>
                <w:sz w:val="20"/>
              </w:rPr>
              <w:t>所得，可并处违法经营额2倍以上3倍以下罚款或违法所得4倍以上5倍以下罚款。</w:t>
            </w:r>
          </w:p>
        </w:tc>
      </w:tr>
      <w:tr>
        <w:tblPrEx>
          <w:tblCellMar>
            <w:top w:w="0" w:type="dxa"/>
            <w:left w:w="108" w:type="dxa"/>
            <w:bottom w:w="0" w:type="dxa"/>
            <w:right w:w="108" w:type="dxa"/>
          </w:tblCellMar>
        </w:tblPrEx>
        <w:trPr>
          <w:trHeight w:val="23"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1</w:t>
            </w:r>
            <w:r>
              <w:rPr>
                <w:rFonts w:hint="eastAsia" w:ascii="仿宋" w:hAnsi="仿宋" w:eastAsia="仿宋"/>
                <w:snapToGrid/>
                <w:sz w:val="20"/>
                <w:lang w:val="en-US" w:eastAsia="zh-CN"/>
              </w:rPr>
              <w:t>4</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民办非企业单位超出其章程规定的宗旨和业务范围进行活动</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第二十五条  民办非企业单位有下列情形之一的，由登记管理机关予以警告，责令改正，可以限期停止活动；情节严重的，予以撤销登记；构成犯罪的，依法追究刑事责任：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（二）超出其章程规定的宗旨和业务范围进行活动的；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初次超出章程规定的宗旨和业务范围进行活动的；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pacing w:val="-6"/>
                <w:sz w:val="20"/>
              </w:rPr>
            </w:pPr>
            <w:r>
              <w:rPr>
                <w:rFonts w:hint="eastAsia" w:ascii="仿宋" w:hAnsi="仿宋" w:eastAsia="仿宋" w:cs="宋体"/>
                <w:snapToGrid/>
                <w:spacing w:val="-6"/>
                <w:sz w:val="20"/>
              </w:rPr>
              <w:t>违法经营额或者违法所得5万元以下的；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及时改正，且尚未造成不良影响的。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超出章程规定的宗旨和业务范围进行活动2次到3次的；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违法经营额或者违法所得5万元以上、10万元以下的；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造成不良影响的。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责令限期停止活动，没收违法经营额或者违法所得，可并处违法经营额1倍以上2倍以下罚款或者违法所得3倍以上4倍以下罚款。</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超出章程规定的宗旨和业务范围进行活动4次以上的；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违法经营额或者违法所得10万元以上的；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造成重大不良影响的。 </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pacing w:val="-2"/>
                <w:sz w:val="20"/>
              </w:rPr>
            </w:pPr>
            <w:r>
              <w:rPr>
                <w:rFonts w:hint="eastAsia" w:ascii="仿宋" w:hAnsi="仿宋" w:eastAsia="仿宋" w:cs="宋体"/>
                <w:snapToGrid/>
                <w:spacing w:val="-2"/>
                <w:sz w:val="20"/>
              </w:rPr>
              <w:t>撤销登记，没收违法经营额或者违法所得，可并处违法经营额2倍以上3倍以下罚款或违法所得4倍以上5倍以下罚款。</w:t>
            </w:r>
          </w:p>
        </w:tc>
      </w:tr>
      <w:tr>
        <w:tblPrEx>
          <w:tblCellMar>
            <w:top w:w="0" w:type="dxa"/>
            <w:left w:w="108" w:type="dxa"/>
            <w:bottom w:w="0" w:type="dxa"/>
            <w:right w:w="108" w:type="dxa"/>
          </w:tblCellMar>
        </w:tblPrEx>
        <w:trPr>
          <w:trHeight w:val="23"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15</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民办非企业单位拒不接受或者不按照规定接受监督检查</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第二十五条  民办非企业单位有下列情形之一的，由登记管理机关予以警告，责令改正，可以限期停止活动；情节严重的，予以撤销登记；构成犯罪的，依法追究刑事责任：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（三）拒不接受或者不按照规定接受监督检查的；</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1年不参加年度检查的；</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不按照规定接受监督检查的；</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拒不接受监督检查的。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累计2次以上不按照规定接受监督检查的；</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累计2次以上拒不接受监督检查的。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连续</w:t>
            </w:r>
            <w:r>
              <w:rPr>
                <w:rFonts w:hint="eastAsia" w:ascii="仿宋" w:hAnsi="仿宋" w:eastAsia="仿宋" w:cs="宋体"/>
                <w:snapToGrid/>
                <w:sz w:val="20"/>
                <w:lang w:val="en-US" w:eastAsia="zh-CN"/>
              </w:rPr>
              <w:t>2</w:t>
            </w:r>
            <w:r>
              <w:rPr>
                <w:rFonts w:hint="eastAsia" w:ascii="仿宋" w:hAnsi="仿宋" w:eastAsia="仿宋" w:cs="宋体"/>
                <w:snapToGrid/>
                <w:sz w:val="20"/>
              </w:rPr>
              <w:t>年以上不参加年度检查的；</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情节严重的。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794"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1</w:t>
            </w:r>
            <w:r>
              <w:rPr>
                <w:rFonts w:hint="eastAsia" w:ascii="仿宋" w:hAnsi="仿宋" w:eastAsia="仿宋"/>
                <w:snapToGrid/>
                <w:sz w:val="20"/>
                <w:lang w:val="en-US" w:eastAsia="zh-CN"/>
              </w:rPr>
              <w:t>6</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民办非企业单位不按照规定办理变更登记</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第二十五条  民办非企业单位有下列情形之一的，由登记管理机关予以警告，责令改正，可以限期停止活动；情节严重的，予以撤销登记；构成犯罪的，依法追究刑事责任：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（四）不按照规定办理变更登记的；</w:t>
            </w:r>
          </w:p>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不按照规定变更登记事项1项的。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79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不按照规定变更登记事项2至3项的。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不按照规定变更登记事项4项以上的。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5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1871"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1</w:t>
            </w:r>
            <w:r>
              <w:rPr>
                <w:rFonts w:hint="eastAsia" w:ascii="仿宋" w:hAnsi="仿宋" w:eastAsia="仿宋"/>
                <w:snapToGrid/>
                <w:sz w:val="20"/>
                <w:lang w:val="en-US" w:eastAsia="zh-CN"/>
              </w:rPr>
              <w:t>7</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民办非企业单位设立分支机构</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第二十五条  民办非企业单位有下列情形之一的，由登记管理机关予以警告，责令改正，可以限期停止活动；情节严重的，予以撤销登记；构成犯罪的，依法追究刑事责任：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（五）设立分支机构的；</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pacing w:val="-4"/>
                <w:sz w:val="20"/>
              </w:rPr>
            </w:pPr>
            <w:r>
              <w:rPr>
                <w:rFonts w:hint="eastAsia" w:ascii="仿宋" w:hAnsi="仿宋" w:eastAsia="仿宋" w:cs="宋体"/>
                <w:snapToGrid/>
                <w:spacing w:val="-4"/>
                <w:sz w:val="20"/>
              </w:rPr>
              <w:t>擅自设立分支机构，累计不超过1个的；违法经营额或者违法所得5万元以下的。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1871"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擅自设立分支机构，累计2个以上，5个以下的；</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违法经营额或者违法所得5万元以上、10万元以下的。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pacing w:val="-10"/>
                <w:sz w:val="20"/>
              </w:rPr>
            </w:pPr>
            <w:r>
              <w:rPr>
                <w:rFonts w:hint="eastAsia" w:ascii="仿宋" w:hAnsi="仿宋" w:eastAsia="仿宋" w:cs="宋体"/>
                <w:snapToGrid/>
                <w:spacing w:val="-10"/>
                <w:sz w:val="20"/>
              </w:rPr>
              <w:t>责令限期停止活动，没收违法经营额或者违法所得，并处违法经营额1倍以上2倍以下罚款或者违法所得3倍以上4倍以下罚款。</w:t>
            </w:r>
          </w:p>
        </w:tc>
      </w:tr>
      <w:tr>
        <w:tblPrEx>
          <w:tblCellMar>
            <w:top w:w="0" w:type="dxa"/>
            <w:left w:w="108" w:type="dxa"/>
            <w:bottom w:w="0" w:type="dxa"/>
            <w:right w:w="108" w:type="dxa"/>
          </w:tblCellMar>
        </w:tblPrEx>
        <w:trPr>
          <w:trHeight w:val="1871"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擅自设立分支机构，累计5个以上的；</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违法经营额或者违法所得10万元以上的。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撤销登记，没收违法经营额或者违法所得，并处违法经营额2倍以上3倍以下罚款或违法所得4倍以上5倍以下罚款。</w:t>
            </w:r>
          </w:p>
        </w:tc>
      </w:tr>
      <w:tr>
        <w:tblPrEx>
          <w:tblCellMar>
            <w:top w:w="0" w:type="dxa"/>
            <w:left w:w="108" w:type="dxa"/>
            <w:bottom w:w="0" w:type="dxa"/>
            <w:right w:w="108" w:type="dxa"/>
          </w:tblCellMar>
        </w:tblPrEx>
        <w:trPr>
          <w:trHeight w:val="1871"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1</w:t>
            </w:r>
            <w:r>
              <w:rPr>
                <w:rFonts w:hint="eastAsia" w:ascii="仿宋" w:hAnsi="仿宋" w:eastAsia="仿宋"/>
                <w:snapToGrid/>
                <w:sz w:val="20"/>
                <w:lang w:val="en-US" w:eastAsia="zh-CN"/>
              </w:rPr>
              <w:t>8</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民办非企业单位从事营利性的经营活动</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第二十五条  民办非企业单位有下列情形之一的，由登记管理机关予以警告，责令改正，可以限期停止活动；情节严重的，予以撤销登记；构成犯罪的，依法追究刑事责任：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（六）从事营利性的经营活动的；</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违法活动在6个月以下的；</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pacing w:val="-6"/>
                <w:sz w:val="20"/>
              </w:rPr>
            </w:pPr>
            <w:r>
              <w:rPr>
                <w:rFonts w:hint="eastAsia" w:ascii="仿宋" w:hAnsi="仿宋" w:eastAsia="仿宋" w:cs="宋体"/>
                <w:snapToGrid/>
                <w:spacing w:val="-6"/>
                <w:sz w:val="20"/>
              </w:rPr>
              <w:t>违法经营额或者违法所得20万元以下的。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1871"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持续时间在6个月以上、1年以下的；</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违法经营额或者违法所得20万元以上、100万元以下的。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责令限期停止活动，没收违法经营额或者违法所得，可并处违法经营额1倍以上2倍以下罚款或者违法所得3倍以上4倍以下罚款。</w:t>
            </w:r>
          </w:p>
        </w:tc>
      </w:tr>
      <w:tr>
        <w:tblPrEx>
          <w:tblCellMar>
            <w:top w:w="0" w:type="dxa"/>
            <w:left w:w="108" w:type="dxa"/>
            <w:bottom w:w="0" w:type="dxa"/>
            <w:right w:w="108" w:type="dxa"/>
          </w:tblCellMar>
        </w:tblPrEx>
        <w:trPr>
          <w:trHeight w:val="2166"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持续时间在1年以上的；</w:t>
            </w:r>
          </w:p>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违法经营额或者违法所得100万元以上的。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撤销登记，没收违</w:t>
            </w:r>
            <w:r>
              <w:rPr>
                <w:rFonts w:hint="eastAsia" w:ascii="仿宋" w:hAnsi="仿宋" w:eastAsia="仿宋" w:cs="宋体"/>
                <w:snapToGrid/>
                <w:spacing w:val="-4"/>
                <w:sz w:val="20"/>
              </w:rPr>
              <w:t>法经营额或者违法所得，可并处违法经营额2倍以上3倍以下罚款或违法所得4倍以上5倍以下罚款。</w:t>
            </w:r>
          </w:p>
        </w:tc>
      </w:tr>
      <w:tr>
        <w:tblPrEx>
          <w:tblCellMar>
            <w:top w:w="0" w:type="dxa"/>
            <w:left w:w="108" w:type="dxa"/>
            <w:bottom w:w="0" w:type="dxa"/>
            <w:right w:w="108" w:type="dxa"/>
          </w:tblCellMar>
        </w:tblPrEx>
        <w:trPr>
          <w:trHeight w:val="23"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19</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民办非企业单位侵占、私分、挪用民办非企业单位的资产或者所接受的捐赠、资助</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第二十五条  民办非企业单位有下列情形之一的，由登记管理机关予以警告，责令改正，可以限期停止活动；情节严重的，予以撤销登记；构成犯罪的，依法追究刑事责任：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（七）侵占、私分、挪用民办非企业单位的资产或者所接受的捐赠、资助的；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pacing w:val="-11"/>
                <w:sz w:val="20"/>
              </w:rPr>
            </w:pPr>
            <w:r>
              <w:rPr>
                <w:rFonts w:hint="eastAsia" w:ascii="仿宋" w:hAnsi="仿宋" w:eastAsia="仿宋" w:cs="宋体"/>
                <w:snapToGrid/>
                <w:spacing w:val="-11"/>
                <w:sz w:val="20"/>
              </w:rPr>
              <w:t>侵占、私分民办非企业单位资产数额5万元以下的；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pacing w:val="-11"/>
                <w:sz w:val="20"/>
              </w:rPr>
            </w:pPr>
            <w:r>
              <w:rPr>
                <w:rFonts w:hint="eastAsia" w:ascii="仿宋" w:hAnsi="仿宋" w:eastAsia="仿宋" w:cs="宋体"/>
                <w:snapToGrid/>
                <w:spacing w:val="-11"/>
                <w:sz w:val="20"/>
              </w:rPr>
              <w:t>挪用民办非企业单位资产数额20万元以下的；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pacing w:val="-11"/>
                <w:sz w:val="20"/>
              </w:rPr>
            </w:pPr>
            <w:r>
              <w:rPr>
                <w:rFonts w:hint="eastAsia" w:ascii="仿宋" w:hAnsi="仿宋" w:eastAsia="仿宋" w:cs="宋体"/>
                <w:snapToGrid/>
                <w:spacing w:val="-11"/>
                <w:sz w:val="20"/>
              </w:rPr>
              <w:t>违法经营额或者违法所得5万元以下的。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侵占、私分民办非企业单位资产数额5万元以上、10万元以下的；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pacing w:val="-4"/>
                <w:sz w:val="20"/>
              </w:rPr>
            </w:pPr>
            <w:r>
              <w:rPr>
                <w:rFonts w:hint="eastAsia" w:ascii="仿宋" w:hAnsi="仿宋" w:eastAsia="仿宋" w:cs="宋体"/>
                <w:snapToGrid/>
                <w:spacing w:val="-4"/>
                <w:sz w:val="20"/>
              </w:rPr>
              <w:t>挪用民办非企业单位资产数额20万元以上、100万元以下的；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违法经营额或者违法所得5万元以上、10万元以下的。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责令限期停止活动，没收违法所得，可并处违法经营额1倍以上2倍以下罚款或者违法所得3倍以上4倍以下罚款。</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侵占、私分民办非企业单位资产数额10万元以上的；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pacing w:val="-4"/>
                <w:sz w:val="20"/>
              </w:rPr>
            </w:pPr>
            <w:r>
              <w:rPr>
                <w:rFonts w:hint="eastAsia" w:ascii="仿宋" w:hAnsi="仿宋" w:eastAsia="仿宋" w:cs="宋体"/>
                <w:snapToGrid/>
                <w:spacing w:val="-4"/>
                <w:sz w:val="20"/>
              </w:rPr>
              <w:t>挪用</w:t>
            </w:r>
            <w:r>
              <w:rPr>
                <w:rFonts w:hint="eastAsia" w:ascii="仿宋" w:hAnsi="仿宋" w:eastAsia="仿宋" w:cs="宋体"/>
                <w:snapToGrid/>
                <w:sz w:val="20"/>
              </w:rPr>
              <w:t>民办非企业单位</w:t>
            </w:r>
            <w:r>
              <w:rPr>
                <w:rFonts w:hint="eastAsia" w:ascii="仿宋" w:hAnsi="仿宋" w:eastAsia="仿宋" w:cs="宋体"/>
                <w:snapToGrid/>
                <w:spacing w:val="-4"/>
                <w:sz w:val="20"/>
              </w:rPr>
              <w:t>资产数额100万元以上的；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pacing w:val="-4"/>
                <w:sz w:val="20"/>
              </w:rPr>
            </w:pPr>
            <w:r>
              <w:rPr>
                <w:rFonts w:hint="eastAsia" w:ascii="仿宋" w:hAnsi="仿宋" w:eastAsia="仿宋" w:cs="宋体"/>
                <w:snapToGrid/>
                <w:spacing w:val="-4"/>
                <w:sz w:val="20"/>
              </w:rPr>
              <w:t>违法经营额或者违法所得10万元以上的。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撤销登记，没收违法所得，可并处违法经营额2倍以上3倍以下罚款或违法所得4倍以上5倍以下罚款。</w:t>
            </w:r>
          </w:p>
        </w:tc>
      </w:tr>
      <w:tr>
        <w:tblPrEx>
          <w:tblCellMar>
            <w:top w:w="0" w:type="dxa"/>
            <w:left w:w="108" w:type="dxa"/>
            <w:bottom w:w="0" w:type="dxa"/>
            <w:right w:w="108" w:type="dxa"/>
          </w:tblCellMar>
        </w:tblPrEx>
        <w:trPr>
          <w:trHeight w:val="23"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20</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民办非企业单位违反国家有关规定收取费用、筹集资金或者接受使用捐赠、资助</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第二十五条  民办非企业单位有下列情形之一的，由登记管理机关予以警告，责令改正，可以限期停止活动；情节严重的，予以撤销登记；构成犯罪的，依法追究刑事责任：</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（八）违反国家有关规定收取费用、筹集资金或者接受使用捐赠、资助的。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前款规定的行为有违法经营额或者违法所得的，予以没收，可以并处违法经营额1倍以上3倍以下或者违法所得3倍以上5倍以下的罚款。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按国家规定项目和标准收取费用，但未按规定出具相关票据或者履行有关手续的；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违规收取费用或者筹集资金累计10万以下的。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警告，没收违法经营额或者违法所得。</w:t>
            </w:r>
          </w:p>
        </w:tc>
      </w:tr>
      <w:tr>
        <w:tblPrEx>
          <w:tblCellMar>
            <w:top w:w="0" w:type="dxa"/>
            <w:left w:w="108" w:type="dxa"/>
            <w:bottom w:w="0" w:type="dxa"/>
            <w:right w:w="108" w:type="dxa"/>
          </w:tblCellMar>
        </w:tblPrEx>
        <w:trPr>
          <w:trHeight w:val="2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违规收取费用或者筹集资金累计10万元以上、50万元以下的；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违规收取费用或者筹集资金，存在强迫行为的。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责令限期停止活动，没收违法经营额或者违法所得，可并处违法经营额1倍以上2倍以下罚款或者违法所得3倍以上4倍以下罚款。</w:t>
            </w:r>
          </w:p>
        </w:tc>
      </w:tr>
      <w:tr>
        <w:tblPrEx>
          <w:tblCellMar>
            <w:top w:w="0" w:type="dxa"/>
            <w:left w:w="108" w:type="dxa"/>
            <w:bottom w:w="0" w:type="dxa"/>
            <w:right w:w="108" w:type="dxa"/>
          </w:tblCellMar>
        </w:tblPrEx>
        <w:trPr>
          <w:trHeight w:val="2110"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违规收取费用或者筹集资金累计50万元以上的。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60" w:lineRule="exact"/>
              <w:ind w:firstLine="0"/>
              <w:rPr>
                <w:rFonts w:ascii="仿宋" w:hAnsi="仿宋" w:eastAsia="仿宋" w:cs="宋体"/>
                <w:snapToGrid/>
                <w:sz w:val="20"/>
              </w:rPr>
            </w:pPr>
            <w:r>
              <w:rPr>
                <w:rFonts w:hint="eastAsia" w:ascii="仿宋" w:hAnsi="仿宋" w:eastAsia="仿宋" w:cs="宋体"/>
                <w:snapToGrid/>
                <w:sz w:val="20"/>
              </w:rPr>
              <w:t>撤销登记，没收违法经营额或者违法所得，可并处罚款并处违法经营额2倍以上3倍以下罚款或违法所得4倍以上5倍以下罚款。</w:t>
            </w:r>
          </w:p>
        </w:tc>
      </w:tr>
      <w:tr>
        <w:tblPrEx>
          <w:tblCellMar>
            <w:top w:w="0" w:type="dxa"/>
            <w:left w:w="108" w:type="dxa"/>
            <w:bottom w:w="0" w:type="dxa"/>
            <w:right w:w="108" w:type="dxa"/>
          </w:tblCellMar>
        </w:tblPrEx>
        <w:trPr>
          <w:trHeight w:val="2393"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2</w:t>
            </w:r>
            <w:r>
              <w:rPr>
                <w:rFonts w:hint="eastAsia" w:ascii="仿宋" w:hAnsi="仿宋" w:eastAsia="仿宋"/>
                <w:snapToGrid/>
                <w:sz w:val="20"/>
                <w:lang w:val="en-US" w:eastAsia="zh-CN"/>
              </w:rPr>
              <w:t>1</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民办非企业单位的活动违反《民办非企业单位登记管理暂行条例》以外的其他法律、法规，有关国家机关认为应当撤销登记</w:t>
            </w:r>
          </w:p>
        </w:tc>
        <w:tc>
          <w:tcPr>
            <w:tcW w:w="376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    第二十六条  民办非企业单位的活动违反其他法律、法规的，由有关国家机关依法处理；有关国家机关认为应当撤销登记的，由登记管理机关撤销登记。</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违反《民办非企业单位登记管理暂行条例》以外的其他法律、法规，有关国家机关认为应当撤销登记的。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2381"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2</w:t>
            </w:r>
            <w:r>
              <w:rPr>
                <w:rFonts w:hint="eastAsia" w:ascii="仿宋" w:hAnsi="仿宋" w:eastAsia="仿宋"/>
                <w:snapToGrid/>
                <w:sz w:val="20"/>
                <w:lang w:val="en-US" w:eastAsia="zh-CN"/>
              </w:rPr>
              <w:t>2</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未经登记，擅自以民办非企业单位名义进行活动的，或者被撤销登记的民办非企业单位继续以民办非企业单位名义进行活动</w:t>
            </w:r>
          </w:p>
        </w:tc>
        <w:tc>
          <w:tcPr>
            <w:tcW w:w="37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【行政法规】《民办非企业单位登记管理暂行条例》(国务院令第251号)</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第二十七条  未经登记，擅自以民办非企业单位名义进行活动的，或者被撤销登记的民办非企业单位继续以民办非企业单位名义进行活动的，由登记管理机关予以取缔，没收非法财产；构成犯罪的，依法追究刑事责任；尚不构成犯罪的，依法给予治安管理处罚。</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【规章】《取缔非法民间组织暂行办法》（民政部令第21号）</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第三条  社会团体和民办非企业单位登记管理机关（以下统称登记管理机关）负责对非法民间组织进行调查，收集有关证据，依法作出取缔决定，没收其非法财产。</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未经登记，擅自以民办非企业单位名义进行活动的，或者被撤销登记的民办非企业单位继续以民办非企业单位名义进行活动的。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取缔，没收非法财产。</w:t>
            </w:r>
          </w:p>
        </w:tc>
      </w:tr>
      <w:tr>
        <w:tblPrEx>
          <w:tblCellMar>
            <w:top w:w="0" w:type="dxa"/>
            <w:left w:w="108" w:type="dxa"/>
            <w:bottom w:w="0" w:type="dxa"/>
            <w:right w:w="108" w:type="dxa"/>
          </w:tblCellMar>
        </w:tblPrEx>
        <w:trPr>
          <w:trHeight w:val="2381"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val="en-US" w:eastAsia="zh-CN"/>
              </w:rPr>
            </w:pPr>
            <w:r>
              <w:rPr>
                <w:rFonts w:ascii="仿宋" w:hAnsi="仿宋" w:eastAsia="仿宋"/>
                <w:snapToGrid/>
                <w:sz w:val="20"/>
              </w:rPr>
              <w:t>2</w:t>
            </w:r>
            <w:r>
              <w:rPr>
                <w:rFonts w:hint="eastAsia" w:ascii="仿宋" w:hAnsi="仿宋" w:eastAsia="仿宋"/>
                <w:snapToGrid/>
                <w:sz w:val="20"/>
                <w:lang w:val="en-US" w:eastAsia="zh-CN"/>
              </w:rPr>
              <w:t>3</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民办非企业单位连续两年不参加年检，或连续两年“年检不合格”</w:t>
            </w:r>
          </w:p>
        </w:tc>
        <w:tc>
          <w:tcPr>
            <w:tcW w:w="37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【规章】《民办非企业单位年度检查办法》（2005年民政部令第27号）</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第十条  登记管理机关对连续两年不参加年检，或连续两年“年检不合格”的民办非企业单位，予以撤销登记并公告。</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连续两年不参加年检，或连续2年“年检不合格”的。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397" w:hRule="atLeast"/>
          <w:jc w:val="center"/>
        </w:trPr>
        <w:tc>
          <w:tcPr>
            <w:tcW w:w="9639"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jc w:val="center"/>
              <w:textAlignment w:val="auto"/>
              <w:rPr>
                <w:rFonts w:ascii="黑体" w:hAnsi="黑体" w:eastAsia="黑体" w:cs="宋体"/>
                <w:snapToGrid/>
                <w:sz w:val="21"/>
                <w:szCs w:val="21"/>
              </w:rPr>
            </w:pPr>
            <w:r>
              <w:rPr>
                <w:rFonts w:hint="eastAsia" w:ascii="黑体" w:hAnsi="黑体" w:eastAsia="黑体" w:cs="宋体"/>
                <w:snapToGrid/>
                <w:sz w:val="21"/>
                <w:szCs w:val="21"/>
              </w:rPr>
              <w:t>三、基金会管理</w:t>
            </w:r>
          </w:p>
        </w:tc>
      </w:tr>
      <w:tr>
        <w:tblPrEx>
          <w:tblCellMar>
            <w:top w:w="0" w:type="dxa"/>
            <w:left w:w="108" w:type="dxa"/>
            <w:bottom w:w="0" w:type="dxa"/>
            <w:right w:w="108" w:type="dxa"/>
          </w:tblCellMar>
        </w:tblPrEx>
        <w:trPr>
          <w:trHeight w:val="2280"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24</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未经登记或者被撤销登记后以基金会、基金会分支机构、基金会代表机构名义开展活动</w:t>
            </w:r>
          </w:p>
        </w:tc>
        <w:tc>
          <w:tcPr>
            <w:tcW w:w="37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【行政法规】《基金会管理条例》（国务院令第400号）</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第四十条  未经登记或者被撤销登记后以基金会、基金会分支机构、基金会代表机构或者境外基金会代表机构名义开展活动的，由登记管理机关予以取缔，没收非法财产并向社会公告。</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未经登记或者被撤销登记后以基金会名义开展活动的。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取缔，没收非法财产。</w:t>
            </w:r>
          </w:p>
        </w:tc>
      </w:tr>
      <w:tr>
        <w:tblPrEx>
          <w:tblCellMar>
            <w:top w:w="0" w:type="dxa"/>
            <w:left w:w="108" w:type="dxa"/>
            <w:bottom w:w="0" w:type="dxa"/>
            <w:right w:w="108" w:type="dxa"/>
          </w:tblCellMar>
        </w:tblPrEx>
        <w:trPr>
          <w:trHeight w:val="2867"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25</w:t>
            </w:r>
          </w:p>
        </w:tc>
        <w:tc>
          <w:tcPr>
            <w:tcW w:w="169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基金会、基金会分支机构、基金会代表机构在申请登记时弄虚作假骗取登记，或者自取得登记证书之日起12个月内未按章程规定开展活动</w:t>
            </w:r>
          </w:p>
        </w:tc>
        <w:tc>
          <w:tcPr>
            <w:tcW w:w="37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【行政法规】《基金会管理条例》（国务院令第400号）</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第四十一条  基金会、基金会分支机构、基金会代表机构或者境外基金会代表机构有下列情形之一的，登记管理机关应当撤销登记：</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（一）在申请登记时弄虚作假骗取登记的，或者自取得登记证书之日起12个月内未按章程规定开展活动的；</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在申请登记时弄虚作假骗取登记的，或者自取得登记证书之日起12个月内未按章程规定开展活动的。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397"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26</w:t>
            </w:r>
          </w:p>
        </w:tc>
        <w:tc>
          <w:tcPr>
            <w:tcW w:w="169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基金会、基金会分支机构、基金会代表机构符合注销条件，不按照《基金会管理条例》规定办理注销登记仍继续开展活动</w:t>
            </w:r>
          </w:p>
        </w:tc>
        <w:tc>
          <w:tcPr>
            <w:tcW w:w="37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【行政法规】《基金会管理条例》（国务院令第400号）</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第四十一条  基金会、基金会分支机构、基金会代表机构或者境外基金会代表机构有下列情形之一的，登记管理机关应当撤销登记：</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（二）符合注销条件，不按照本条例的规定办理注销登记仍继续开展活动的。</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基金会符合注销条件，不按照本条例的规定办理注销登记仍继续开展活动的。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1134"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27</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基金会、基金会分支机构、基金会代表机构未按照章程规定的宗旨和公益活动的业务范围进行活动</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【行政法规】《基金会管理条例》（国务院令第400号）</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第四十二条  基金会、基金会分支机构、基金会代表机构或者境外基金会代表机构有下列情形之一的，由登记管理机关给予警告、责令停止活动；情节严重的，可以撤销登记：</w:t>
            </w:r>
          </w:p>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（一）未按照章程规定的宗旨和公益活动的业务范围进行活动的；</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未按照章程规定的宗旨、业务范围进行活动，尚未造成不良影响的。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未按照章程规定的宗旨、业务范围进行活动，造成较大不良影响的。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责令停止活动。</w:t>
            </w:r>
          </w:p>
        </w:tc>
      </w:tr>
      <w:tr>
        <w:tblPrEx>
          <w:tblCellMar>
            <w:top w:w="0" w:type="dxa"/>
            <w:left w:w="108" w:type="dxa"/>
            <w:bottom w:w="0" w:type="dxa"/>
            <w:right w:w="108" w:type="dxa"/>
          </w:tblCellMar>
        </w:tblPrEx>
        <w:trPr>
          <w:trHeight w:val="1260"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rPr>
              <w:t>未按照章程规定的宗旨、业务范围进行活动，造成严重不良影响的。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1134"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28</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基金会、基金会分支机构、基金会代表机构在填制会计凭证、登记会计账簿、编制财务会计报告中弄虚作假</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【行政法规】《基金会管理条例》（国务院令第400号）</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第四十二条  基金会、基金会分支机构、基金会代表机构或者境外基金会代表机构有下列情形之一的，由登记管理机关给予警告、责令停止活动；情节严重的，可以撤销登记：</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    （二）在填制会计凭证、登记会计账簿、编制财务会计报告中弄虚作假的；</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经济差额10万元以下的。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经济差额10万元以上、50万元以下的。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责令停止活动。</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经济差额50万元以上的。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90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center"/>
              <w:textAlignment w:val="auto"/>
              <w:rPr>
                <w:rFonts w:hint="default" w:ascii="仿宋" w:hAnsi="仿宋" w:eastAsia="仿宋"/>
                <w:snapToGrid/>
                <w:sz w:val="20"/>
                <w:lang w:val="en-US" w:eastAsia="zh-CN"/>
              </w:rPr>
            </w:pPr>
            <w:r>
              <w:rPr>
                <w:rFonts w:hint="eastAsia" w:ascii="仿宋" w:hAnsi="仿宋" w:eastAsia="仿宋"/>
                <w:snapToGrid/>
                <w:sz w:val="20"/>
                <w:lang w:val="en-US" w:eastAsia="zh-CN"/>
              </w:rPr>
              <w:t>29</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基金会、基金会分支机构、基金会代表机构不按照规定办理变更登记</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【行政法规】《基金会管理条例》（国务院令第400号）</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第四十二条  基金会、基金会分支机构、基金会代表机构或者境外基金会代表机构有下列情形之一的，由登记管理机关给予警告、责令停止活动；情节严重的，可以撤销登记：</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（三）不按照规定办理变更登记的；</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不按照规定变更登记事项1项的。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90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left"/>
              <w:textAlignment w:val="auto"/>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不按照规定变更登记事项2至3项的。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责令停止活动。</w:t>
            </w:r>
          </w:p>
        </w:tc>
      </w:tr>
      <w:tr>
        <w:tblPrEx>
          <w:tblCellMar>
            <w:top w:w="0" w:type="dxa"/>
            <w:left w:w="108" w:type="dxa"/>
            <w:bottom w:w="0" w:type="dxa"/>
            <w:right w:w="108" w:type="dxa"/>
          </w:tblCellMar>
        </w:tblPrEx>
        <w:trPr>
          <w:trHeight w:val="90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left"/>
              <w:textAlignment w:val="auto"/>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不按照规定变更登记事项4项以上的。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90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center"/>
              <w:textAlignment w:val="auto"/>
              <w:rPr>
                <w:rFonts w:hint="default" w:ascii="仿宋" w:hAnsi="仿宋" w:eastAsia="仿宋"/>
                <w:snapToGrid/>
                <w:sz w:val="20"/>
                <w:lang w:val="en-US" w:eastAsia="zh-CN"/>
              </w:rPr>
            </w:pPr>
            <w:r>
              <w:rPr>
                <w:rFonts w:hint="eastAsia" w:ascii="仿宋" w:hAnsi="仿宋" w:eastAsia="仿宋"/>
                <w:snapToGrid/>
                <w:sz w:val="20"/>
                <w:lang w:val="en-US" w:eastAsia="zh-CN"/>
              </w:rPr>
              <w:t>30</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基金会、基金会分支机构、基金会代表机构未按照《基金会管理条例》规定完成公益事业支出额度</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【行政法规】《基金会管理条例》（国务院令第400号）</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第四十二条  基金会、基金会分支机构、基金会代表机构或者境外基金会代表机构有下列情形之一的，由登记管理机关给予警告、责令停止活动；情节严重的，可以撤销登记：</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（四）未按照本条例的规定完成公益事业支出额度的；</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1年未按照《基金会管理条例》规定完成公益事业支出额度的。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90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left"/>
              <w:textAlignment w:val="auto"/>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连续2年未按照《基金会管理条例》规定完成公益事业支出额度的。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责令停止活动。</w:t>
            </w:r>
          </w:p>
        </w:tc>
      </w:tr>
      <w:tr>
        <w:tblPrEx>
          <w:tblCellMar>
            <w:top w:w="0" w:type="dxa"/>
            <w:left w:w="108" w:type="dxa"/>
            <w:bottom w:w="0" w:type="dxa"/>
            <w:right w:w="108" w:type="dxa"/>
          </w:tblCellMar>
        </w:tblPrEx>
        <w:trPr>
          <w:trHeight w:val="90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left"/>
              <w:textAlignment w:val="auto"/>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连续3年以上未按照《基金会管理条例》规定完成公益事业支出额度的。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90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center"/>
              <w:textAlignment w:val="auto"/>
              <w:rPr>
                <w:rFonts w:hint="eastAsia" w:ascii="仿宋" w:hAnsi="仿宋" w:eastAsia="仿宋"/>
                <w:snapToGrid/>
                <w:sz w:val="20"/>
                <w:lang w:eastAsia="zh-CN"/>
              </w:rPr>
            </w:pPr>
            <w:r>
              <w:rPr>
                <w:rFonts w:ascii="仿宋" w:hAnsi="仿宋" w:eastAsia="仿宋"/>
                <w:snapToGrid/>
                <w:sz w:val="20"/>
              </w:rPr>
              <w:t>3</w:t>
            </w:r>
            <w:r>
              <w:rPr>
                <w:rFonts w:hint="eastAsia" w:ascii="仿宋" w:hAnsi="仿宋" w:eastAsia="仿宋"/>
                <w:snapToGrid/>
                <w:sz w:val="20"/>
                <w:lang w:val="en-US" w:eastAsia="zh-CN"/>
              </w:rPr>
              <w:t>1</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基金会、基金会分支机构、基金会代表机构未按照《基金会管理条例》规定接受年度检查，或者年度检查不合格</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【行政法规】《基金会管理条例》（国务院令第400号）</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第四十二条  基金会、基金会分支机构、基金会代表机构或者境外基金会代表机构有下列情形之一的，由登记管理机关给予警告、责令停止活动；情节严重的，可以撤销登记：</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（五）未按照本条例的规定接受年度检查，或者年度检查不合格的；</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1年不参加年度检查的；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不按照规定接受监督检查的；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拒不接受监督检查的。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90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left"/>
              <w:textAlignment w:val="auto"/>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累计2次以上不按照规定接受监督检查的；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累计2次以上拒不接受监督检查的。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责令停止活动。</w:t>
            </w:r>
          </w:p>
        </w:tc>
      </w:tr>
      <w:tr>
        <w:tblPrEx>
          <w:tblCellMar>
            <w:top w:w="0" w:type="dxa"/>
            <w:left w:w="108" w:type="dxa"/>
            <w:bottom w:w="0" w:type="dxa"/>
            <w:right w:w="108" w:type="dxa"/>
          </w:tblCellMar>
        </w:tblPrEx>
        <w:trPr>
          <w:trHeight w:val="90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left"/>
              <w:textAlignment w:val="auto"/>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连续2年以上不参加年度检查的；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连续2年以上年度检查不合格的。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90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center"/>
              <w:textAlignment w:val="auto"/>
              <w:rPr>
                <w:rFonts w:hint="eastAsia" w:ascii="仿宋" w:hAnsi="仿宋" w:eastAsia="仿宋"/>
                <w:snapToGrid/>
                <w:sz w:val="20"/>
                <w:lang w:eastAsia="zh-CN"/>
              </w:rPr>
            </w:pPr>
            <w:r>
              <w:rPr>
                <w:rFonts w:ascii="仿宋" w:hAnsi="仿宋" w:eastAsia="仿宋"/>
                <w:snapToGrid/>
                <w:sz w:val="20"/>
              </w:rPr>
              <w:t>3</w:t>
            </w:r>
            <w:r>
              <w:rPr>
                <w:rFonts w:hint="eastAsia" w:ascii="仿宋" w:hAnsi="仿宋" w:eastAsia="仿宋"/>
                <w:snapToGrid/>
                <w:sz w:val="20"/>
                <w:lang w:val="en-US" w:eastAsia="zh-CN"/>
              </w:rPr>
              <w:t>2</w:t>
            </w:r>
          </w:p>
        </w:tc>
        <w:tc>
          <w:tcPr>
            <w:tcW w:w="16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基金会、基金会分支机构、基金会代表机构不履行信息公布义务或者公布虚假信息</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【行政法规】《基金会管理条例》（国务院令第400号）</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第四十二条  基金会、基金会分支机构、基金会代表机构或者境外基金会代表机构有下列情形之一的，由登记管理机关给予警告、责令停止活动；情节严重的，可以撤销登记：</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    （六）不履行信息公布义务或者公布虚假信息的。</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及时予以纠正，造成较小社会危害的。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701"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textAlignment w:val="auto"/>
              <w:rPr>
                <w:rFonts w:ascii="仿宋" w:hAnsi="仿宋" w:eastAsia="仿宋" w:cs="宋体"/>
                <w:snapToGrid/>
                <w:sz w:val="20"/>
              </w:rPr>
            </w:pPr>
            <w:r>
              <w:rPr>
                <w:rFonts w:hint="eastAsia" w:ascii="仿宋" w:hAnsi="仿宋" w:eastAsia="仿宋" w:cs="宋体"/>
                <w:snapToGrid/>
                <w:sz w:val="20"/>
              </w:rPr>
              <w:t>逾期6个月以上、2年以下不改正，造成较大社会危害的。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责令停止活动。</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连续2年拒不履行信息公布义务的；</w:t>
            </w:r>
          </w:p>
          <w:p>
            <w:pPr>
              <w:keepNext w:val="0"/>
              <w:keepLines w:val="0"/>
              <w:pageBreakBefore w:val="0"/>
              <w:widowControl/>
              <w:kinsoku/>
              <w:wordWrap/>
              <w:overflowPunct/>
              <w:topLinePunct w:val="0"/>
              <w:autoSpaceDE/>
              <w:autoSpaceDN/>
              <w:bidi w:val="0"/>
              <w:adjustRightInd/>
              <w:snapToGrid/>
              <w:spacing w:line="300" w:lineRule="exact"/>
              <w:ind w:firstLine="0"/>
              <w:textAlignment w:val="auto"/>
              <w:rPr>
                <w:rFonts w:ascii="仿宋" w:hAnsi="仿宋" w:eastAsia="仿宋" w:cs="宋体"/>
                <w:snapToGrid/>
                <w:sz w:val="20"/>
              </w:rPr>
            </w:pPr>
            <w:r>
              <w:rPr>
                <w:rFonts w:hint="eastAsia" w:ascii="仿宋" w:hAnsi="仿宋" w:eastAsia="仿宋" w:cs="宋体"/>
                <w:snapToGrid/>
                <w:sz w:val="20"/>
              </w:rPr>
              <w:t>连续2年公布虚假信息的。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撤销登记。</w:t>
            </w:r>
          </w:p>
        </w:tc>
      </w:tr>
      <w:tr>
        <w:tblPrEx>
          <w:tblCellMar>
            <w:top w:w="0" w:type="dxa"/>
            <w:left w:w="108" w:type="dxa"/>
            <w:bottom w:w="0" w:type="dxa"/>
            <w:right w:w="108" w:type="dxa"/>
          </w:tblCellMar>
        </w:tblPrEx>
        <w:trPr>
          <w:trHeight w:val="397" w:hRule="atLeast"/>
          <w:jc w:val="center"/>
        </w:trPr>
        <w:tc>
          <w:tcPr>
            <w:tcW w:w="9639" w:type="dxa"/>
            <w:gridSpan w:val="5"/>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黑体" w:hAnsi="黑体" w:eastAsia="黑体" w:cs="宋体"/>
                <w:snapToGrid/>
                <w:sz w:val="21"/>
                <w:szCs w:val="21"/>
              </w:rPr>
            </w:pPr>
            <w:r>
              <w:rPr>
                <w:rFonts w:hint="eastAsia" w:ascii="黑体" w:hAnsi="黑体" w:eastAsia="黑体" w:cs="宋体"/>
                <w:snapToGrid/>
                <w:sz w:val="21"/>
                <w:szCs w:val="21"/>
              </w:rPr>
              <w:t>四、养老服务管理</w:t>
            </w:r>
          </w:p>
        </w:tc>
      </w:tr>
      <w:tr>
        <w:tblPrEx>
          <w:tblCellMar>
            <w:top w:w="0" w:type="dxa"/>
            <w:left w:w="108" w:type="dxa"/>
            <w:bottom w:w="0" w:type="dxa"/>
            <w:right w:w="108" w:type="dxa"/>
          </w:tblCellMar>
        </w:tblPrEx>
        <w:trPr>
          <w:trHeight w:val="1814"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3</w:t>
            </w:r>
            <w:r>
              <w:rPr>
                <w:rFonts w:hint="eastAsia" w:ascii="仿宋" w:hAnsi="仿宋" w:eastAsia="仿宋"/>
                <w:snapToGrid/>
                <w:sz w:val="20"/>
                <w:lang w:val="en-US" w:eastAsia="zh-CN"/>
              </w:rPr>
              <w:t>3</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firstLineChars="0"/>
              <w:jc w:val="left"/>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养老机构及其工作人员侵害老年人人身和财产权益，或者未按照约定提供服务</w:t>
            </w:r>
          </w:p>
          <w:p>
            <w:pPr>
              <w:widowControl/>
              <w:autoSpaceDE/>
              <w:autoSpaceDN/>
              <w:snapToGrid/>
              <w:spacing w:line="280" w:lineRule="exact"/>
              <w:ind w:firstLine="0"/>
              <w:jc w:val="left"/>
              <w:rPr>
                <w:rFonts w:ascii="仿宋" w:hAnsi="仿宋" w:eastAsia="仿宋" w:cs="宋体"/>
                <w:snapToGrid/>
                <w:sz w:val="20"/>
              </w:rPr>
            </w:pP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szCs w:val="22"/>
              </w:rPr>
            </w:pPr>
            <w:r>
              <w:rPr>
                <w:rFonts w:hint="eastAsia" w:ascii="仿宋" w:hAnsi="仿宋" w:eastAsia="仿宋" w:cs="仿宋"/>
                <w:b w:val="0"/>
                <w:bCs w:val="0"/>
                <w:snapToGrid/>
                <w:sz w:val="20"/>
              </w:rPr>
              <w:t>【法律】《中华人民共和国老年人权益保障法》</w:t>
            </w: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rPr>
            </w:pPr>
            <w:r>
              <w:rPr>
                <w:rFonts w:hint="eastAsia" w:ascii="仿宋" w:hAnsi="仿宋" w:eastAsia="仿宋" w:cs="仿宋"/>
                <w:b w:val="0"/>
                <w:bCs w:val="0"/>
                <w:snapToGrid/>
                <w:sz w:val="20"/>
              </w:rPr>
              <w:t xml:space="preserve">    第四十四条  县级以上人民政府民政部门负责养老机构的指导、监督和管理，其他有关部门依照职责分工对养老机构实施监督。</w:t>
            </w:r>
          </w:p>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 xml:space="preserve">    第七十九条  养老机构及其工作人员侵害老年人人身和财产权益，或者未按照约定提供服务的，依法承担民事责任；有关主管部门依法给予行政处罚；构成犯罪的，依法追究刑事责任。</w:t>
            </w: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按要求及时改正或自行改正，造成较小社会危害的。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警告。</w:t>
            </w:r>
          </w:p>
        </w:tc>
      </w:tr>
      <w:tr>
        <w:tblPrEx>
          <w:tblCellMar>
            <w:top w:w="0" w:type="dxa"/>
            <w:left w:w="108" w:type="dxa"/>
            <w:bottom w:w="0" w:type="dxa"/>
            <w:right w:w="108" w:type="dxa"/>
          </w:tblCellMar>
        </w:tblPrEx>
        <w:trPr>
          <w:trHeight w:val="181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警告，并处1万元以上2万元以下罚款。</w:t>
            </w:r>
          </w:p>
        </w:tc>
      </w:tr>
      <w:tr>
        <w:tblPrEx>
          <w:tblCellMar>
            <w:top w:w="0" w:type="dxa"/>
            <w:left w:w="108" w:type="dxa"/>
            <w:bottom w:w="0" w:type="dxa"/>
            <w:right w:w="108" w:type="dxa"/>
          </w:tblCellMar>
        </w:tblPrEx>
        <w:trPr>
          <w:trHeight w:val="181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严重损害服务对象合法权益，造成严重社会危害的。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责令停办。</w:t>
            </w:r>
          </w:p>
        </w:tc>
      </w:tr>
      <w:tr>
        <w:tblPrEx>
          <w:tblCellMar>
            <w:top w:w="0" w:type="dxa"/>
            <w:left w:w="108" w:type="dxa"/>
            <w:bottom w:w="0" w:type="dxa"/>
            <w:right w:w="108" w:type="dxa"/>
          </w:tblCellMar>
        </w:tblPrEx>
        <w:trPr>
          <w:trHeight w:val="1814"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snapToGrid/>
                <w:sz w:val="20"/>
                <w:lang w:eastAsia="zh-CN"/>
              </w:rPr>
            </w:pPr>
            <w:r>
              <w:rPr>
                <w:rFonts w:ascii="仿宋" w:hAnsi="仿宋" w:eastAsia="仿宋"/>
                <w:snapToGrid/>
                <w:sz w:val="20"/>
              </w:rPr>
              <w:t>3</w:t>
            </w:r>
            <w:r>
              <w:rPr>
                <w:rFonts w:hint="eastAsia" w:ascii="仿宋" w:hAnsi="仿宋" w:eastAsia="仿宋"/>
                <w:snapToGrid/>
                <w:sz w:val="20"/>
                <w:lang w:val="en-US" w:eastAsia="zh-CN"/>
              </w:rPr>
              <w:t>4</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firstLineChars="0"/>
              <w:jc w:val="left"/>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养老机构未按规范和标准要求管理和服务</w:t>
            </w:r>
          </w:p>
          <w:p>
            <w:pPr>
              <w:widowControl/>
              <w:autoSpaceDE/>
              <w:autoSpaceDN/>
              <w:snapToGrid/>
              <w:spacing w:line="280" w:lineRule="exact"/>
              <w:ind w:firstLine="0" w:firstLineChars="0"/>
              <w:jc w:val="left"/>
              <w:rPr>
                <w:rFonts w:hint="eastAsia" w:ascii="仿宋" w:hAnsi="仿宋" w:eastAsia="仿宋" w:cs="仿宋"/>
                <w:b w:val="0"/>
                <w:bCs w:val="0"/>
                <w:snapToGrid/>
                <w:sz w:val="20"/>
                <w:lang w:val="en-US" w:eastAsia="zh-CN" w:bidi="ar-SA"/>
              </w:rPr>
            </w:pPr>
          </w:p>
          <w:p>
            <w:pPr>
              <w:widowControl/>
              <w:autoSpaceDE/>
              <w:autoSpaceDN/>
              <w:snapToGrid/>
              <w:spacing w:line="280" w:lineRule="exact"/>
              <w:ind w:firstLine="0"/>
              <w:jc w:val="left"/>
              <w:rPr>
                <w:rFonts w:ascii="仿宋" w:hAnsi="仿宋" w:eastAsia="仿宋" w:cs="宋体"/>
                <w:snapToGrid/>
                <w:sz w:val="20"/>
              </w:rPr>
            </w:pP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rPr>
            </w:pPr>
            <w:r>
              <w:rPr>
                <w:rFonts w:hint="eastAsia" w:ascii="仿宋" w:hAnsi="仿宋" w:eastAsia="仿宋" w:cs="仿宋"/>
                <w:b w:val="0"/>
                <w:bCs w:val="0"/>
                <w:snapToGrid/>
                <w:sz w:val="20"/>
              </w:rPr>
              <w:t>【规章】《养老机构管理办法》（民政部令第49号）</w:t>
            </w: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rPr>
            </w:pPr>
            <w:r>
              <w:rPr>
                <w:rFonts w:hint="eastAsia" w:ascii="仿宋" w:hAnsi="仿宋" w:eastAsia="仿宋" w:cs="仿宋"/>
                <w:b w:val="0"/>
                <w:bCs w:val="0"/>
                <w:snapToGrid/>
                <w:sz w:val="20"/>
              </w:rPr>
              <w:t xml:space="preserve">    第三十三条  养老机构有下列行为之一的，由实施许可的民政部门责令改正；情节严重的，处以3万元以下的罚款；构成犯罪的，依法追究刑事责任：</w:t>
            </w: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rPr>
            </w:pPr>
            <w:r>
              <w:rPr>
                <w:rFonts w:hint="eastAsia" w:ascii="仿宋" w:hAnsi="仿宋" w:eastAsia="仿宋" w:cs="仿宋"/>
                <w:b w:val="0"/>
                <w:bCs w:val="0"/>
                <w:snapToGrid/>
                <w:sz w:val="20"/>
              </w:rPr>
              <w:t xml:space="preserve">    （一）未与老年人或者其代理人签订服务协议，或者协议不符合规定的；</w:t>
            </w: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rPr>
            </w:pPr>
            <w:r>
              <w:rPr>
                <w:rFonts w:hint="eastAsia" w:ascii="仿宋" w:hAnsi="仿宋" w:eastAsia="仿宋" w:cs="仿宋"/>
                <w:b w:val="0"/>
                <w:bCs w:val="0"/>
                <w:snapToGrid/>
                <w:sz w:val="20"/>
              </w:rPr>
              <w:t xml:space="preserve">    （二）未按照国家有关标准和规定开展服务的；</w:t>
            </w: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rPr>
            </w:pPr>
            <w:r>
              <w:rPr>
                <w:rFonts w:hint="eastAsia" w:ascii="仿宋" w:hAnsi="仿宋" w:eastAsia="仿宋" w:cs="仿宋"/>
                <w:b w:val="0"/>
                <w:bCs w:val="0"/>
                <w:snapToGrid/>
                <w:sz w:val="20"/>
              </w:rPr>
              <w:t xml:space="preserve">    （三）配备人员的资格不符合规定的；</w:t>
            </w: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rPr>
            </w:pPr>
            <w:r>
              <w:rPr>
                <w:rFonts w:hint="eastAsia" w:ascii="仿宋" w:hAnsi="仿宋" w:eastAsia="仿宋" w:cs="仿宋"/>
                <w:b w:val="0"/>
                <w:bCs w:val="0"/>
                <w:snapToGrid/>
                <w:sz w:val="20"/>
              </w:rPr>
              <w:t xml:space="preserve">    （四）向负责监督检查的民政部门隐瞒有关情况、提供虚假材料或者拒绝提供反映其活动情况真实材料的；</w:t>
            </w: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rPr>
            </w:pPr>
            <w:r>
              <w:rPr>
                <w:rFonts w:hint="eastAsia" w:ascii="仿宋" w:hAnsi="仿宋" w:eastAsia="仿宋" w:cs="仿宋"/>
                <w:b w:val="0"/>
                <w:bCs w:val="0"/>
                <w:snapToGrid/>
                <w:sz w:val="20"/>
              </w:rPr>
              <w:t xml:space="preserve">    （五）利用养老机构的房屋、场地、设施开展与养老服务宗旨无关的活动的；</w:t>
            </w: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hint="eastAsia" w:ascii="仿宋" w:hAnsi="仿宋" w:eastAsia="仿宋" w:cs="仿宋"/>
                <w:b w:val="0"/>
                <w:bCs w:val="0"/>
                <w:snapToGrid/>
                <w:sz w:val="20"/>
              </w:rPr>
            </w:pPr>
            <w:r>
              <w:rPr>
                <w:rFonts w:hint="eastAsia" w:ascii="仿宋" w:hAnsi="仿宋" w:eastAsia="仿宋" w:cs="仿宋"/>
                <w:b w:val="0"/>
                <w:bCs w:val="0"/>
                <w:snapToGrid/>
                <w:sz w:val="20"/>
              </w:rPr>
              <w:t xml:space="preserve">    （六）歧视、侮辱、虐待或遗弃老年人以及其他侵犯老年人合法权益行为的；</w:t>
            </w:r>
          </w:p>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 xml:space="preserve">    （八）法律、法规、规章规定的其他违法行为。</w:t>
            </w:r>
          </w:p>
          <w:p>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0" w:firstLineChars="0"/>
              <w:jc w:val="left"/>
              <w:textAlignment w:val="auto"/>
              <w:rPr>
                <w:rFonts w:hint="eastAsia" w:ascii="仿宋" w:hAnsi="仿宋" w:eastAsia="仿宋" w:cs="仿宋"/>
                <w:b w:val="0"/>
                <w:bCs w:val="0"/>
                <w:snapToGrid/>
                <w:sz w:val="20"/>
                <w:lang w:val="en-US" w:eastAsia="zh-CN" w:bidi="ar-SA"/>
              </w:rPr>
            </w:pPr>
          </w:p>
          <w:p>
            <w:pPr>
              <w:keepNext w:val="0"/>
              <w:keepLines w:val="0"/>
              <w:pageBreakBefore w:val="0"/>
              <w:widowControl/>
              <w:kinsoku/>
              <w:wordWrap/>
              <w:overflowPunct/>
              <w:topLinePunct w:val="0"/>
              <w:autoSpaceDE/>
              <w:autoSpaceDN/>
              <w:bidi w:val="0"/>
              <w:adjustRightInd/>
              <w:snapToGrid/>
              <w:spacing w:line="300" w:lineRule="exact"/>
              <w:ind w:firstLine="0"/>
              <w:jc w:val="left"/>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left"/>
              <w:textAlignment w:val="auto"/>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处1万元以上、2万元以下罚款。</w:t>
            </w:r>
          </w:p>
        </w:tc>
      </w:tr>
      <w:tr>
        <w:tblPrEx>
          <w:tblCellMar>
            <w:top w:w="0" w:type="dxa"/>
            <w:left w:w="108" w:type="dxa"/>
            <w:bottom w:w="0" w:type="dxa"/>
            <w:right w:w="108" w:type="dxa"/>
          </w:tblCellMar>
        </w:tblPrEx>
        <w:trPr>
          <w:trHeight w:val="3771"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firstLineChars="0"/>
              <w:jc w:val="left"/>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造成严重社会危害的。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firstLineChars="0"/>
              <w:jc w:val="left"/>
              <w:rPr>
                <w:rFonts w:hint="eastAsia" w:ascii="仿宋" w:hAnsi="仿宋" w:eastAsia="仿宋" w:cs="仿宋"/>
                <w:b w:val="0"/>
                <w:bCs w:val="0"/>
                <w:snapToGrid/>
                <w:sz w:val="20"/>
                <w:lang w:val="en-US" w:eastAsia="zh-CN" w:bidi="ar-SA"/>
              </w:rPr>
            </w:pPr>
            <w:r>
              <w:rPr>
                <w:rFonts w:hint="eastAsia" w:ascii="仿宋" w:hAnsi="仿宋" w:eastAsia="仿宋" w:cs="仿宋"/>
                <w:b w:val="0"/>
                <w:bCs w:val="0"/>
                <w:snapToGrid/>
                <w:sz w:val="20"/>
              </w:rPr>
              <w:t>处2万元以上、3万元以下罚款。</w:t>
            </w:r>
          </w:p>
        </w:tc>
      </w:tr>
      <w:tr>
        <w:tblPrEx>
          <w:tblCellMar>
            <w:top w:w="0" w:type="dxa"/>
            <w:left w:w="108" w:type="dxa"/>
            <w:bottom w:w="0" w:type="dxa"/>
            <w:right w:w="108" w:type="dxa"/>
          </w:tblCellMar>
        </w:tblPrEx>
        <w:trPr>
          <w:trHeight w:val="397" w:hRule="atLeast"/>
          <w:jc w:val="center"/>
        </w:trPr>
        <w:tc>
          <w:tcPr>
            <w:tcW w:w="9639" w:type="dxa"/>
            <w:gridSpan w:val="5"/>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ascii="黑体" w:hAnsi="黑体" w:eastAsia="黑体" w:cs="宋体"/>
                <w:snapToGrid/>
                <w:sz w:val="20"/>
              </w:rPr>
            </w:pPr>
            <w:r>
              <w:rPr>
                <w:rFonts w:hint="eastAsia" w:ascii="黑体" w:hAnsi="黑体" w:eastAsia="黑体" w:cs="宋体"/>
                <w:snapToGrid/>
                <w:sz w:val="21"/>
              </w:rPr>
              <w:t>五、慈善组织管理</w:t>
            </w:r>
          </w:p>
        </w:tc>
      </w:tr>
      <w:tr>
        <w:tblPrEx>
          <w:tblCellMar>
            <w:top w:w="0" w:type="dxa"/>
            <w:left w:w="108" w:type="dxa"/>
            <w:bottom w:w="0" w:type="dxa"/>
            <w:right w:w="108" w:type="dxa"/>
          </w:tblCellMar>
        </w:tblPrEx>
        <w:trPr>
          <w:trHeight w:val="2041"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35</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慈善组织未按慈善宗旨开展活动</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【法律】《中华人民共和国慈善法》</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第九十八条　慈善组织有下列情形之一的，由民政部门责令限期改正；逾期不改正的，吊销登记证书并予以公告： </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（一）未按照慈善宗旨开展活动的；                                                            </w:t>
            </w:r>
          </w:p>
          <w:p>
            <w:pPr>
              <w:keepNext w:val="0"/>
              <w:keepLines w:val="0"/>
              <w:pageBreakBefore w:val="0"/>
              <w:widowControl/>
              <w:kinsoku/>
              <w:wordWrap/>
              <w:overflowPunct/>
              <w:topLinePunct w:val="0"/>
              <w:autoSpaceDE/>
              <w:autoSpaceDN/>
              <w:bidi w:val="0"/>
              <w:adjustRightInd/>
              <w:snapToGrid/>
              <w:spacing w:line="240" w:lineRule="exact"/>
              <w:ind w:firstLine="400"/>
              <w:textAlignment w:val="auto"/>
              <w:rPr>
                <w:rFonts w:hint="eastAsia" w:ascii="仿宋" w:hAnsi="仿宋" w:eastAsia="仿宋" w:cs="宋体"/>
                <w:snapToGrid/>
                <w:sz w:val="20"/>
              </w:rPr>
            </w:pPr>
            <w:r>
              <w:rPr>
                <w:rFonts w:hint="eastAsia" w:ascii="仿宋" w:hAnsi="仿宋" w:eastAsia="仿宋" w:cs="宋体"/>
                <w:snapToGrid/>
                <w:sz w:val="20"/>
              </w:rPr>
              <w:t xml:space="preserve">第一百条　慈善组织有本法第九十八条、第九十九条规定的情形，有违法所得的，由民政部门予以没收；对直接负责的主管人员和其他直接责任人员处二万元以上二十万元以下罚款。 </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rPr>
              <w:t>【</w:t>
            </w:r>
            <w:r>
              <w:rPr>
                <w:rFonts w:hint="eastAsia" w:ascii="仿宋" w:hAnsi="仿宋" w:eastAsia="仿宋" w:cs="宋体"/>
                <w:snapToGrid/>
                <w:sz w:val="20"/>
                <w:lang w:val="en-US" w:eastAsia="zh-CN"/>
              </w:rPr>
              <w:t>地方性</w:t>
            </w:r>
            <w:r>
              <w:rPr>
                <w:rFonts w:hint="eastAsia" w:ascii="仿宋" w:hAnsi="仿宋" w:eastAsia="仿宋" w:cs="宋体"/>
                <w:snapToGrid/>
                <w:sz w:val="20"/>
              </w:rPr>
              <w:t>法</w:t>
            </w:r>
            <w:r>
              <w:rPr>
                <w:rFonts w:hint="eastAsia" w:ascii="仿宋" w:hAnsi="仿宋" w:eastAsia="仿宋" w:cs="宋体"/>
                <w:snapToGrid/>
                <w:sz w:val="20"/>
                <w:lang w:val="en-US" w:eastAsia="zh-CN"/>
              </w:rPr>
              <w:t>规</w:t>
            </w:r>
            <w:r>
              <w:rPr>
                <w:rFonts w:hint="eastAsia" w:ascii="仿宋" w:hAnsi="仿宋" w:eastAsia="仿宋" w:cs="宋体"/>
                <w:snapToGrid/>
                <w:sz w:val="20"/>
              </w:rPr>
              <w:t>】</w:t>
            </w:r>
            <w:r>
              <w:rPr>
                <w:rFonts w:hint="eastAsia" w:ascii="仿宋" w:hAnsi="仿宋" w:eastAsia="仿宋" w:cs="宋体"/>
                <w:snapToGrid/>
                <w:sz w:val="20"/>
                <w:lang w:eastAsia="zh-CN"/>
              </w:rPr>
              <w:t>《</w:t>
            </w:r>
            <w:r>
              <w:rPr>
                <w:rFonts w:hint="eastAsia" w:ascii="仿宋" w:hAnsi="仿宋" w:eastAsia="仿宋" w:cs="宋体"/>
                <w:snapToGrid/>
                <w:sz w:val="20"/>
                <w:lang w:val="en-US" w:eastAsia="zh-CN"/>
              </w:rPr>
              <w:t>湖南省募捐条例》</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default" w:ascii="仿宋" w:hAnsi="仿宋" w:eastAsia="仿宋" w:cs="宋体"/>
                <w:snapToGrid/>
                <w:sz w:val="20"/>
                <w:lang w:val="en-US" w:eastAsia="zh-CN"/>
              </w:rPr>
            </w:pPr>
            <w:r>
              <w:rPr>
                <w:rFonts w:hint="eastAsia" w:ascii="仿宋" w:hAnsi="仿宋" w:eastAsia="仿宋" w:cs="宋体"/>
                <w:snapToGrid/>
                <w:sz w:val="20"/>
              </w:rPr>
              <w:t>第三十八条</w:t>
            </w:r>
            <w:r>
              <w:rPr>
                <w:rFonts w:hint="eastAsia" w:ascii="仿宋" w:hAnsi="仿宋" w:eastAsia="仿宋" w:cs="宋体"/>
                <w:snapToGrid/>
                <w:sz w:val="20"/>
                <w:lang w:val="en-US" w:eastAsia="zh-CN"/>
              </w:rPr>
              <w:t xml:space="preserve"> </w:t>
            </w:r>
            <w:r>
              <w:rPr>
                <w:rFonts w:hint="default" w:ascii="仿宋" w:hAnsi="仿宋" w:eastAsia="仿宋" w:cs="宋体"/>
                <w:snapToGrid/>
                <w:sz w:val="20"/>
                <w:lang w:val="en-US" w:eastAsia="zh-CN"/>
              </w:rPr>
              <w:t>募捐人违反本条例规定，有下列情形之一的，由县级以上人民政府民政部门责令停止违法行为，给予警告，并责令限期返还募捐财产；不能返还的，由民政部门责令交由其他募捐人用于原募捐用途或者其他公益事业；情节严重的，依法撤销登记或者吊销许可证:</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（一）以募捐名义进行营利活动的；</w:t>
            </w:r>
          </w:p>
          <w:p>
            <w:pPr>
              <w:keepNext w:val="0"/>
              <w:keepLines w:val="0"/>
              <w:pageBreakBefore w:val="0"/>
              <w:widowControl/>
              <w:kinsoku/>
              <w:wordWrap/>
              <w:overflowPunct/>
              <w:topLinePunct w:val="0"/>
              <w:autoSpaceDE/>
              <w:autoSpaceDN/>
              <w:bidi w:val="0"/>
              <w:adjustRightInd/>
              <w:snapToGrid/>
              <w:spacing w:line="240" w:lineRule="exact"/>
              <w:textAlignment w:val="auto"/>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未按照慈善宗旨进行活动，尚未造成不良影响的。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pacing w:val="-8"/>
                <w:sz w:val="20"/>
              </w:rPr>
            </w:pPr>
            <w:r>
              <w:rPr>
                <w:rFonts w:hint="eastAsia" w:ascii="仿宋" w:hAnsi="仿宋" w:eastAsia="仿宋" w:cs="宋体"/>
                <w:snapToGrid/>
                <w:spacing w:val="-8"/>
                <w:sz w:val="20"/>
              </w:rPr>
              <w:t>没收违法所得，对直接负责的主管人员和其他直接责任人员处2万元以上5万元以下罚款。</w:t>
            </w:r>
          </w:p>
        </w:tc>
      </w:tr>
      <w:tr>
        <w:tblPrEx>
          <w:tblCellMar>
            <w:top w:w="0" w:type="dxa"/>
            <w:left w:w="108" w:type="dxa"/>
            <w:bottom w:w="0" w:type="dxa"/>
            <w:right w:w="108" w:type="dxa"/>
          </w:tblCellMar>
        </w:tblPrEx>
        <w:trPr>
          <w:trHeight w:val="2041"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逾期不改正，造成较大不良影响的。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吊销登记证书，没收违法所得，对直接负责的主管人员和其他直接责任人员处5万元以上10万元以下罚款。</w:t>
            </w:r>
          </w:p>
        </w:tc>
      </w:tr>
      <w:tr>
        <w:tblPrEx>
          <w:tblCellMar>
            <w:top w:w="0" w:type="dxa"/>
            <w:left w:w="108" w:type="dxa"/>
            <w:bottom w:w="0" w:type="dxa"/>
            <w:right w:w="108" w:type="dxa"/>
          </w:tblCellMar>
        </w:tblPrEx>
        <w:trPr>
          <w:trHeight w:val="2041"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逾期不改正，造成严重不良影响的。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吊销登记证书，没收违法所得，对直接负责的主管人员和其他直接责任人员处10万元以上20万元以下罚款。</w:t>
            </w:r>
          </w:p>
        </w:tc>
      </w:tr>
      <w:tr>
        <w:tblPrEx>
          <w:tblCellMar>
            <w:top w:w="0" w:type="dxa"/>
            <w:left w:w="108" w:type="dxa"/>
            <w:bottom w:w="0" w:type="dxa"/>
            <w:right w:w="108" w:type="dxa"/>
          </w:tblCellMar>
        </w:tblPrEx>
        <w:trPr>
          <w:trHeight w:val="2041"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36</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慈善组织私分、挪用、截留或者侵占慈善财产</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【法律】《中华人民共和国慈善法》</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eastAsia" w:ascii="仿宋" w:hAnsi="仿宋" w:eastAsia="仿宋" w:cs="宋体"/>
                <w:snapToGrid/>
                <w:sz w:val="20"/>
                <w:lang w:val="en-US" w:eastAsia="zh-CN"/>
              </w:rPr>
            </w:pPr>
            <w:r>
              <w:rPr>
                <w:rFonts w:hint="eastAsia" w:ascii="仿宋" w:hAnsi="仿宋" w:eastAsia="仿宋" w:cs="宋体"/>
                <w:snapToGrid/>
                <w:sz w:val="20"/>
              </w:rPr>
              <w:t>第九十八条　慈善组织有下列情形之一的，由民政部门责令限期改正；逾期不改正的，吊销登记证书并予以公告： 　　</w:t>
            </w:r>
            <w:r>
              <w:rPr>
                <w:rFonts w:hint="eastAsia" w:ascii="仿宋" w:hAnsi="仿宋" w:eastAsia="仿宋" w:cs="宋体"/>
                <w:snapToGrid/>
                <w:sz w:val="20"/>
                <w:lang w:val="en-US" w:eastAsia="zh-CN"/>
              </w:rPr>
              <w:t xml:space="preserve">   </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eastAsia" w:ascii="仿宋" w:hAnsi="仿宋" w:eastAsia="仿宋" w:cs="宋体"/>
                <w:snapToGrid/>
                <w:sz w:val="20"/>
              </w:rPr>
            </w:pPr>
            <w:r>
              <w:rPr>
                <w:rFonts w:hint="eastAsia" w:ascii="仿宋" w:hAnsi="仿宋" w:eastAsia="仿宋" w:cs="宋体"/>
                <w:snapToGrid/>
                <w:sz w:val="20"/>
              </w:rPr>
              <w:t xml:space="preserve">（二）私分、挪用、截留或者侵占慈善财产的；                                                                </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eastAsia" w:ascii="仿宋" w:hAnsi="仿宋" w:eastAsia="仿宋" w:cs="宋体"/>
                <w:snapToGrid/>
                <w:sz w:val="20"/>
              </w:rPr>
            </w:pPr>
            <w:r>
              <w:rPr>
                <w:rFonts w:hint="eastAsia" w:ascii="仿宋" w:hAnsi="仿宋" w:eastAsia="仿宋" w:cs="宋体"/>
                <w:snapToGrid/>
                <w:sz w:val="20"/>
              </w:rPr>
              <w:t xml:space="preserve">第一百条　慈善组织有本法第九十八条、第九十九条规定的情形，有违法所得的，由民政部门予以没收；对直接负责的主管人员和其他直接责任人员处二万元以上二十万元以下罚款。 </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rPr>
              <w:t>【</w:t>
            </w:r>
            <w:r>
              <w:rPr>
                <w:rFonts w:hint="eastAsia" w:ascii="仿宋" w:hAnsi="仿宋" w:eastAsia="仿宋" w:cs="宋体"/>
                <w:snapToGrid/>
                <w:sz w:val="20"/>
                <w:lang w:val="en-US" w:eastAsia="zh-CN"/>
              </w:rPr>
              <w:t>地方性</w:t>
            </w:r>
            <w:r>
              <w:rPr>
                <w:rFonts w:hint="eastAsia" w:ascii="仿宋" w:hAnsi="仿宋" w:eastAsia="仿宋" w:cs="宋体"/>
                <w:snapToGrid/>
                <w:sz w:val="20"/>
              </w:rPr>
              <w:t>法</w:t>
            </w:r>
            <w:r>
              <w:rPr>
                <w:rFonts w:hint="eastAsia" w:ascii="仿宋" w:hAnsi="仿宋" w:eastAsia="仿宋" w:cs="宋体"/>
                <w:snapToGrid/>
                <w:sz w:val="20"/>
                <w:lang w:val="en-US" w:eastAsia="zh-CN"/>
              </w:rPr>
              <w:t>规</w:t>
            </w:r>
            <w:r>
              <w:rPr>
                <w:rFonts w:hint="eastAsia" w:ascii="仿宋" w:hAnsi="仿宋" w:eastAsia="仿宋" w:cs="宋体"/>
                <w:snapToGrid/>
                <w:sz w:val="20"/>
              </w:rPr>
              <w:t>】</w:t>
            </w:r>
            <w:r>
              <w:rPr>
                <w:rFonts w:hint="eastAsia" w:ascii="仿宋" w:hAnsi="仿宋" w:eastAsia="仿宋" w:cs="宋体"/>
                <w:snapToGrid/>
                <w:sz w:val="20"/>
                <w:lang w:eastAsia="zh-CN"/>
              </w:rPr>
              <w:t>《</w:t>
            </w:r>
            <w:r>
              <w:rPr>
                <w:rFonts w:hint="eastAsia" w:ascii="仿宋" w:hAnsi="仿宋" w:eastAsia="仿宋" w:cs="宋体"/>
                <w:snapToGrid/>
                <w:sz w:val="20"/>
                <w:lang w:val="en-US" w:eastAsia="zh-CN"/>
              </w:rPr>
              <w:t>湖南省募捐条例》</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eastAsia" w:ascii="仿宋" w:hAnsi="仿宋" w:eastAsia="仿宋" w:cs="宋体"/>
                <w:snapToGrid/>
                <w:sz w:val="20"/>
              </w:rPr>
            </w:pPr>
            <w:r>
              <w:rPr>
                <w:rFonts w:hint="eastAsia" w:ascii="仿宋" w:hAnsi="仿宋" w:eastAsia="仿宋" w:cs="宋体"/>
                <w:snapToGrid/>
                <w:sz w:val="20"/>
              </w:rPr>
              <w:t>第四十条　滞留、私分、挪用、贪污或者侵占募捐财产的，由县级以上人民政府有关行政部门按照权限责令改正，追缴募捐财产；对直接负责的主管人员和其他直接责任人员，依法给予处分；构成犯罪的，依法追究刑事责任。</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没收违法所得，对直接负责的主管人员和其他直接责任人员处2万元以上5万元以下罚款。</w:t>
            </w:r>
          </w:p>
        </w:tc>
      </w:tr>
      <w:tr>
        <w:tblPrEx>
          <w:tblCellMar>
            <w:top w:w="0" w:type="dxa"/>
            <w:left w:w="108" w:type="dxa"/>
            <w:bottom w:w="0" w:type="dxa"/>
            <w:right w:w="108" w:type="dxa"/>
          </w:tblCellMar>
        </w:tblPrEx>
        <w:trPr>
          <w:trHeight w:val="2041"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吊销登记证书，没收违法所得，对直接负责的主管人员和其他直接责任人员处5万元以上10万元以下罚款。</w:t>
            </w:r>
          </w:p>
        </w:tc>
      </w:tr>
      <w:tr>
        <w:tblPrEx>
          <w:tblCellMar>
            <w:top w:w="0" w:type="dxa"/>
            <w:left w:w="108" w:type="dxa"/>
            <w:bottom w:w="0" w:type="dxa"/>
            <w:right w:w="108" w:type="dxa"/>
          </w:tblCellMar>
        </w:tblPrEx>
        <w:trPr>
          <w:trHeight w:val="2041"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60" w:lineRule="exact"/>
              <w:ind w:firstLine="0"/>
              <w:rPr>
                <w:rFonts w:ascii="仿宋" w:hAnsi="仿宋" w:eastAsia="仿宋" w:cs="宋体"/>
                <w:snapToGrid/>
                <w:sz w:val="20"/>
              </w:rPr>
            </w:pPr>
            <w:r>
              <w:rPr>
                <w:rFonts w:hint="eastAsia" w:ascii="仿宋" w:hAnsi="仿宋" w:eastAsia="仿宋" w:cs="宋体"/>
                <w:snapToGrid/>
                <w:sz w:val="20"/>
              </w:rPr>
              <w:t>逾期不改正，造成严重社会危害的。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吊销登记证书，没收违法所得，对直接负责的主管人员和其他直接责任人员处10万元以上20万元以下罚款。</w:t>
            </w:r>
          </w:p>
        </w:tc>
      </w:tr>
      <w:tr>
        <w:tblPrEx>
          <w:tblCellMar>
            <w:top w:w="0" w:type="dxa"/>
            <w:left w:w="108" w:type="dxa"/>
            <w:bottom w:w="0" w:type="dxa"/>
            <w:right w:w="108" w:type="dxa"/>
          </w:tblCellMar>
        </w:tblPrEx>
        <w:trPr>
          <w:trHeight w:val="2098"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37</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慈善组织接受附加违反法律法规或者违背社会公德条件的捐赠，或者对受益人附加违反法律法规或者违背社会公德的条件</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【法律】《中华人民共和国慈善法》</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第九十八条　慈善组织有下列情形之一的，由民政部门责令限期改正；逾期不改正的，吊销登记证书并予以公告： </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（三）接受附加违反法律法规或者违背社会公德条件的捐赠，或者对受益人附加违反法律法规或者违背社会公德的条件的。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    第一百条　慈善组织有本法第九十八条、第九十九条规定的情形，有违法所得的，由民政部门予以没收；对直接负责的主管人员和其他直接责任人员处二万元以上二十万元以下罚款。 </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没收违法所得，对直接负责的主管人员和其他直接责任人员处2万元以上5万元以下罚款。</w:t>
            </w:r>
          </w:p>
        </w:tc>
      </w:tr>
      <w:tr>
        <w:tblPrEx>
          <w:tblCellMar>
            <w:top w:w="0" w:type="dxa"/>
            <w:left w:w="108" w:type="dxa"/>
            <w:bottom w:w="0" w:type="dxa"/>
            <w:right w:w="108" w:type="dxa"/>
          </w:tblCellMar>
        </w:tblPrEx>
        <w:trPr>
          <w:trHeight w:val="2098"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吊销登记证书，没收违法所得，对直接负责的主管人员和其他直接责任人员处5万元以上10万元以下罚款。</w:t>
            </w:r>
          </w:p>
        </w:tc>
      </w:tr>
      <w:tr>
        <w:tblPrEx>
          <w:tblCellMar>
            <w:top w:w="0" w:type="dxa"/>
            <w:left w:w="108" w:type="dxa"/>
            <w:bottom w:w="0" w:type="dxa"/>
            <w:right w:w="108" w:type="dxa"/>
          </w:tblCellMar>
        </w:tblPrEx>
        <w:trPr>
          <w:trHeight w:val="2098"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逾期不改正，造成严重社会危害的。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吊销登记证书，没收违法所得，对直接负责的主管人员和其他直接责任人员处10万元以上20万元以下罚款。</w:t>
            </w:r>
          </w:p>
        </w:tc>
      </w:tr>
      <w:tr>
        <w:tblPrEx>
          <w:tblCellMar>
            <w:top w:w="0" w:type="dxa"/>
            <w:left w:w="108" w:type="dxa"/>
            <w:bottom w:w="0" w:type="dxa"/>
            <w:right w:w="108" w:type="dxa"/>
          </w:tblCellMar>
        </w:tblPrEx>
        <w:trPr>
          <w:trHeight w:val="2098"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38</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慈善组织违反《中华人民共和国慈善法》第十四条规定造成慈善财产损失</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【法律】《中华人民共和国慈善法》</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第九十九条第一款　慈善组织有下列情形之一的，由民政部门予以警告、责令限期改正；逾期不改正的，责令限期停止活动并进行整改：</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（一）违反本法第十四条规定造成慈善财产损失的；</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慈善组织有前两款规定的情形，经依法处理后一年内再出现前款规定的情形，或者有其他情节严重情形的，由民政部门吊销登记证书并予以公告。</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    第一百条　慈善组织有本法第九十八条、第九十九条规定的情形，有违法所得的，由民政部门予以没收；对直接负责的主管人员和其他直接责任人员处二万元以上二十万元以下罚款。 </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警告，没收违法所得，对直接负责的主管人员和其他直接责任人员处2万元以上5万元以下罚款。</w:t>
            </w:r>
          </w:p>
        </w:tc>
      </w:tr>
      <w:tr>
        <w:tblPrEx>
          <w:tblCellMar>
            <w:top w:w="0" w:type="dxa"/>
            <w:left w:w="108" w:type="dxa"/>
            <w:bottom w:w="0" w:type="dxa"/>
            <w:right w:w="108" w:type="dxa"/>
          </w:tblCellMar>
        </w:tblPrEx>
        <w:trPr>
          <w:trHeight w:val="2098"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责令限期停止活动并进行整改，没收违法所得，对直接负责的主管人员和其他直接责任人员处5万元以上10万元以下罚款。</w:t>
            </w:r>
          </w:p>
        </w:tc>
      </w:tr>
      <w:tr>
        <w:tblPrEx>
          <w:tblCellMar>
            <w:top w:w="0" w:type="dxa"/>
            <w:left w:w="108" w:type="dxa"/>
            <w:bottom w:w="0" w:type="dxa"/>
            <w:right w:w="108" w:type="dxa"/>
          </w:tblCellMar>
        </w:tblPrEx>
        <w:trPr>
          <w:trHeight w:val="2098"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依法处理后1年内再出现此类违法行为的；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吊销登记证书，没收违法所得，对直接负责的主管人员和其他直接责任人员处10万元以上20万元以下罚款。</w:t>
            </w:r>
          </w:p>
        </w:tc>
      </w:tr>
      <w:tr>
        <w:tblPrEx>
          <w:tblCellMar>
            <w:top w:w="0" w:type="dxa"/>
            <w:left w:w="108" w:type="dxa"/>
            <w:bottom w:w="0" w:type="dxa"/>
            <w:right w:w="108" w:type="dxa"/>
          </w:tblCellMar>
        </w:tblPrEx>
        <w:trPr>
          <w:trHeight w:val="39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39</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慈善组织将不得用于投资的财产用于投资</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【法律】《中华人民共和国慈善法》</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第九十九条第一款　慈善组织有下列情形之一的，由民政部门予以警告、责令限期改正；逾期不改正的，责令限期停止活动并进行整改： </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（二）将不得用于投资的财产用于投资的；</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慈善组织有前两款规定的情形，经依法处理后一年内再出现前款规定的情形，或者有其他情节严重情形的，由民政部门吊销登记证书并予以公告。  </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    第一百条　慈善组织有本法第九十八条、第九十九条规定的情形，有违法所得的，由民政部门予以没收；对直接负责的主管人员和其他直接责任人员处二万元以上二十万元以下罚款。 </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7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警告，没收违法所得，对直接负责的主管人员和其他直接责任人员处2万元以上5万元以下罚款。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7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责令限期停止活动并进行整改，没收违法所得，对直接负责的主管人员和其他直接责任人员处5万元以上10万元以下罚款。</w:t>
            </w:r>
          </w:p>
        </w:tc>
      </w:tr>
      <w:tr>
        <w:tblPrEx>
          <w:tblCellMar>
            <w:top w:w="0" w:type="dxa"/>
            <w:left w:w="108" w:type="dxa"/>
            <w:bottom w:w="0" w:type="dxa"/>
            <w:right w:w="108" w:type="dxa"/>
          </w:tblCellMar>
        </w:tblPrEx>
        <w:trPr>
          <w:trHeight w:val="198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依法处理后1年内再出现此类违法行为的；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7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吊销登记证书，没收违法所得，对直接负责的主管人员和其他直接责任人员处10万元以上20万元以下罚款。</w:t>
            </w:r>
          </w:p>
        </w:tc>
      </w:tr>
      <w:tr>
        <w:tblPrEx>
          <w:tblCellMar>
            <w:top w:w="0" w:type="dxa"/>
            <w:left w:w="108" w:type="dxa"/>
            <w:bottom w:w="0" w:type="dxa"/>
            <w:right w:w="108" w:type="dxa"/>
          </w:tblCellMar>
        </w:tblPrEx>
        <w:trPr>
          <w:trHeight w:val="39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40</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慈善组织擅自改变捐赠财产用途</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【法律】《中华人民共和国慈善法》    </w:t>
            </w:r>
          </w:p>
          <w:p>
            <w:pPr>
              <w:widowControl/>
              <w:autoSpaceDE/>
              <w:autoSpaceDN/>
              <w:snapToGrid/>
              <w:spacing w:line="280" w:lineRule="exact"/>
              <w:ind w:firstLine="400" w:firstLineChars="200"/>
              <w:rPr>
                <w:rFonts w:ascii="仿宋" w:hAnsi="仿宋" w:eastAsia="仿宋" w:cs="宋体"/>
                <w:snapToGrid/>
                <w:sz w:val="20"/>
              </w:rPr>
            </w:pPr>
            <w:r>
              <w:rPr>
                <w:rFonts w:hint="eastAsia" w:ascii="仿宋" w:hAnsi="仿宋" w:eastAsia="仿宋" w:cs="宋体"/>
                <w:snapToGrid/>
                <w:sz w:val="20"/>
              </w:rPr>
              <w:t>第九十九条第一款　慈善组织有下列情形之一的，由民政部门予以警告、责令限期改正；逾期不改正的，责令限期停止活动并进行整改： 　　</w:t>
            </w:r>
          </w:p>
          <w:p>
            <w:pPr>
              <w:widowControl/>
              <w:autoSpaceDE/>
              <w:autoSpaceDN/>
              <w:snapToGrid/>
              <w:spacing w:line="280" w:lineRule="exact"/>
              <w:ind w:left="60" w:firstLine="400" w:firstLineChars="200"/>
              <w:rPr>
                <w:rFonts w:hint="eastAsia" w:ascii="仿宋" w:hAnsi="仿宋" w:eastAsia="仿宋" w:cs="宋体"/>
                <w:snapToGrid/>
                <w:sz w:val="20"/>
              </w:rPr>
            </w:pPr>
            <w:r>
              <w:rPr>
                <w:rFonts w:hint="eastAsia" w:ascii="仿宋" w:hAnsi="仿宋" w:eastAsia="仿宋" w:cs="宋体"/>
                <w:snapToGrid/>
                <w:sz w:val="20"/>
              </w:rPr>
              <w:t>（三）擅自改变捐赠财产用途的；</w:t>
            </w:r>
          </w:p>
          <w:p>
            <w:pPr>
              <w:widowControl/>
              <w:autoSpaceDE/>
              <w:autoSpaceDN/>
              <w:snapToGrid/>
              <w:spacing w:line="280" w:lineRule="exact"/>
              <w:ind w:left="60" w:firstLine="400" w:firstLineChars="200"/>
              <w:rPr>
                <w:rFonts w:ascii="仿宋" w:hAnsi="仿宋" w:eastAsia="仿宋" w:cs="宋体"/>
                <w:snapToGrid/>
                <w:sz w:val="20"/>
              </w:rPr>
            </w:pPr>
            <w:r>
              <w:rPr>
                <w:rFonts w:hint="eastAsia" w:ascii="仿宋" w:hAnsi="仿宋" w:eastAsia="仿宋" w:cs="宋体"/>
                <w:snapToGrid/>
                <w:sz w:val="20"/>
              </w:rPr>
              <w:t>慈善组织有前两款规定的情形，经依法处理后一年内再出现前款规定的情形，或者有其他情节严重情形的，由民政部门吊销登记证书并予以公告。</w:t>
            </w:r>
          </w:p>
          <w:p>
            <w:pPr>
              <w:widowControl/>
              <w:autoSpaceDE/>
              <w:autoSpaceDN/>
              <w:snapToGrid/>
              <w:spacing w:line="280" w:lineRule="exact"/>
              <w:ind w:firstLine="400" w:firstLineChars="200"/>
              <w:rPr>
                <w:rFonts w:hint="eastAsia" w:ascii="仿宋" w:hAnsi="仿宋" w:eastAsia="仿宋" w:cs="宋体"/>
                <w:snapToGrid/>
                <w:sz w:val="20"/>
              </w:rPr>
            </w:pPr>
            <w:r>
              <w:rPr>
                <w:rFonts w:hint="eastAsia" w:ascii="仿宋" w:hAnsi="仿宋" w:eastAsia="仿宋" w:cs="宋体"/>
                <w:snapToGrid/>
                <w:sz w:val="20"/>
              </w:rPr>
              <w:t xml:space="preserve">第一百条　慈善组织有本法第九十八条、第九十九条规定的情形，有违法所得的，由民政部门予以没收；对直接负责的主管人员和其他直接责任人员处二万元以上二十万元以下罚款。  </w:t>
            </w:r>
          </w:p>
          <w:p>
            <w:pPr>
              <w:widowControl/>
              <w:autoSpaceDE/>
              <w:autoSpaceDN/>
              <w:snapToGrid/>
              <w:spacing w:line="280" w:lineRule="exact"/>
              <w:ind w:firstLine="0"/>
              <w:rPr>
                <w:rFonts w:hint="eastAsia" w:ascii="仿宋" w:hAnsi="仿宋" w:eastAsia="仿宋" w:cs="宋体"/>
                <w:snapToGrid/>
                <w:sz w:val="20"/>
                <w:lang w:val="en-US" w:eastAsia="zh-CN"/>
              </w:rPr>
            </w:pPr>
            <w:r>
              <w:rPr>
                <w:rFonts w:hint="eastAsia" w:ascii="仿宋" w:hAnsi="仿宋" w:eastAsia="仿宋" w:cs="宋体"/>
                <w:snapToGrid/>
                <w:sz w:val="20"/>
              </w:rPr>
              <w:t>【</w:t>
            </w:r>
            <w:r>
              <w:rPr>
                <w:rFonts w:hint="eastAsia" w:ascii="仿宋" w:hAnsi="仿宋" w:eastAsia="仿宋" w:cs="宋体"/>
                <w:snapToGrid/>
                <w:sz w:val="20"/>
                <w:lang w:val="en-US" w:eastAsia="zh-CN"/>
              </w:rPr>
              <w:t>地方性</w:t>
            </w:r>
            <w:r>
              <w:rPr>
                <w:rFonts w:hint="eastAsia" w:ascii="仿宋" w:hAnsi="仿宋" w:eastAsia="仿宋" w:cs="宋体"/>
                <w:snapToGrid/>
                <w:sz w:val="20"/>
              </w:rPr>
              <w:t>法</w:t>
            </w:r>
            <w:r>
              <w:rPr>
                <w:rFonts w:hint="eastAsia" w:ascii="仿宋" w:hAnsi="仿宋" w:eastAsia="仿宋" w:cs="宋体"/>
                <w:snapToGrid/>
                <w:sz w:val="20"/>
                <w:lang w:val="en-US" w:eastAsia="zh-CN"/>
              </w:rPr>
              <w:t>规</w:t>
            </w:r>
            <w:r>
              <w:rPr>
                <w:rFonts w:hint="eastAsia" w:ascii="仿宋" w:hAnsi="仿宋" w:eastAsia="仿宋" w:cs="宋体"/>
                <w:snapToGrid/>
                <w:sz w:val="20"/>
              </w:rPr>
              <w:t>】</w:t>
            </w:r>
            <w:r>
              <w:rPr>
                <w:rFonts w:hint="eastAsia" w:ascii="仿宋" w:hAnsi="仿宋" w:eastAsia="仿宋" w:cs="宋体"/>
                <w:snapToGrid/>
                <w:sz w:val="20"/>
                <w:lang w:eastAsia="zh-CN"/>
              </w:rPr>
              <w:t>《</w:t>
            </w:r>
            <w:r>
              <w:rPr>
                <w:rFonts w:hint="eastAsia" w:ascii="仿宋" w:hAnsi="仿宋" w:eastAsia="仿宋" w:cs="宋体"/>
                <w:snapToGrid/>
                <w:sz w:val="20"/>
                <w:lang w:val="en-US" w:eastAsia="zh-CN"/>
              </w:rPr>
              <w:t>湖南省募捐条例》</w:t>
            </w:r>
          </w:p>
          <w:p>
            <w:pPr>
              <w:widowControl/>
              <w:autoSpaceDE/>
              <w:autoSpaceDN/>
              <w:snapToGrid/>
              <w:spacing w:line="280" w:lineRule="exact"/>
              <w:ind w:firstLine="400" w:firstLineChars="200"/>
              <w:rPr>
                <w:rFonts w:hint="eastAsia" w:ascii="仿宋" w:hAnsi="仿宋" w:eastAsia="仿宋" w:cs="宋体"/>
                <w:snapToGrid/>
                <w:sz w:val="20"/>
              </w:rPr>
            </w:pPr>
            <w:r>
              <w:rPr>
                <w:rFonts w:hint="eastAsia" w:ascii="仿宋" w:hAnsi="仿宋" w:eastAsia="仿宋" w:cs="宋体"/>
                <w:snapToGrid/>
                <w:sz w:val="20"/>
              </w:rPr>
              <w:t>第三十八条</w:t>
            </w:r>
            <w:r>
              <w:rPr>
                <w:rFonts w:hint="eastAsia" w:ascii="仿宋" w:hAnsi="仿宋" w:eastAsia="仿宋" w:cs="宋体"/>
                <w:snapToGrid/>
                <w:sz w:val="20"/>
                <w:lang w:val="en-US" w:eastAsia="zh-CN"/>
              </w:rPr>
              <w:t xml:space="preserve"> </w:t>
            </w:r>
            <w:r>
              <w:rPr>
                <w:rFonts w:hint="default" w:ascii="仿宋" w:hAnsi="仿宋" w:eastAsia="仿宋" w:cs="宋体"/>
                <w:snapToGrid/>
                <w:sz w:val="20"/>
                <w:lang w:val="en-US" w:eastAsia="zh-CN"/>
              </w:rPr>
              <w:t>募捐人违反本条例规定，有下列情形之一的，由县级以上人民政府民政部门责令停止违法行为，给予警告，并责令限期返还募捐财产；不能返还的，由民政部门责令交由其他募捐人用于原募捐用途或者其他公益事业；情节严重的，依法撤销登记或者吊销许可证:</w:t>
            </w:r>
          </w:p>
          <w:p>
            <w:pPr>
              <w:widowControl/>
              <w:autoSpaceDE/>
              <w:autoSpaceDN/>
              <w:snapToGrid/>
              <w:spacing w:line="280" w:lineRule="exact"/>
              <w:rPr>
                <w:rFonts w:hint="eastAsia" w:ascii="仿宋" w:hAnsi="仿宋" w:eastAsia="仿宋" w:cs="宋体"/>
                <w:snapToGrid/>
                <w:sz w:val="20"/>
              </w:rPr>
            </w:pPr>
            <w:r>
              <w:rPr>
                <w:rFonts w:hint="eastAsia" w:ascii="仿宋" w:hAnsi="仿宋" w:eastAsia="仿宋" w:cs="宋体"/>
                <w:snapToGrid/>
                <w:sz w:val="20"/>
                <w:lang w:val="en-US" w:eastAsia="zh-CN"/>
              </w:rPr>
              <w:t>（六）不按照募捐方案使用募捐财产的。</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警告，没收违法所得，对直接负责的主管人员和其他直接责任人员处2万元以上5万元以下罚款。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责令限期停止活动并进行整改，没收违法所得，对直接负责的主管人员和其他直接责任人员处5万元以上10万元以下罚款。</w:t>
            </w:r>
          </w:p>
        </w:tc>
      </w:tr>
      <w:tr>
        <w:tblPrEx>
          <w:tblCellMar>
            <w:top w:w="0" w:type="dxa"/>
            <w:left w:w="108" w:type="dxa"/>
            <w:bottom w:w="0" w:type="dxa"/>
            <w:right w:w="108" w:type="dxa"/>
          </w:tblCellMar>
        </w:tblPrEx>
        <w:trPr>
          <w:trHeight w:val="2892"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依法处理后1年内再出现此类违法行为的；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8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吊销登记证书，没收违法所得，对直接负责的主管人员和其他直接责任人员处10万元以上20万元以下罚款。</w:t>
            </w:r>
          </w:p>
        </w:tc>
      </w:tr>
      <w:tr>
        <w:tblPrEx>
          <w:tblCellMar>
            <w:top w:w="0" w:type="dxa"/>
            <w:left w:w="108" w:type="dxa"/>
            <w:bottom w:w="0" w:type="dxa"/>
            <w:right w:w="108" w:type="dxa"/>
          </w:tblCellMar>
        </w:tblPrEx>
        <w:trPr>
          <w:trHeight w:val="39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41</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慈善组织开展慈善活动的年度支出或者管理费用的标准违反《中华人民共和国慈善法》第六十条规定</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【法律】《中华人民共和国慈善法》</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第九十九条第一款　慈善组织有下列情形之一的，由民政部门予以警告、责令限期改正；逾期不改正的，责令限期停止活动并进行整改： </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（四）开展慈善活动的年度支出或者管理费用的标准违反本法第六十条规定的；</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慈善组织有前两款规定的情形，经依法处理后一年内再出现前款规定的情形，或者有其他情节严重情形的，由民政部门吊销登记证书并予以公告。</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    第一百条　慈善组织有本法第九十八条、第九十九条规定的情形，有违法所得的，由民政部门予以没收；对直接负责的主管人员和其他直接责任人员处二万元以上二十万元以下罚款。 </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2"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警告，没收违法所得，对直接负责的主管人员和其他直接责任人员处2万元以上5万元以下罚款。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2"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责令限期停止活动并进行整改，没收违法所得，对直接负责的主管人员和其他直接责任人员处5万元以上10万元以下罚款。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依法处理后一年内再出现此类违法行为的；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2"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吊销登记证书，没收违法所得，对直接负责的主管人员和其他直接责任人员处10万元以上20万元以下罚款。</w:t>
            </w:r>
          </w:p>
        </w:tc>
      </w:tr>
      <w:tr>
        <w:tblPrEx>
          <w:tblCellMar>
            <w:top w:w="0" w:type="dxa"/>
            <w:left w:w="108" w:type="dxa"/>
            <w:bottom w:w="0" w:type="dxa"/>
            <w:right w:w="108" w:type="dxa"/>
          </w:tblCellMar>
        </w:tblPrEx>
        <w:trPr>
          <w:trHeight w:val="39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42</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慈善组织未依法报送年度工作报告、财务会计报告或者报备募捐方案</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【法律】《中华人民共和国慈善法》</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第九十九条第一款　慈善组织有下列情形之一的，由民政部门予以警告、责令限期改正；逾期不改正的，责令限期停止活动并进行整改：</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（六）未依法报送年度工作报告、财务会计报告或者报备募捐方案的；</w:t>
            </w:r>
          </w:p>
          <w:p>
            <w:pPr>
              <w:widowControl/>
              <w:autoSpaceDE/>
              <w:autoSpaceDN/>
              <w:snapToGrid/>
              <w:spacing w:line="280" w:lineRule="exact"/>
              <w:ind w:firstLine="405"/>
              <w:rPr>
                <w:rFonts w:ascii="仿宋" w:hAnsi="仿宋" w:eastAsia="仿宋" w:cs="宋体"/>
                <w:snapToGrid/>
                <w:sz w:val="20"/>
              </w:rPr>
            </w:pPr>
            <w:r>
              <w:rPr>
                <w:rFonts w:hint="eastAsia" w:ascii="仿宋" w:hAnsi="仿宋" w:eastAsia="仿宋" w:cs="宋体"/>
                <w:snapToGrid/>
                <w:sz w:val="20"/>
              </w:rPr>
              <w:t>慈善组织有前两款规定的情形，经依法处理后一年内再出现前款规定的情形，或者有其他情节严重情形的，由民政部门吊销登记证书并予以公告。</w:t>
            </w:r>
          </w:p>
          <w:p>
            <w:pPr>
              <w:widowControl/>
              <w:autoSpaceDE/>
              <w:autoSpaceDN/>
              <w:snapToGrid/>
              <w:spacing w:line="280" w:lineRule="exact"/>
              <w:ind w:firstLine="405"/>
              <w:rPr>
                <w:rFonts w:ascii="仿宋" w:hAnsi="仿宋" w:eastAsia="仿宋" w:cs="宋体"/>
                <w:snapToGrid/>
                <w:sz w:val="20"/>
              </w:rPr>
            </w:pPr>
            <w:r>
              <w:rPr>
                <w:rFonts w:hint="eastAsia" w:ascii="仿宋" w:hAnsi="仿宋" w:eastAsia="仿宋" w:cs="宋体"/>
                <w:snapToGrid/>
                <w:sz w:val="20"/>
              </w:rPr>
              <w:t>第一百条　慈善组织有本法第九十八条、第九十九条规定的情形，有违法所得的，由民政部门予以没收；对直接负责的主管人员和其他直接责任人员处二万元以上二十万元以下罚款。</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12"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警告，没收违法所得，对直接负责的主管人员和其他直接责任人员处2万元以上5万元以下罚款。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12"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责令限期停止活动并进行整改，没收违法所得，对直接负责的主管人员和其他直接责任人员处5万元以上10万元以下罚款。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依法处理后一年内再出现此类违法行为的；</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12"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吊销登记证书，没收违法所得，对直接负责的主管人员和其他直接责任人员处10万元以上20万元以下罚款。</w:t>
            </w:r>
          </w:p>
        </w:tc>
      </w:tr>
      <w:tr>
        <w:tblPrEx>
          <w:tblCellMar>
            <w:top w:w="0" w:type="dxa"/>
            <w:left w:w="108" w:type="dxa"/>
            <w:bottom w:w="0" w:type="dxa"/>
            <w:right w:w="108" w:type="dxa"/>
          </w:tblCellMar>
        </w:tblPrEx>
        <w:trPr>
          <w:trHeight w:val="158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43</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慈善组织泄露捐赠人、志愿者、受益人个人隐私以及捐赠人、慈善信托的委托人不同意公开的姓名、名称、住所、通讯方式等信息</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【法律】《中华人民共和国慈善法》</w:t>
            </w:r>
          </w:p>
          <w:p>
            <w:pPr>
              <w:keepNext w:val="0"/>
              <w:keepLines w:val="0"/>
              <w:pageBreakBefore w:val="0"/>
              <w:widowControl/>
              <w:kinsoku/>
              <w:wordWrap/>
              <w:overflowPunct/>
              <w:topLinePunct w:val="0"/>
              <w:autoSpaceDE/>
              <w:autoSpaceDN/>
              <w:bidi w:val="0"/>
              <w:adjustRightInd/>
              <w:snapToGrid/>
              <w:spacing w:line="240" w:lineRule="exact"/>
              <w:ind w:firstLine="375"/>
              <w:textAlignment w:val="auto"/>
              <w:rPr>
                <w:rFonts w:hint="eastAsia" w:ascii="仿宋" w:hAnsi="仿宋" w:eastAsia="仿宋" w:cs="宋体"/>
                <w:snapToGrid/>
                <w:sz w:val="20"/>
              </w:rPr>
            </w:pPr>
            <w:r>
              <w:rPr>
                <w:rFonts w:hint="eastAsia" w:ascii="仿宋" w:hAnsi="仿宋" w:eastAsia="仿宋" w:cs="宋体"/>
                <w:snapToGrid/>
                <w:sz w:val="20"/>
              </w:rPr>
              <w:t>第九十九条  慈善组织有下列情形之一的，由民政部门予以警告、责令限期改正；逾期不改正的，责令限期停止活动并进行整改：</w:t>
            </w:r>
          </w:p>
          <w:p>
            <w:pPr>
              <w:keepNext w:val="0"/>
              <w:keepLines w:val="0"/>
              <w:pageBreakBefore w:val="0"/>
              <w:widowControl/>
              <w:kinsoku/>
              <w:wordWrap/>
              <w:overflowPunct/>
              <w:topLinePunct w:val="0"/>
              <w:autoSpaceDE/>
              <w:autoSpaceDN/>
              <w:bidi w:val="0"/>
              <w:adjustRightInd/>
              <w:snapToGrid/>
              <w:spacing w:line="240" w:lineRule="exact"/>
              <w:ind w:firstLine="375"/>
              <w:textAlignment w:val="auto"/>
              <w:rPr>
                <w:rFonts w:ascii="仿宋" w:hAnsi="仿宋" w:eastAsia="仿宋" w:cs="宋体"/>
                <w:snapToGrid/>
                <w:sz w:val="20"/>
              </w:rPr>
            </w:pPr>
            <w:r>
              <w:rPr>
                <w:rFonts w:hint="eastAsia" w:ascii="仿宋" w:hAnsi="仿宋" w:eastAsia="仿宋" w:cs="宋体"/>
                <w:snapToGrid/>
                <w:sz w:val="20"/>
              </w:rPr>
              <w:t xml:space="preserve">（七）泄露捐赠人、志愿者、受益人个人隐私以及捐赠人、慈善信托的委托人不同意公开的姓名、名称、住所、通讯方式等信息的。 </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eastAsia" w:ascii="仿宋" w:hAnsi="仿宋" w:eastAsia="仿宋" w:cs="宋体"/>
                <w:snapToGrid/>
                <w:sz w:val="20"/>
              </w:rPr>
            </w:pPr>
            <w:r>
              <w:rPr>
                <w:rFonts w:hint="eastAsia" w:ascii="仿宋" w:hAnsi="仿宋" w:eastAsia="仿宋" w:cs="宋体"/>
                <w:snapToGrid/>
                <w:sz w:val="20"/>
              </w:rPr>
              <w:t xml:space="preserve">慈善组织有前两款规定的情形，经依法处理后一年内再出现前款规定的情形，或者有其他情节严重情形的，由民政部门吊销登记证书并予以公告。                                                                       </w:t>
            </w:r>
          </w:p>
          <w:p>
            <w:pPr>
              <w:keepNext w:val="0"/>
              <w:keepLines w:val="0"/>
              <w:pageBreakBefore w:val="0"/>
              <w:widowControl/>
              <w:kinsoku/>
              <w:wordWrap/>
              <w:overflowPunct/>
              <w:topLinePunct w:val="0"/>
              <w:autoSpaceDE/>
              <w:autoSpaceDN/>
              <w:bidi w:val="0"/>
              <w:adjustRightInd/>
              <w:snapToGrid/>
              <w:spacing w:line="240" w:lineRule="exact"/>
              <w:ind w:left="60" w:firstLine="400" w:firstLineChars="200"/>
              <w:textAlignment w:val="auto"/>
              <w:rPr>
                <w:rFonts w:ascii="仿宋" w:hAnsi="仿宋" w:eastAsia="仿宋" w:cs="宋体"/>
                <w:snapToGrid/>
                <w:sz w:val="20"/>
              </w:rPr>
            </w:pPr>
            <w:r>
              <w:rPr>
                <w:rFonts w:hint="eastAsia" w:ascii="仿宋" w:hAnsi="仿宋" w:eastAsia="仿宋" w:cs="宋体"/>
                <w:snapToGrid/>
                <w:sz w:val="20"/>
              </w:rPr>
              <w:t>第一百条　慈善组织有本法第九十八条、第九十九条规定的情形，有违法所得的，由民政部门予以没收；对直接负责的主管人员和其他直接责任人员处二万元以上二十万元以下罚款。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警告，没收违法所得，对直接负责的主管人员和其他直接责任人员处2万元以上5万元以下罚款。</w:t>
            </w:r>
          </w:p>
        </w:tc>
      </w:tr>
      <w:tr>
        <w:tblPrEx>
          <w:tblCellMar>
            <w:top w:w="0" w:type="dxa"/>
            <w:left w:w="108" w:type="dxa"/>
            <w:bottom w:w="0" w:type="dxa"/>
            <w:right w:w="108" w:type="dxa"/>
          </w:tblCellMar>
        </w:tblPrEx>
        <w:trPr>
          <w:trHeight w:val="158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责令限期停止活动并进行整改，没收违法所得，对直接负责的主管人员和其他直接责任人员处5万元以上10万元以下罚款。</w:t>
            </w:r>
          </w:p>
        </w:tc>
      </w:tr>
      <w:tr>
        <w:tblPrEx>
          <w:tblCellMar>
            <w:top w:w="0" w:type="dxa"/>
            <w:left w:w="108" w:type="dxa"/>
            <w:bottom w:w="0" w:type="dxa"/>
            <w:right w:w="108" w:type="dxa"/>
          </w:tblCellMar>
        </w:tblPrEx>
        <w:trPr>
          <w:trHeight w:val="158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依法处理后一年内再出现此类违法行为的；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吊销登记证书，没收违法所得，对直接负责的主管人员和其他直接责任人员处10万元以上20万元以下罚款。</w:t>
            </w:r>
          </w:p>
        </w:tc>
      </w:tr>
      <w:tr>
        <w:tblPrEx>
          <w:tblCellMar>
            <w:top w:w="0" w:type="dxa"/>
            <w:left w:w="108" w:type="dxa"/>
            <w:bottom w:w="0" w:type="dxa"/>
            <w:right w:w="108" w:type="dxa"/>
          </w:tblCellMar>
        </w:tblPrEx>
        <w:trPr>
          <w:trHeight w:val="1587"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default" w:ascii="仿宋" w:hAnsi="仿宋" w:eastAsia="仿宋"/>
                <w:snapToGrid/>
                <w:sz w:val="20"/>
                <w:lang w:val="en-US" w:eastAsia="zh-CN"/>
              </w:rPr>
            </w:pPr>
            <w:r>
              <w:rPr>
                <w:rFonts w:hint="eastAsia" w:ascii="仿宋" w:hAnsi="仿宋" w:eastAsia="仿宋"/>
                <w:snapToGrid/>
                <w:sz w:val="20"/>
                <w:lang w:val="en-US" w:eastAsia="zh-CN"/>
              </w:rPr>
              <w:t>44</w:t>
            </w:r>
          </w:p>
        </w:tc>
        <w:tc>
          <w:tcPr>
            <w:tcW w:w="1691"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60" w:lineRule="exact"/>
              <w:ind w:firstLine="0"/>
              <w:rPr>
                <w:rFonts w:ascii="仿宋" w:hAnsi="仿宋" w:eastAsia="仿宋" w:cs="宋体"/>
                <w:snapToGrid/>
                <w:sz w:val="20"/>
              </w:rPr>
            </w:pPr>
            <w:r>
              <w:rPr>
                <w:rFonts w:hint="eastAsia" w:ascii="仿宋" w:hAnsi="仿宋" w:eastAsia="仿宋" w:cs="宋体"/>
                <w:snapToGrid/>
                <w:sz w:val="20"/>
              </w:rPr>
              <w:t>慈善组织有《中华人民共和国慈善法》第</w:t>
            </w:r>
            <w:r>
              <w:rPr>
                <w:rFonts w:ascii="仿宋" w:hAnsi="仿宋" w:eastAsia="仿宋" w:cs="宋体"/>
                <w:snapToGrid/>
                <w:sz w:val="20"/>
              </w:rPr>
              <w:t>九十九条</w:t>
            </w:r>
            <w:r>
              <w:rPr>
                <w:rFonts w:hint="eastAsia" w:ascii="仿宋" w:hAnsi="仿宋" w:eastAsia="仿宋" w:cs="宋体"/>
                <w:snapToGrid/>
                <w:sz w:val="20"/>
              </w:rPr>
              <w:t>前两款规定的情形，经依法处理后一年内再出现前款规定的情形，或者有其他情节严重情形。</w:t>
            </w:r>
          </w:p>
        </w:tc>
        <w:tc>
          <w:tcPr>
            <w:tcW w:w="3764"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【法律】《中华人民共和国慈善法》</w:t>
            </w:r>
          </w:p>
          <w:p>
            <w:pPr>
              <w:keepNext w:val="0"/>
              <w:keepLines w:val="0"/>
              <w:pageBreakBefore w:val="0"/>
              <w:widowControl/>
              <w:kinsoku/>
              <w:wordWrap/>
              <w:overflowPunct/>
              <w:topLinePunct w:val="0"/>
              <w:autoSpaceDE/>
              <w:autoSpaceDN/>
              <w:bidi w:val="0"/>
              <w:adjustRightInd/>
              <w:snapToGrid/>
              <w:spacing w:line="240" w:lineRule="exact"/>
              <w:ind w:firstLine="375"/>
              <w:textAlignment w:val="auto"/>
              <w:rPr>
                <w:rFonts w:ascii="仿宋" w:hAnsi="仿宋" w:eastAsia="仿宋" w:cs="宋体"/>
                <w:snapToGrid/>
                <w:sz w:val="20"/>
              </w:rPr>
            </w:pPr>
            <w:r>
              <w:rPr>
                <w:rFonts w:hint="eastAsia" w:ascii="仿宋" w:hAnsi="仿宋" w:eastAsia="仿宋" w:cs="宋体"/>
                <w:snapToGrid/>
                <w:sz w:val="20"/>
              </w:rPr>
              <w:t xml:space="preserve">第九十九条第三款  慈善组织有前两款规定的情形，经依法处理后一年内再出现前款规定的情形，或者有其他情节严重情形的，由民政部门吊销登记证书并予以公告。  </w:t>
            </w:r>
          </w:p>
          <w:p>
            <w:pPr>
              <w:keepNext w:val="0"/>
              <w:keepLines w:val="0"/>
              <w:pageBreakBefore w:val="0"/>
              <w:widowControl/>
              <w:kinsoku/>
              <w:wordWrap/>
              <w:overflowPunct/>
              <w:topLinePunct w:val="0"/>
              <w:autoSpaceDE/>
              <w:autoSpaceDN/>
              <w:bidi w:val="0"/>
              <w:adjustRightInd/>
              <w:snapToGrid/>
              <w:spacing w:line="240" w:lineRule="exact"/>
              <w:ind w:firstLine="375"/>
              <w:textAlignment w:val="auto"/>
              <w:rPr>
                <w:rFonts w:ascii="仿宋" w:hAnsi="仿宋" w:eastAsia="仿宋" w:cs="宋体"/>
                <w:snapToGrid/>
                <w:sz w:val="20"/>
              </w:rPr>
            </w:pPr>
            <w:r>
              <w:rPr>
                <w:rFonts w:hint="eastAsia" w:ascii="仿宋" w:hAnsi="仿宋" w:eastAsia="仿宋" w:cs="宋体"/>
                <w:snapToGrid/>
                <w:sz w:val="20"/>
              </w:rPr>
              <w:t xml:space="preserve">第一百条　慈善组织有本法第九十八条、第九十九条规定的情形，有违法所得的，由民政部门予以没收；对直接负责的主管人员和其他直接责任人员处二万元以上二十万元以下罚款。  </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经依法处理后一年内再出现相同</w:t>
            </w:r>
            <w:r>
              <w:rPr>
                <w:rFonts w:ascii="仿宋" w:hAnsi="仿宋" w:eastAsia="仿宋" w:cs="宋体"/>
                <w:snapToGrid/>
                <w:sz w:val="20"/>
              </w:rPr>
              <w:t>违法行为</w:t>
            </w:r>
            <w:r>
              <w:rPr>
                <w:rFonts w:hint="eastAsia" w:ascii="仿宋" w:hAnsi="仿宋" w:eastAsia="仿宋" w:cs="宋体"/>
                <w:snapToGrid/>
                <w:sz w:val="20"/>
              </w:rPr>
              <w:t>，或者有其他违法</w:t>
            </w:r>
            <w:r>
              <w:rPr>
                <w:rFonts w:ascii="仿宋" w:hAnsi="仿宋" w:eastAsia="仿宋" w:cs="宋体"/>
                <w:snapToGrid/>
                <w:sz w:val="20"/>
              </w:rPr>
              <w:t>行为</w:t>
            </w:r>
            <w:r>
              <w:rPr>
                <w:rFonts w:hint="eastAsia" w:ascii="仿宋" w:hAnsi="仿宋" w:eastAsia="仿宋" w:cs="宋体"/>
                <w:snapToGrid/>
                <w:sz w:val="20"/>
              </w:rPr>
              <w:t>情节严重的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吊销登记证书，没收违法所得，对直接负责的主管人员和其他直接责任人员处10万元以上20万元以下罚款。    </w:t>
            </w:r>
          </w:p>
        </w:tc>
      </w:tr>
      <w:tr>
        <w:tblPrEx>
          <w:tblCellMar>
            <w:top w:w="0" w:type="dxa"/>
            <w:left w:w="108" w:type="dxa"/>
            <w:bottom w:w="0" w:type="dxa"/>
            <w:right w:w="108" w:type="dxa"/>
          </w:tblCellMar>
        </w:tblPrEx>
        <w:trPr>
          <w:trHeight w:val="158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45</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不具有公开募捐资格的慈善组织开展公开募捐</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【法律】《中华人民共和国慈善法》</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第一百零一条　开展募捐活动有下列情形之一的，由民政部门予以警告、责令停止募捐活动；对违法募集的财产，责令退还捐赠人；难以退还的，由民政部门予以收缴，转给其他慈善组织用于慈善目的；对有关组织或者个人处二万元以上二十万元以下罚款： </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（一）不具有公开募捐资格的组织或者个人开展公开募捐的；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rPr>
              <w:t>【</w:t>
            </w:r>
            <w:r>
              <w:rPr>
                <w:rFonts w:hint="eastAsia" w:ascii="仿宋" w:hAnsi="仿宋" w:eastAsia="仿宋" w:cs="宋体"/>
                <w:snapToGrid/>
                <w:sz w:val="20"/>
                <w:lang w:val="en-US" w:eastAsia="zh-CN"/>
              </w:rPr>
              <w:t>地方性</w:t>
            </w:r>
            <w:r>
              <w:rPr>
                <w:rFonts w:hint="eastAsia" w:ascii="仿宋" w:hAnsi="仿宋" w:eastAsia="仿宋" w:cs="宋体"/>
                <w:snapToGrid/>
                <w:sz w:val="20"/>
              </w:rPr>
              <w:t>法</w:t>
            </w:r>
            <w:r>
              <w:rPr>
                <w:rFonts w:hint="eastAsia" w:ascii="仿宋" w:hAnsi="仿宋" w:eastAsia="仿宋" w:cs="宋体"/>
                <w:snapToGrid/>
                <w:sz w:val="20"/>
                <w:lang w:val="en-US" w:eastAsia="zh-CN"/>
              </w:rPr>
              <w:t>规</w:t>
            </w:r>
            <w:r>
              <w:rPr>
                <w:rFonts w:hint="eastAsia" w:ascii="仿宋" w:hAnsi="仿宋" w:eastAsia="仿宋" w:cs="宋体"/>
                <w:snapToGrid/>
                <w:sz w:val="20"/>
              </w:rPr>
              <w:t>】</w:t>
            </w:r>
            <w:r>
              <w:rPr>
                <w:rFonts w:hint="eastAsia" w:ascii="仿宋" w:hAnsi="仿宋" w:eastAsia="仿宋" w:cs="宋体"/>
                <w:snapToGrid/>
                <w:sz w:val="20"/>
                <w:lang w:eastAsia="zh-CN"/>
              </w:rPr>
              <w:t>《</w:t>
            </w:r>
            <w:r>
              <w:rPr>
                <w:rFonts w:hint="eastAsia" w:ascii="仿宋" w:hAnsi="仿宋" w:eastAsia="仿宋" w:cs="宋体"/>
                <w:snapToGrid/>
                <w:sz w:val="20"/>
                <w:lang w:val="en-US" w:eastAsia="zh-CN"/>
              </w:rPr>
              <w:t>湖南省募捐条例》</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default" w:ascii="仿宋" w:hAnsi="仿宋" w:eastAsia="仿宋" w:cs="宋体"/>
                <w:snapToGrid/>
                <w:sz w:val="20"/>
                <w:lang w:val="en-US" w:eastAsia="zh-CN"/>
              </w:rPr>
            </w:pPr>
            <w:r>
              <w:rPr>
                <w:rFonts w:hint="eastAsia" w:ascii="仿宋" w:hAnsi="仿宋" w:eastAsia="仿宋" w:cs="宋体"/>
                <w:snapToGrid/>
                <w:sz w:val="20"/>
              </w:rPr>
              <w:t>第三十七条　违反本条例第七条规定，擅自面向社会公众开展募捐活动的，由县级以上人民政府民政部门责令停止违法行为、限期返还募捐财产，可以处违法募捐财产价值一倍以下的罚款；募捐财产不能返还的，由民政部门责令将该财产交由合法募捐人管理。</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违法募集财产数额较小，造成较小社会危害的。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警告，责令停止，募集资金难以退</w:t>
            </w:r>
            <w:r>
              <w:rPr>
                <w:rFonts w:hint="eastAsia" w:ascii="仿宋" w:hAnsi="仿宋" w:eastAsia="仿宋" w:cs="宋体"/>
                <w:snapToGrid/>
                <w:sz w:val="20"/>
                <w:lang w:eastAsia="zh-CN"/>
              </w:rPr>
              <w:t>还</w:t>
            </w:r>
            <w:r>
              <w:rPr>
                <w:rFonts w:hint="eastAsia" w:ascii="仿宋" w:hAnsi="仿宋" w:eastAsia="仿宋" w:cs="宋体"/>
                <w:snapToGrid/>
                <w:sz w:val="20"/>
              </w:rPr>
              <w:t>的予以收缴，并处2万元以上10万元以下罚款。</w:t>
            </w:r>
          </w:p>
        </w:tc>
      </w:tr>
      <w:tr>
        <w:tblPrEx>
          <w:tblCellMar>
            <w:top w:w="0" w:type="dxa"/>
            <w:left w:w="108" w:type="dxa"/>
            <w:bottom w:w="0" w:type="dxa"/>
            <w:right w:w="108" w:type="dxa"/>
          </w:tblCellMar>
        </w:tblPrEx>
        <w:trPr>
          <w:trHeight w:val="158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违法募集财产数额较大，造成较大社会危害的。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警告，责令停止，募集资金难以退</w:t>
            </w:r>
            <w:r>
              <w:rPr>
                <w:rFonts w:hint="eastAsia" w:ascii="仿宋" w:hAnsi="仿宋" w:eastAsia="仿宋" w:cs="宋体"/>
                <w:snapToGrid/>
                <w:sz w:val="20"/>
                <w:lang w:eastAsia="zh-CN"/>
              </w:rPr>
              <w:t>还</w:t>
            </w:r>
            <w:r>
              <w:rPr>
                <w:rFonts w:hint="eastAsia" w:ascii="仿宋" w:hAnsi="仿宋" w:eastAsia="仿宋" w:cs="宋体"/>
                <w:snapToGrid/>
                <w:sz w:val="20"/>
              </w:rPr>
              <w:t>的予以收缴，并处10万元以上15万元以下罚款。</w:t>
            </w:r>
          </w:p>
        </w:tc>
      </w:tr>
      <w:tr>
        <w:tblPrEx>
          <w:tblCellMar>
            <w:top w:w="0" w:type="dxa"/>
            <w:left w:w="108" w:type="dxa"/>
            <w:bottom w:w="0" w:type="dxa"/>
            <w:right w:w="108" w:type="dxa"/>
          </w:tblCellMar>
        </w:tblPrEx>
        <w:trPr>
          <w:trHeight w:val="158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违法募集财产数额巨大，造成严重社会危害的。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警告，责令停止，募集资金难以退</w:t>
            </w:r>
            <w:r>
              <w:rPr>
                <w:rFonts w:hint="eastAsia" w:ascii="仿宋" w:hAnsi="仿宋" w:eastAsia="仿宋" w:cs="宋体"/>
                <w:snapToGrid/>
                <w:sz w:val="20"/>
                <w:lang w:eastAsia="zh-CN"/>
              </w:rPr>
              <w:t>还</w:t>
            </w:r>
            <w:r>
              <w:rPr>
                <w:rFonts w:hint="eastAsia" w:ascii="仿宋" w:hAnsi="仿宋" w:eastAsia="仿宋" w:cs="宋体"/>
                <w:snapToGrid/>
                <w:sz w:val="20"/>
              </w:rPr>
              <w:t>的予以收缴，并处15万元以上20万元以下罚款。</w:t>
            </w:r>
          </w:p>
        </w:tc>
      </w:tr>
      <w:tr>
        <w:tblPrEx>
          <w:tblCellMar>
            <w:top w:w="0" w:type="dxa"/>
            <w:left w:w="108" w:type="dxa"/>
            <w:bottom w:w="0" w:type="dxa"/>
            <w:right w:w="108" w:type="dxa"/>
          </w:tblCellMar>
        </w:tblPrEx>
        <w:trPr>
          <w:trHeight w:val="1134"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46</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慈善组织通过虚构事实等方式欺骗、诱导募捐对象实施捐赠</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【法律】《中华人民共和国慈善法》</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第一百零一条　开展募捐活动有下列情形之一的，由民政部门予以警告、责令停止募捐活动；对违法募集的财产，责令退还捐赠人；难以退还的，由民政部门予以收缴，转给其他慈善组织用于慈善目的；对有关组织或者个人处二万元以上二十万元以下罚款： </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（二）通过虚构事实等方式欺骗、诱导募捐对象实施捐赠的； </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违法募集财产数额较小，造成较小社会危害的。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eastAsia="zh-CN"/>
              </w:rPr>
            </w:pPr>
            <w:r>
              <w:rPr>
                <w:rFonts w:hint="eastAsia" w:ascii="仿宋" w:hAnsi="仿宋" w:eastAsia="仿宋" w:cs="宋体"/>
                <w:snapToGrid/>
                <w:spacing w:val="-6"/>
                <w:sz w:val="20"/>
              </w:rPr>
              <w:t>警告，责令停止，并处2万元以上10万元以下罚款</w:t>
            </w:r>
            <w:r>
              <w:rPr>
                <w:rFonts w:hint="eastAsia" w:ascii="仿宋" w:hAnsi="仿宋" w:eastAsia="仿宋" w:cs="宋体"/>
                <w:snapToGrid/>
                <w:spacing w:val="-6"/>
                <w:sz w:val="20"/>
                <w:lang w:eastAsia="zh-CN"/>
              </w:rPr>
              <w:t>。</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违法募集财产数额较大，造成较大社会危害的。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pacing w:val="-6"/>
                <w:sz w:val="20"/>
              </w:rPr>
              <w:t>警告，责令停止，募集资金难以退</w:t>
            </w:r>
            <w:r>
              <w:rPr>
                <w:rFonts w:hint="eastAsia" w:ascii="仿宋" w:hAnsi="仿宋" w:eastAsia="仿宋" w:cs="宋体"/>
                <w:snapToGrid/>
                <w:spacing w:val="-6"/>
                <w:sz w:val="20"/>
                <w:lang w:eastAsia="zh-CN"/>
              </w:rPr>
              <w:t>还</w:t>
            </w:r>
            <w:r>
              <w:rPr>
                <w:rFonts w:hint="eastAsia" w:ascii="仿宋" w:hAnsi="仿宋" w:eastAsia="仿宋" w:cs="宋体"/>
                <w:snapToGrid/>
                <w:spacing w:val="-6"/>
                <w:sz w:val="20"/>
              </w:rPr>
              <w:t>的予以收缴，并处10万元以上15万元以下罚款。</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违法募集财产数额巨大，造成严重社会危害的。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pacing w:val="-6"/>
                <w:sz w:val="20"/>
              </w:rPr>
              <w:t>警告，责令停止，募集资金难以退</w:t>
            </w:r>
            <w:r>
              <w:rPr>
                <w:rFonts w:hint="eastAsia" w:ascii="仿宋" w:hAnsi="仿宋" w:eastAsia="仿宋" w:cs="宋体"/>
                <w:snapToGrid/>
                <w:spacing w:val="-6"/>
                <w:sz w:val="20"/>
                <w:lang w:eastAsia="zh-CN"/>
              </w:rPr>
              <w:t>还</w:t>
            </w:r>
            <w:r>
              <w:rPr>
                <w:rFonts w:hint="eastAsia" w:ascii="仿宋" w:hAnsi="仿宋" w:eastAsia="仿宋" w:cs="宋体"/>
                <w:snapToGrid/>
                <w:spacing w:val="-6"/>
                <w:sz w:val="20"/>
              </w:rPr>
              <w:t>的予以收缴，并处15万元以上20万元以下罚款。</w:t>
            </w:r>
          </w:p>
        </w:tc>
      </w:tr>
      <w:tr>
        <w:tblPrEx>
          <w:tblCellMar>
            <w:top w:w="0" w:type="dxa"/>
            <w:left w:w="108" w:type="dxa"/>
            <w:bottom w:w="0" w:type="dxa"/>
            <w:right w:w="108" w:type="dxa"/>
          </w:tblCellMar>
        </w:tblPrEx>
        <w:trPr>
          <w:trHeight w:val="1134"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47</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慈善组织向单位或者个人摊派或者变相摊派</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【法律】《中华人民共和国慈善法》</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第一百零一条　开展募捐活动有下列情形之一的，由民政部门予以警告、责令停止募捐活动；对违法募集的财产，责令退还捐赠人；难以退还的，由民政部门予以收缴，转给其他慈善组织用于慈善目的；对有关组织或者个人处二万元以上二十万元以下罚款：</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（三）向单位或者个人摊派或者变相摊派的；</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rPr>
              <w:t>【</w:t>
            </w:r>
            <w:r>
              <w:rPr>
                <w:rFonts w:hint="eastAsia" w:ascii="仿宋" w:hAnsi="仿宋" w:eastAsia="仿宋" w:cs="宋体"/>
                <w:snapToGrid/>
                <w:sz w:val="20"/>
                <w:lang w:val="en-US" w:eastAsia="zh-CN"/>
              </w:rPr>
              <w:t>地方性</w:t>
            </w:r>
            <w:r>
              <w:rPr>
                <w:rFonts w:hint="eastAsia" w:ascii="仿宋" w:hAnsi="仿宋" w:eastAsia="仿宋" w:cs="宋体"/>
                <w:snapToGrid/>
                <w:sz w:val="20"/>
              </w:rPr>
              <w:t>法</w:t>
            </w:r>
            <w:r>
              <w:rPr>
                <w:rFonts w:hint="eastAsia" w:ascii="仿宋" w:hAnsi="仿宋" w:eastAsia="仿宋" w:cs="宋体"/>
                <w:snapToGrid/>
                <w:sz w:val="20"/>
                <w:lang w:val="en-US" w:eastAsia="zh-CN"/>
              </w:rPr>
              <w:t>规</w:t>
            </w:r>
            <w:r>
              <w:rPr>
                <w:rFonts w:hint="eastAsia" w:ascii="仿宋" w:hAnsi="仿宋" w:eastAsia="仿宋" w:cs="宋体"/>
                <w:snapToGrid/>
                <w:sz w:val="20"/>
              </w:rPr>
              <w:t>】</w:t>
            </w:r>
            <w:r>
              <w:rPr>
                <w:rFonts w:hint="eastAsia" w:ascii="仿宋" w:hAnsi="仿宋" w:eastAsia="仿宋" w:cs="宋体"/>
                <w:snapToGrid/>
                <w:sz w:val="20"/>
                <w:lang w:eastAsia="zh-CN"/>
              </w:rPr>
              <w:t>《</w:t>
            </w:r>
            <w:r>
              <w:rPr>
                <w:rFonts w:hint="eastAsia" w:ascii="仿宋" w:hAnsi="仿宋" w:eastAsia="仿宋" w:cs="宋体"/>
                <w:snapToGrid/>
                <w:sz w:val="20"/>
                <w:lang w:val="en-US" w:eastAsia="zh-CN"/>
              </w:rPr>
              <w:t>湖南省募捐条例》</w:t>
            </w:r>
          </w:p>
          <w:p>
            <w:pPr>
              <w:keepNext w:val="0"/>
              <w:keepLines w:val="0"/>
              <w:pageBreakBefore w:val="0"/>
              <w:widowControl/>
              <w:kinsoku/>
              <w:wordWrap/>
              <w:overflowPunct/>
              <w:topLinePunct w:val="0"/>
              <w:autoSpaceDE/>
              <w:autoSpaceDN/>
              <w:bidi w:val="0"/>
              <w:adjustRightInd/>
              <w:snapToGrid/>
              <w:spacing w:line="260" w:lineRule="exact"/>
              <w:ind w:firstLine="400" w:firstLineChars="200"/>
              <w:textAlignment w:val="auto"/>
              <w:rPr>
                <w:rFonts w:hint="eastAsia" w:ascii="仿宋" w:hAnsi="仿宋" w:eastAsia="仿宋" w:cs="宋体"/>
                <w:snapToGrid/>
                <w:sz w:val="20"/>
              </w:rPr>
            </w:pPr>
            <w:r>
              <w:rPr>
                <w:rFonts w:hint="eastAsia" w:ascii="仿宋" w:hAnsi="仿宋" w:eastAsia="仿宋" w:cs="宋体"/>
                <w:snapToGrid/>
                <w:sz w:val="20"/>
              </w:rPr>
              <w:t>第三十八条</w:t>
            </w:r>
            <w:r>
              <w:rPr>
                <w:rFonts w:hint="eastAsia" w:ascii="仿宋" w:hAnsi="仿宋" w:eastAsia="仿宋" w:cs="宋体"/>
                <w:snapToGrid/>
                <w:sz w:val="20"/>
                <w:lang w:val="en-US" w:eastAsia="zh-CN"/>
              </w:rPr>
              <w:t xml:space="preserve"> </w:t>
            </w:r>
            <w:r>
              <w:rPr>
                <w:rFonts w:hint="default" w:ascii="仿宋" w:hAnsi="仿宋" w:eastAsia="仿宋" w:cs="宋体"/>
                <w:snapToGrid/>
                <w:sz w:val="20"/>
                <w:lang w:val="en-US" w:eastAsia="zh-CN"/>
              </w:rPr>
              <w:t>募捐人违反本条例规定，有下列情形之一的，由县级以上人民政府民政部门责令停止违法行为，给予警告，并责令限期返还募捐财产；不能返还的，由民政部门责令交由其他募捐人用于原募捐用途或者其他公益事业；情节严重的，依法撤销登记或者吊销许可证:</w:t>
            </w:r>
          </w:p>
          <w:p>
            <w:pPr>
              <w:keepNext w:val="0"/>
              <w:keepLines w:val="0"/>
              <w:pageBreakBefore w:val="0"/>
              <w:widowControl/>
              <w:kinsoku/>
              <w:wordWrap/>
              <w:overflowPunct/>
              <w:topLinePunct w:val="0"/>
              <w:autoSpaceDE/>
              <w:autoSpaceDN/>
              <w:bidi w:val="0"/>
              <w:adjustRightInd/>
              <w:snapToGrid/>
              <w:spacing w:line="260" w:lineRule="exact"/>
              <w:ind w:firstLine="400" w:firstLineChars="200"/>
              <w:textAlignment w:val="auto"/>
              <w:rPr>
                <w:rFonts w:ascii="仿宋" w:hAnsi="仿宋" w:eastAsia="仿宋" w:cs="宋体"/>
                <w:snapToGrid/>
                <w:sz w:val="20"/>
              </w:rPr>
            </w:pPr>
            <w:r>
              <w:rPr>
                <w:rFonts w:hint="default" w:ascii="仿宋" w:hAnsi="仿宋" w:eastAsia="仿宋" w:cs="宋体"/>
                <w:snapToGrid/>
                <w:sz w:val="20"/>
                <w:lang w:val="en-US" w:eastAsia="zh-CN"/>
              </w:rPr>
              <w:t>（二）摊派或者变相摊派的；</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违法募集财产数额较小，造成较小社会危害的。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pacing w:val="-6"/>
                <w:sz w:val="20"/>
              </w:rPr>
              <w:t>警告，责令停止，并处2万元以上10万元以下罚款。</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违法募集财产数额较大，造成较大社会危害的。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pacing w:val="-6"/>
                <w:sz w:val="20"/>
              </w:rPr>
              <w:t>警告，责令停止，募集资金难以退</w:t>
            </w:r>
            <w:r>
              <w:rPr>
                <w:rFonts w:hint="eastAsia" w:ascii="仿宋" w:hAnsi="仿宋" w:eastAsia="仿宋" w:cs="宋体"/>
                <w:snapToGrid/>
                <w:spacing w:val="-6"/>
                <w:sz w:val="20"/>
                <w:lang w:eastAsia="zh-CN"/>
              </w:rPr>
              <w:t>还</w:t>
            </w:r>
            <w:r>
              <w:rPr>
                <w:rFonts w:hint="eastAsia" w:ascii="仿宋" w:hAnsi="仿宋" w:eastAsia="仿宋" w:cs="宋体"/>
                <w:snapToGrid/>
                <w:spacing w:val="-6"/>
                <w:sz w:val="20"/>
              </w:rPr>
              <w:t>的予以收缴，并处10万元以上15万元以下罚款。</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违法募集财产数额巨大，造成严重社会危害的。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z w:val="20"/>
              </w:rPr>
              <w:t>警告，责令停止，募集资金难以退</w:t>
            </w:r>
            <w:r>
              <w:rPr>
                <w:rFonts w:hint="eastAsia" w:ascii="仿宋" w:hAnsi="仿宋" w:eastAsia="仿宋" w:cs="宋体"/>
                <w:snapToGrid/>
                <w:sz w:val="20"/>
                <w:lang w:eastAsia="zh-CN"/>
              </w:rPr>
              <w:t>还</w:t>
            </w:r>
            <w:r>
              <w:rPr>
                <w:rFonts w:hint="eastAsia" w:ascii="仿宋" w:hAnsi="仿宋" w:eastAsia="仿宋" w:cs="宋体"/>
                <w:snapToGrid/>
                <w:sz w:val="20"/>
              </w:rPr>
              <w:t>的予以收缴，并处15万元以上20万元以下罚款。</w:t>
            </w:r>
          </w:p>
        </w:tc>
      </w:tr>
      <w:tr>
        <w:tblPrEx>
          <w:tblCellMar>
            <w:top w:w="0" w:type="dxa"/>
            <w:left w:w="108" w:type="dxa"/>
            <w:bottom w:w="0" w:type="dxa"/>
            <w:right w:w="108" w:type="dxa"/>
          </w:tblCellMar>
        </w:tblPrEx>
        <w:trPr>
          <w:trHeight w:val="1134"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48</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慈善组织妨碍公共秩序、企业生产经营或者居民生活</w:t>
            </w:r>
          </w:p>
        </w:tc>
        <w:tc>
          <w:tcPr>
            <w:tcW w:w="3764"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【法律】《中华人民共和国慈善法》</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xml:space="preserve">    第一百零一条　开展募捐活动有下列情形之一的，由民政部门予以警告、责令停止募捐活动；对违法募集的财产，责令退还捐赠人；难以退还的，由民政部门予以收缴，转给其他慈善组织用于慈善目的；对有关组织或者个人处二万元以上二十万元以下罚款： </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　　（四）妨碍公共秩序、企业生产经营或者居民生活的。</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z w:val="20"/>
              </w:rPr>
              <w:t>违法募集财产数额较小，造成较小社会危害的。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pacing w:val="-6"/>
                <w:sz w:val="20"/>
              </w:rPr>
              <w:t>警告，责令停止，并处2万元以上10万元以下罚款。</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违法募集财产数额较大，造成较大社会危害的。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pacing w:val="-6"/>
                <w:sz w:val="20"/>
              </w:rPr>
              <w:t>警告，责令停止，募集资金难以退</w:t>
            </w:r>
            <w:r>
              <w:rPr>
                <w:rFonts w:hint="eastAsia" w:ascii="仿宋" w:hAnsi="仿宋" w:eastAsia="仿宋" w:cs="宋体"/>
                <w:snapToGrid/>
                <w:spacing w:val="-6"/>
                <w:sz w:val="20"/>
                <w:lang w:eastAsia="zh-CN"/>
              </w:rPr>
              <w:t>还</w:t>
            </w:r>
            <w:r>
              <w:rPr>
                <w:rFonts w:hint="eastAsia" w:ascii="仿宋" w:hAnsi="仿宋" w:eastAsia="仿宋" w:cs="宋体"/>
                <w:snapToGrid/>
                <w:spacing w:val="-6"/>
                <w:sz w:val="20"/>
              </w:rPr>
              <w:t>的予以收缴，并处10万元以上15万元以下罚款。</w:t>
            </w:r>
          </w:p>
        </w:tc>
      </w:tr>
      <w:tr>
        <w:tblPrEx>
          <w:tblCellMar>
            <w:top w:w="0" w:type="dxa"/>
            <w:left w:w="108" w:type="dxa"/>
            <w:bottom w:w="0" w:type="dxa"/>
            <w:right w:w="108" w:type="dxa"/>
          </w:tblCellMar>
        </w:tblPrEx>
        <w:trPr>
          <w:trHeight w:val="1134"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违法募集财产数额巨大，造成严重社会危害的。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ascii="仿宋" w:hAnsi="仿宋" w:eastAsia="仿宋" w:cs="宋体"/>
                <w:snapToGrid/>
                <w:sz w:val="20"/>
              </w:rPr>
            </w:pPr>
            <w:r>
              <w:rPr>
                <w:rFonts w:hint="eastAsia" w:ascii="仿宋" w:hAnsi="仿宋" w:eastAsia="仿宋" w:cs="宋体"/>
                <w:snapToGrid/>
                <w:spacing w:val="-6"/>
                <w:sz w:val="20"/>
              </w:rPr>
              <w:t>警告，责令停止，募集资金难以退</w:t>
            </w:r>
            <w:r>
              <w:rPr>
                <w:rFonts w:hint="eastAsia" w:ascii="仿宋" w:hAnsi="仿宋" w:eastAsia="仿宋" w:cs="宋体"/>
                <w:snapToGrid/>
                <w:spacing w:val="-6"/>
                <w:sz w:val="20"/>
                <w:lang w:eastAsia="zh-CN"/>
              </w:rPr>
              <w:t>还</w:t>
            </w:r>
            <w:r>
              <w:rPr>
                <w:rFonts w:hint="eastAsia" w:ascii="仿宋" w:hAnsi="仿宋" w:eastAsia="仿宋" w:cs="宋体"/>
                <w:snapToGrid/>
                <w:spacing w:val="-6"/>
                <w:sz w:val="20"/>
              </w:rPr>
              <w:t>的予以收缴，并处15万元以上20万元以下罚款。</w:t>
            </w:r>
          </w:p>
        </w:tc>
      </w:tr>
      <w:tr>
        <w:tblPrEx>
          <w:tblCellMar>
            <w:top w:w="0" w:type="dxa"/>
            <w:left w:w="108" w:type="dxa"/>
            <w:bottom w:w="0" w:type="dxa"/>
            <w:right w:w="108" w:type="dxa"/>
          </w:tblCellMar>
        </w:tblPrEx>
        <w:trPr>
          <w:trHeight w:val="785"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49</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慈善组织不依法向捐赠人开具捐赠票据、不依法向志愿者出具志愿服务记录证明或者不及时主动向捐赠人反馈有关情况</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【法律】《中华人民共和国慈善法》</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lang w:val="en-US" w:eastAsia="zh-CN"/>
              </w:rPr>
              <w:t xml:space="preserve">第一百零二条　慈善组织不依法向捐赠人开具捐赠票据、不依法向志愿者出具志愿服务记录证明或者不及时主动向捐赠人反馈有关情况的，由民政部门予以警告，责令限期改正；逾期不改正的，责令限期停止活动。 </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警告。</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责令限期停止活动。</w:t>
            </w:r>
          </w:p>
        </w:tc>
      </w:tr>
      <w:tr>
        <w:tblPrEx>
          <w:tblCellMar>
            <w:top w:w="0" w:type="dxa"/>
            <w:left w:w="108" w:type="dxa"/>
            <w:bottom w:w="0" w:type="dxa"/>
            <w:right w:w="108" w:type="dxa"/>
          </w:tblCellMar>
        </w:tblPrEx>
        <w:trPr>
          <w:trHeight w:val="397"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50</w:t>
            </w:r>
          </w:p>
        </w:tc>
        <w:tc>
          <w:tcPr>
            <w:tcW w:w="169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慈善组织弄虚作假骗取税收优惠情节严重</w:t>
            </w:r>
          </w:p>
        </w:tc>
        <w:tc>
          <w:tcPr>
            <w:tcW w:w="37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【法律】《中华人民共和国慈善法》</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lang w:val="en-US" w:eastAsia="zh-CN"/>
              </w:rPr>
              <w:t xml:space="preserve">第一百零三条　慈善组织弄虚作假骗取税收优惠的，由税务机关依法查处；情节严重的，由民政部门吊销登记证书并予以公告。 </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弄虚作假骗取税收优惠，情节严重的。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吊销登记证书。</w:t>
            </w:r>
          </w:p>
        </w:tc>
      </w:tr>
      <w:tr>
        <w:tblPrEx>
          <w:tblCellMar>
            <w:top w:w="0" w:type="dxa"/>
            <w:left w:w="108" w:type="dxa"/>
            <w:bottom w:w="0" w:type="dxa"/>
            <w:right w:w="108" w:type="dxa"/>
          </w:tblCellMar>
        </w:tblPrEx>
        <w:trPr>
          <w:trHeight w:val="1362"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51</w:t>
            </w:r>
          </w:p>
        </w:tc>
        <w:tc>
          <w:tcPr>
            <w:tcW w:w="169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慈善组织从事、资助危害国家安全或者社会公共利益活动</w:t>
            </w:r>
          </w:p>
        </w:tc>
        <w:tc>
          <w:tcPr>
            <w:tcW w:w="376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rPr>
              <w:t>【</w:t>
            </w:r>
            <w:r>
              <w:rPr>
                <w:rFonts w:hint="eastAsia" w:ascii="仿宋" w:hAnsi="仿宋" w:eastAsia="仿宋" w:cs="宋体"/>
                <w:snapToGrid/>
                <w:sz w:val="20"/>
                <w:lang w:val="en-US" w:eastAsia="zh-CN"/>
              </w:rPr>
              <w:t>法律】《中华人民共和国慈善法》</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lang w:val="en-US" w:eastAsia="zh-CN"/>
              </w:rPr>
              <w:t xml:space="preserve">第一百零四条　慈善组织从事、资助危害国家安全或者社会公共利益活动的，由有关机关依法查处，由民政部门吊销登记证书并予以公告。 </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从事、资助危害国家安全或者社会公共利益活动的。</w:t>
            </w:r>
          </w:p>
        </w:tc>
        <w:tc>
          <w:tcPr>
            <w:tcW w:w="1708"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吊销登记证书。</w:t>
            </w:r>
          </w:p>
        </w:tc>
      </w:tr>
      <w:tr>
        <w:tblPrEx>
          <w:tblCellMar>
            <w:top w:w="0" w:type="dxa"/>
            <w:left w:w="108" w:type="dxa"/>
            <w:bottom w:w="0" w:type="dxa"/>
            <w:right w:w="108" w:type="dxa"/>
          </w:tblCellMar>
        </w:tblPrEx>
        <w:trPr>
          <w:trHeight w:val="695"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52</w:t>
            </w:r>
          </w:p>
        </w:tc>
        <w:tc>
          <w:tcPr>
            <w:tcW w:w="169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慈善组织伪造、变造、出租、出借公开募捐资格证书</w:t>
            </w:r>
          </w:p>
        </w:tc>
        <w:tc>
          <w:tcPr>
            <w:tcW w:w="3764"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【规章】《慈善组织公开募捐管理办法》</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（民政部令第59号）</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第二十三条  慈善组织有下列情形之一的，民政部门可以给予警告、责令限期</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改正：</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（一）伪造、变造、出租、出借公开募捐资格证书的；</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（二）未依照本办法进行备案的；</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（三）未按照募捐方案确定的时间、期限、地域范围、方式进行募捐的；</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（四）开展公开募捐未在募捐活动现场或者募捐活动载体的显著位置公布募捐活动信息的；</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（五）开展公开募捐取得的捐赠财产未纳入慈善组织统一核算和账户管理的；</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（六）其他违反本办法情形的。</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【地方性法规】《湖南省募捐条例》</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default" w:ascii="仿宋" w:hAnsi="仿宋" w:eastAsia="仿宋" w:cs="宋体"/>
                <w:snapToGrid/>
                <w:sz w:val="20"/>
                <w:lang w:val="en-US" w:eastAsia="zh-CN"/>
              </w:rPr>
              <w:t>　</w:t>
            </w:r>
            <w:r>
              <w:rPr>
                <w:rFonts w:hint="eastAsia" w:ascii="仿宋" w:hAnsi="仿宋" w:eastAsia="仿宋" w:cs="宋体"/>
                <w:snapToGrid/>
                <w:sz w:val="20"/>
                <w:lang w:val="en-US" w:eastAsia="zh-CN"/>
              </w:rPr>
              <w:t xml:space="preserve"> 第三十八条 </w:t>
            </w:r>
            <w:r>
              <w:rPr>
                <w:rFonts w:hint="default" w:ascii="仿宋" w:hAnsi="仿宋" w:eastAsia="仿宋" w:cs="宋体"/>
                <w:snapToGrid/>
                <w:sz w:val="20"/>
                <w:lang w:val="en-US" w:eastAsia="zh-CN"/>
              </w:rPr>
              <w:t>募捐人违反本条例规定，有下列情形之一的，由县级以上人民政府民政部门责令停止违法行为，给予警告，并责令限期返还募捐财产；不能返还的，由民政部门责令交由其他募捐人用于原募捐用途或者其他公益事业；情节严重的，依法撤销登记或者吊销许可证:</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default" w:ascii="仿宋" w:hAnsi="仿宋" w:eastAsia="仿宋" w:cs="宋体"/>
                <w:snapToGrid/>
                <w:sz w:val="20"/>
                <w:lang w:val="en-US" w:eastAsia="zh-CN"/>
              </w:rPr>
              <w:t>（三）不按照规定履行信息公开义务或者公布虚假信息的；</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default" w:ascii="仿宋" w:hAnsi="仿宋" w:eastAsia="仿宋" w:cs="宋体"/>
                <w:snapToGrid/>
                <w:sz w:val="20"/>
                <w:lang w:val="en-US" w:eastAsia="zh-CN"/>
              </w:rPr>
            </w:pPr>
            <w:r>
              <w:rPr>
                <w:rFonts w:hint="default" w:ascii="仿宋" w:hAnsi="仿宋" w:eastAsia="仿宋" w:cs="宋体"/>
                <w:snapToGrid/>
                <w:sz w:val="20"/>
                <w:lang w:val="en-US" w:eastAsia="zh-CN"/>
              </w:rPr>
              <w:t>（四）不按照规定公布募捐方案的；</w:t>
            </w:r>
          </w:p>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lang w:val="en-US" w:eastAsia="zh-CN"/>
              </w:rPr>
            </w:pPr>
            <w:r>
              <w:rPr>
                <w:rFonts w:hint="default" w:ascii="仿宋" w:hAnsi="仿宋" w:eastAsia="仿宋" w:cs="宋体"/>
                <w:snapToGrid/>
                <w:sz w:val="20"/>
                <w:lang w:val="en-US" w:eastAsia="zh-CN"/>
              </w:rPr>
              <w:t>（五）不按照募捐方案规定时间、地域、方式进行募捐的；</w:t>
            </w:r>
          </w:p>
        </w:tc>
        <w:tc>
          <w:tcPr>
            <w:tcW w:w="1904"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有</w:t>
            </w:r>
            <w:r>
              <w:rPr>
                <w:rFonts w:ascii="仿宋" w:hAnsi="仿宋" w:eastAsia="仿宋" w:cs="宋体"/>
                <w:snapToGrid/>
                <w:sz w:val="20"/>
              </w:rPr>
              <w:t>情形之一的。</w:t>
            </w:r>
          </w:p>
        </w:tc>
        <w:tc>
          <w:tcPr>
            <w:tcW w:w="1708" w:type="dxa"/>
            <w:vMerge w:val="restart"/>
            <w:tcBorders>
              <w:top w:val="nil"/>
              <w:left w:val="nil"/>
              <w:right w:val="single" w:color="auto" w:sz="4" w:space="0"/>
            </w:tcBorders>
            <w:noWrap w:val="0"/>
            <w:vAlign w:val="center"/>
          </w:tcPr>
          <w:p>
            <w:pPr>
              <w:widowControl/>
              <w:shd w:val="clear" w:color="auto" w:fill="FFFFFF"/>
              <w:autoSpaceDE/>
              <w:autoSpaceDN/>
              <w:snapToGrid/>
              <w:spacing w:line="280" w:lineRule="exact"/>
              <w:ind w:left="390" w:hanging="400" w:hangingChars="200"/>
              <w:jc w:val="left"/>
              <w:rPr>
                <w:rFonts w:ascii="仿宋" w:hAnsi="仿宋" w:eastAsia="仿宋" w:cs="宋体"/>
                <w:snapToGrid/>
                <w:sz w:val="20"/>
              </w:rPr>
            </w:pPr>
            <w:r>
              <w:rPr>
                <w:rFonts w:ascii="仿宋" w:hAnsi="仿宋" w:eastAsia="仿宋" w:cs="宋体"/>
                <w:snapToGrid/>
                <w:sz w:val="20"/>
              </w:rPr>
              <w:t>警告、责令限期</w:t>
            </w:r>
          </w:p>
          <w:p>
            <w:pPr>
              <w:widowControl/>
              <w:autoSpaceDE/>
              <w:autoSpaceDN/>
              <w:snapToGrid/>
              <w:spacing w:line="280" w:lineRule="exact"/>
              <w:ind w:firstLine="0"/>
              <w:rPr>
                <w:rFonts w:hint="eastAsia" w:ascii="仿宋" w:hAnsi="仿宋" w:eastAsia="仿宋" w:cs="宋体"/>
                <w:snapToGrid/>
                <w:sz w:val="20"/>
              </w:rPr>
            </w:pPr>
            <w:r>
              <w:rPr>
                <w:rFonts w:ascii="仿宋" w:hAnsi="仿宋" w:eastAsia="仿宋" w:cs="宋体"/>
                <w:snapToGrid/>
                <w:sz w:val="20"/>
              </w:rPr>
              <w:t>改正</w:t>
            </w:r>
            <w:r>
              <w:rPr>
                <w:rFonts w:hint="eastAsia" w:ascii="仿宋" w:hAnsi="仿宋" w:eastAsia="仿宋" w:cs="宋体"/>
                <w:snapToGrid/>
                <w:sz w:val="20"/>
              </w:rPr>
              <w:t>。</w:t>
            </w:r>
          </w:p>
        </w:tc>
      </w:tr>
      <w:tr>
        <w:tblPrEx>
          <w:tblCellMar>
            <w:top w:w="0" w:type="dxa"/>
            <w:left w:w="108" w:type="dxa"/>
            <w:bottom w:w="0" w:type="dxa"/>
            <w:right w:w="108" w:type="dxa"/>
          </w:tblCellMar>
        </w:tblPrEx>
        <w:trPr>
          <w:trHeight w:val="692" w:hRule="atLeast"/>
          <w:jc w:val="center"/>
        </w:trPr>
        <w:tc>
          <w:tcPr>
            <w:tcW w:w="572" w:type="dxa"/>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53</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慈善组织未依照本办法进行备案</w:t>
            </w:r>
          </w:p>
        </w:tc>
        <w:tc>
          <w:tcPr>
            <w:tcW w:w="3764" w:type="dxa"/>
            <w:vMerge w:val="continue"/>
            <w:tcBorders>
              <w:left w:val="nil"/>
              <w:right w:val="single" w:color="auto" w:sz="4" w:space="0"/>
            </w:tcBorders>
            <w:noWrap w:val="0"/>
            <w:vAlign w:val="center"/>
          </w:tcPr>
          <w:p>
            <w:pPr>
              <w:widowControl/>
              <w:shd w:val="clear" w:color="auto" w:fill="FFFFFF"/>
              <w:autoSpaceDE/>
              <w:autoSpaceDN/>
              <w:snapToGrid/>
              <w:spacing w:line="260" w:lineRule="exact"/>
              <w:ind w:left="390" w:hanging="400" w:hangingChars="200"/>
              <w:jc w:val="left"/>
              <w:rPr>
                <w:rFonts w:hint="eastAsia" w:ascii="仿宋" w:hAnsi="仿宋" w:eastAsia="仿宋" w:cs="宋体"/>
                <w:snapToGrid/>
                <w:sz w:val="20"/>
              </w:rPr>
            </w:pPr>
          </w:p>
        </w:tc>
        <w:tc>
          <w:tcPr>
            <w:tcW w:w="1904" w:type="dxa"/>
            <w:vMerge w:val="continue"/>
            <w:tcBorders>
              <w:left w:val="nil"/>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708" w:type="dxa"/>
            <w:vMerge w:val="continue"/>
            <w:tcBorders>
              <w:left w:val="nil"/>
              <w:right w:val="single" w:color="auto" w:sz="4" w:space="0"/>
            </w:tcBorders>
            <w:noWrap w:val="0"/>
            <w:vAlign w:val="center"/>
          </w:tcPr>
          <w:p>
            <w:pPr>
              <w:widowControl/>
              <w:shd w:val="clear" w:color="auto" w:fill="FFFFFF"/>
              <w:autoSpaceDE/>
              <w:autoSpaceDN/>
              <w:snapToGrid/>
              <w:spacing w:line="280" w:lineRule="exact"/>
              <w:ind w:left="390" w:hanging="400" w:hangingChars="200"/>
              <w:jc w:val="left"/>
              <w:rPr>
                <w:rFonts w:ascii="仿宋" w:hAnsi="仿宋" w:eastAsia="仿宋" w:cs="宋体"/>
                <w:snapToGrid/>
                <w:sz w:val="20"/>
              </w:rPr>
            </w:pPr>
          </w:p>
        </w:tc>
      </w:tr>
      <w:tr>
        <w:tblPrEx>
          <w:tblCellMar>
            <w:top w:w="0" w:type="dxa"/>
            <w:left w:w="108" w:type="dxa"/>
            <w:bottom w:w="0" w:type="dxa"/>
            <w:right w:w="108" w:type="dxa"/>
          </w:tblCellMar>
        </w:tblPrEx>
        <w:trPr>
          <w:trHeight w:val="692" w:hRule="atLeast"/>
          <w:jc w:val="center"/>
        </w:trPr>
        <w:tc>
          <w:tcPr>
            <w:tcW w:w="572" w:type="dxa"/>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54</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慈善组织未按照募捐方案确定的时间、期限、地域范围、方式进行募捐</w:t>
            </w:r>
          </w:p>
        </w:tc>
        <w:tc>
          <w:tcPr>
            <w:tcW w:w="3764" w:type="dxa"/>
            <w:vMerge w:val="continue"/>
            <w:tcBorders>
              <w:left w:val="nil"/>
              <w:right w:val="single" w:color="auto" w:sz="4" w:space="0"/>
            </w:tcBorders>
            <w:noWrap w:val="0"/>
            <w:vAlign w:val="center"/>
          </w:tcPr>
          <w:p>
            <w:pPr>
              <w:widowControl/>
              <w:shd w:val="clear" w:color="auto" w:fill="FFFFFF"/>
              <w:autoSpaceDE/>
              <w:autoSpaceDN/>
              <w:snapToGrid/>
              <w:spacing w:line="260" w:lineRule="exact"/>
              <w:ind w:left="390" w:hanging="400" w:hangingChars="200"/>
              <w:jc w:val="left"/>
              <w:rPr>
                <w:rFonts w:hint="eastAsia" w:ascii="仿宋" w:hAnsi="仿宋" w:eastAsia="仿宋" w:cs="宋体"/>
                <w:snapToGrid/>
                <w:sz w:val="20"/>
              </w:rPr>
            </w:pPr>
          </w:p>
        </w:tc>
        <w:tc>
          <w:tcPr>
            <w:tcW w:w="1904" w:type="dxa"/>
            <w:vMerge w:val="continue"/>
            <w:tcBorders>
              <w:left w:val="nil"/>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708" w:type="dxa"/>
            <w:vMerge w:val="continue"/>
            <w:tcBorders>
              <w:left w:val="nil"/>
              <w:right w:val="single" w:color="auto" w:sz="4" w:space="0"/>
            </w:tcBorders>
            <w:noWrap w:val="0"/>
            <w:vAlign w:val="center"/>
          </w:tcPr>
          <w:p>
            <w:pPr>
              <w:widowControl/>
              <w:shd w:val="clear" w:color="auto" w:fill="FFFFFF"/>
              <w:autoSpaceDE/>
              <w:autoSpaceDN/>
              <w:snapToGrid/>
              <w:spacing w:line="280" w:lineRule="exact"/>
              <w:ind w:left="390" w:hanging="400" w:hangingChars="200"/>
              <w:jc w:val="left"/>
              <w:rPr>
                <w:rFonts w:ascii="仿宋" w:hAnsi="仿宋" w:eastAsia="仿宋" w:cs="宋体"/>
                <w:snapToGrid/>
                <w:sz w:val="20"/>
              </w:rPr>
            </w:pPr>
          </w:p>
        </w:tc>
      </w:tr>
      <w:tr>
        <w:tblPrEx>
          <w:tblCellMar>
            <w:top w:w="0" w:type="dxa"/>
            <w:left w:w="108" w:type="dxa"/>
            <w:bottom w:w="0" w:type="dxa"/>
            <w:right w:w="108" w:type="dxa"/>
          </w:tblCellMar>
        </w:tblPrEx>
        <w:trPr>
          <w:trHeight w:val="692" w:hRule="atLeast"/>
          <w:jc w:val="center"/>
        </w:trPr>
        <w:tc>
          <w:tcPr>
            <w:tcW w:w="572" w:type="dxa"/>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55</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慈善组织开展公开募捐未在募捐活动现场或者募捐活动载体的显著位置公布募捐活动信息的</w:t>
            </w:r>
          </w:p>
        </w:tc>
        <w:tc>
          <w:tcPr>
            <w:tcW w:w="3764" w:type="dxa"/>
            <w:vMerge w:val="continue"/>
            <w:tcBorders>
              <w:left w:val="nil"/>
              <w:right w:val="single" w:color="auto" w:sz="4" w:space="0"/>
            </w:tcBorders>
            <w:noWrap w:val="0"/>
            <w:vAlign w:val="center"/>
          </w:tcPr>
          <w:p>
            <w:pPr>
              <w:widowControl/>
              <w:shd w:val="clear" w:color="auto" w:fill="FFFFFF"/>
              <w:autoSpaceDE/>
              <w:autoSpaceDN/>
              <w:snapToGrid/>
              <w:spacing w:line="260" w:lineRule="exact"/>
              <w:ind w:left="390" w:hanging="400" w:hangingChars="200"/>
              <w:jc w:val="left"/>
              <w:rPr>
                <w:rFonts w:hint="eastAsia" w:ascii="仿宋" w:hAnsi="仿宋" w:eastAsia="仿宋" w:cs="宋体"/>
                <w:snapToGrid/>
                <w:sz w:val="20"/>
              </w:rPr>
            </w:pPr>
          </w:p>
        </w:tc>
        <w:tc>
          <w:tcPr>
            <w:tcW w:w="1904" w:type="dxa"/>
            <w:vMerge w:val="continue"/>
            <w:tcBorders>
              <w:left w:val="nil"/>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708" w:type="dxa"/>
            <w:vMerge w:val="continue"/>
            <w:tcBorders>
              <w:left w:val="nil"/>
              <w:right w:val="single" w:color="auto" w:sz="4" w:space="0"/>
            </w:tcBorders>
            <w:noWrap w:val="0"/>
            <w:vAlign w:val="center"/>
          </w:tcPr>
          <w:p>
            <w:pPr>
              <w:widowControl/>
              <w:shd w:val="clear" w:color="auto" w:fill="FFFFFF"/>
              <w:autoSpaceDE/>
              <w:autoSpaceDN/>
              <w:snapToGrid/>
              <w:spacing w:line="280" w:lineRule="exact"/>
              <w:ind w:left="390" w:hanging="400" w:hangingChars="200"/>
              <w:jc w:val="left"/>
              <w:rPr>
                <w:rFonts w:ascii="仿宋" w:hAnsi="仿宋" w:eastAsia="仿宋" w:cs="宋体"/>
                <w:snapToGrid/>
                <w:sz w:val="20"/>
              </w:rPr>
            </w:pPr>
          </w:p>
        </w:tc>
      </w:tr>
      <w:tr>
        <w:tblPrEx>
          <w:tblCellMar>
            <w:top w:w="0" w:type="dxa"/>
            <w:left w:w="108" w:type="dxa"/>
            <w:bottom w:w="0" w:type="dxa"/>
            <w:right w:w="108" w:type="dxa"/>
          </w:tblCellMar>
        </w:tblPrEx>
        <w:trPr>
          <w:trHeight w:val="692" w:hRule="atLeast"/>
          <w:jc w:val="center"/>
        </w:trPr>
        <w:tc>
          <w:tcPr>
            <w:tcW w:w="572" w:type="dxa"/>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56</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慈善组织开展公开募捐取得的捐赠财产未纳入慈善组织统一核算和账户管理</w:t>
            </w:r>
          </w:p>
        </w:tc>
        <w:tc>
          <w:tcPr>
            <w:tcW w:w="3764" w:type="dxa"/>
            <w:vMerge w:val="continue"/>
            <w:tcBorders>
              <w:left w:val="nil"/>
              <w:right w:val="single" w:color="auto" w:sz="4" w:space="0"/>
            </w:tcBorders>
            <w:noWrap w:val="0"/>
            <w:vAlign w:val="center"/>
          </w:tcPr>
          <w:p>
            <w:pPr>
              <w:widowControl/>
              <w:shd w:val="clear" w:color="auto" w:fill="FFFFFF"/>
              <w:autoSpaceDE/>
              <w:autoSpaceDN/>
              <w:snapToGrid/>
              <w:spacing w:line="260" w:lineRule="exact"/>
              <w:ind w:left="390" w:hanging="400" w:hangingChars="200"/>
              <w:jc w:val="left"/>
              <w:rPr>
                <w:rFonts w:hint="eastAsia" w:ascii="仿宋" w:hAnsi="仿宋" w:eastAsia="仿宋" w:cs="宋体"/>
                <w:snapToGrid/>
                <w:sz w:val="20"/>
              </w:rPr>
            </w:pPr>
          </w:p>
        </w:tc>
        <w:tc>
          <w:tcPr>
            <w:tcW w:w="1904" w:type="dxa"/>
            <w:vMerge w:val="continue"/>
            <w:tcBorders>
              <w:left w:val="nil"/>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708" w:type="dxa"/>
            <w:vMerge w:val="continue"/>
            <w:tcBorders>
              <w:left w:val="nil"/>
              <w:right w:val="single" w:color="auto" w:sz="4" w:space="0"/>
            </w:tcBorders>
            <w:noWrap w:val="0"/>
            <w:vAlign w:val="center"/>
          </w:tcPr>
          <w:p>
            <w:pPr>
              <w:widowControl/>
              <w:shd w:val="clear" w:color="auto" w:fill="FFFFFF"/>
              <w:autoSpaceDE/>
              <w:autoSpaceDN/>
              <w:snapToGrid/>
              <w:spacing w:line="280" w:lineRule="exact"/>
              <w:ind w:left="390" w:hanging="400" w:hangingChars="200"/>
              <w:jc w:val="left"/>
              <w:rPr>
                <w:rFonts w:ascii="仿宋" w:hAnsi="仿宋" w:eastAsia="仿宋" w:cs="宋体"/>
                <w:snapToGrid/>
                <w:sz w:val="20"/>
              </w:rPr>
            </w:pPr>
          </w:p>
        </w:tc>
      </w:tr>
      <w:tr>
        <w:tblPrEx>
          <w:tblCellMar>
            <w:top w:w="0" w:type="dxa"/>
            <w:left w:w="108" w:type="dxa"/>
            <w:bottom w:w="0" w:type="dxa"/>
            <w:right w:w="108" w:type="dxa"/>
          </w:tblCellMar>
        </w:tblPrEx>
        <w:trPr>
          <w:trHeight w:val="373" w:hRule="atLeast"/>
          <w:jc w:val="center"/>
        </w:trPr>
        <w:tc>
          <w:tcPr>
            <w:tcW w:w="572" w:type="dxa"/>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57</w:t>
            </w:r>
          </w:p>
        </w:tc>
        <w:tc>
          <w:tcPr>
            <w:tcW w:w="1691"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lang w:val="en-US" w:eastAsia="zh-CN"/>
              </w:rPr>
            </w:pPr>
            <w:r>
              <w:rPr>
                <w:rFonts w:hint="eastAsia" w:ascii="仿宋" w:hAnsi="仿宋" w:eastAsia="仿宋" w:cs="宋体"/>
                <w:snapToGrid/>
                <w:sz w:val="20"/>
                <w:lang w:val="en-US" w:eastAsia="zh-CN"/>
              </w:rPr>
              <w:t>慈善组织其他违反《慈善组织公开募捐管理办法》的情形</w:t>
            </w:r>
          </w:p>
        </w:tc>
        <w:tc>
          <w:tcPr>
            <w:tcW w:w="3764" w:type="dxa"/>
            <w:vMerge w:val="continue"/>
            <w:tcBorders>
              <w:left w:val="nil"/>
              <w:bottom w:val="single" w:color="auto" w:sz="4" w:space="0"/>
              <w:right w:val="single" w:color="auto" w:sz="4" w:space="0"/>
            </w:tcBorders>
            <w:noWrap w:val="0"/>
            <w:vAlign w:val="center"/>
          </w:tcPr>
          <w:p>
            <w:pPr>
              <w:widowControl/>
              <w:shd w:val="clear" w:color="auto" w:fill="FFFFFF"/>
              <w:autoSpaceDE/>
              <w:autoSpaceDN/>
              <w:snapToGrid/>
              <w:spacing w:line="260" w:lineRule="exact"/>
              <w:ind w:left="390" w:hanging="400" w:hangingChars="200"/>
              <w:jc w:val="left"/>
              <w:rPr>
                <w:rFonts w:hint="eastAsia" w:ascii="仿宋" w:hAnsi="仿宋" w:eastAsia="仿宋" w:cs="宋体"/>
                <w:snapToGrid/>
                <w:sz w:val="20"/>
              </w:rPr>
            </w:pPr>
          </w:p>
        </w:tc>
        <w:tc>
          <w:tcPr>
            <w:tcW w:w="1904" w:type="dxa"/>
            <w:vMerge w:val="continue"/>
            <w:tcBorders>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708" w:type="dxa"/>
            <w:vMerge w:val="continue"/>
            <w:tcBorders>
              <w:left w:val="nil"/>
              <w:bottom w:val="single" w:color="auto" w:sz="4" w:space="0"/>
              <w:right w:val="single" w:color="auto" w:sz="4" w:space="0"/>
            </w:tcBorders>
            <w:noWrap w:val="0"/>
            <w:vAlign w:val="center"/>
          </w:tcPr>
          <w:p>
            <w:pPr>
              <w:widowControl/>
              <w:shd w:val="clear" w:color="auto" w:fill="FFFFFF"/>
              <w:autoSpaceDE/>
              <w:autoSpaceDN/>
              <w:snapToGrid/>
              <w:spacing w:line="280" w:lineRule="exact"/>
              <w:ind w:left="390" w:hanging="400" w:hangingChars="200"/>
              <w:jc w:val="left"/>
              <w:rPr>
                <w:rFonts w:ascii="仿宋" w:hAnsi="仿宋" w:eastAsia="仿宋" w:cs="宋体"/>
                <w:snapToGrid/>
                <w:sz w:val="20"/>
              </w:rPr>
            </w:pPr>
          </w:p>
        </w:tc>
      </w:tr>
      <w:tr>
        <w:tblPrEx>
          <w:tblCellMar>
            <w:top w:w="0" w:type="dxa"/>
            <w:left w:w="108" w:type="dxa"/>
            <w:bottom w:w="0" w:type="dxa"/>
            <w:right w:w="108" w:type="dxa"/>
          </w:tblCellMar>
        </w:tblPrEx>
        <w:trPr>
          <w:trHeight w:val="1118"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58</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将慈善信托财产及其收益用于非慈善目的</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【法律】《中华人民共和国慈善法》</w:t>
            </w:r>
          </w:p>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 xml:space="preserve">    第一百零五条  慈善信托的受托人有下列情形之一的，由民政部门予以警告，责令限期改正；有违法所得的，由民政部门予以没收；对直接负责的主管人员和其他直接责任人员处二万元以上二十万元以下罚款：</w:t>
            </w:r>
          </w:p>
          <w:p>
            <w:pPr>
              <w:widowControl/>
              <w:autoSpaceDE/>
              <w:autoSpaceDN/>
              <w:snapToGrid/>
              <w:spacing w:line="280" w:lineRule="exact"/>
              <w:ind w:firstLine="0"/>
              <w:rPr>
                <w:rFonts w:hint="eastAsia" w:ascii="仿宋" w:hAnsi="仿宋" w:eastAsia="仿宋" w:cs="宋体"/>
                <w:snapToGrid/>
                <w:sz w:val="20"/>
                <w:lang w:eastAsia="zh-CN"/>
              </w:rPr>
            </w:pPr>
            <w:r>
              <w:rPr>
                <w:rFonts w:hint="eastAsia" w:ascii="仿宋" w:hAnsi="仿宋" w:eastAsia="仿宋" w:cs="宋体"/>
                <w:snapToGrid/>
                <w:sz w:val="20"/>
              </w:rPr>
              <w:t xml:space="preserve">    （一）将信托财产及其收益用于非慈善目的的</w:t>
            </w:r>
            <w:r>
              <w:rPr>
                <w:rFonts w:hint="eastAsia" w:ascii="仿宋" w:hAnsi="仿宋" w:eastAsia="仿宋" w:cs="宋体"/>
                <w:snapToGrid/>
                <w:sz w:val="20"/>
                <w:lang w:eastAsia="zh-CN"/>
              </w:rPr>
              <w:t>；</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补救及时，造成较小社会危害的。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0" w:lineRule="exact"/>
              <w:ind w:firstLine="0"/>
              <w:textAlignment w:val="auto"/>
              <w:rPr>
                <w:rFonts w:ascii="仿宋" w:hAnsi="仿宋" w:eastAsia="仿宋" w:cs="宋体"/>
                <w:snapToGrid/>
                <w:spacing w:val="-10"/>
                <w:sz w:val="20"/>
              </w:rPr>
            </w:pPr>
            <w:r>
              <w:rPr>
                <w:rFonts w:hint="eastAsia" w:ascii="仿宋" w:hAnsi="仿宋" w:eastAsia="仿宋" w:cs="宋体"/>
                <w:snapToGrid/>
                <w:spacing w:val="-10"/>
                <w:sz w:val="20"/>
              </w:rPr>
              <w:t>警告，没收违法所得，并对责任人员处2万元以上10万元以下罚款。</w:t>
            </w:r>
          </w:p>
        </w:tc>
      </w:tr>
      <w:tr>
        <w:tblPrEx>
          <w:tblCellMar>
            <w:top w:w="0" w:type="dxa"/>
            <w:left w:w="108" w:type="dxa"/>
            <w:bottom w:w="0" w:type="dxa"/>
            <w:right w:w="108" w:type="dxa"/>
          </w:tblCellMar>
        </w:tblPrEx>
        <w:trPr>
          <w:trHeight w:val="1263"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0" w:lineRule="exact"/>
              <w:ind w:firstLine="0"/>
              <w:textAlignment w:val="auto"/>
              <w:rPr>
                <w:rFonts w:ascii="仿宋" w:hAnsi="仿宋" w:eastAsia="仿宋" w:cs="宋体"/>
                <w:snapToGrid/>
                <w:sz w:val="20"/>
              </w:rPr>
            </w:pPr>
            <w:r>
              <w:rPr>
                <w:rFonts w:hint="eastAsia" w:ascii="仿宋" w:hAnsi="仿宋" w:eastAsia="仿宋" w:cs="宋体"/>
                <w:snapToGrid/>
                <w:sz w:val="20"/>
              </w:rPr>
              <w:t>没收违法所得，并对责任人员处10万元以上15万元以下罚款。</w:t>
            </w:r>
          </w:p>
        </w:tc>
      </w:tr>
      <w:tr>
        <w:tblPrEx>
          <w:tblCellMar>
            <w:top w:w="0" w:type="dxa"/>
            <w:left w:w="108" w:type="dxa"/>
            <w:bottom w:w="0" w:type="dxa"/>
            <w:right w:w="108" w:type="dxa"/>
          </w:tblCellMar>
        </w:tblPrEx>
        <w:trPr>
          <w:trHeight w:val="26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0" w:lineRule="exact"/>
              <w:ind w:firstLine="0"/>
              <w:textAlignment w:val="auto"/>
              <w:rPr>
                <w:rFonts w:ascii="仿宋" w:hAnsi="仿宋" w:eastAsia="仿宋" w:cs="宋体"/>
                <w:snapToGrid/>
                <w:sz w:val="20"/>
              </w:rPr>
            </w:pPr>
            <w:r>
              <w:rPr>
                <w:rFonts w:hint="eastAsia" w:ascii="仿宋" w:hAnsi="仿宋" w:eastAsia="仿宋" w:cs="宋体"/>
                <w:snapToGrid/>
                <w:sz w:val="20"/>
              </w:rPr>
              <w:t>没收违法所得，并对责任人员处15万元以上20万元以下罚款。</w:t>
            </w:r>
          </w:p>
        </w:tc>
      </w:tr>
      <w:tr>
        <w:tblPrEx>
          <w:tblCellMar>
            <w:top w:w="0" w:type="dxa"/>
            <w:left w:w="108" w:type="dxa"/>
            <w:bottom w:w="0" w:type="dxa"/>
            <w:right w:w="108" w:type="dxa"/>
          </w:tblCellMar>
        </w:tblPrEx>
        <w:trPr>
          <w:trHeight w:val="397"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59</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未按照规定将慈善信托事务处理情况及财务状况向民政部门报告或者向社会公开</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【法律】《中华人民共和国慈善法》</w:t>
            </w:r>
          </w:p>
          <w:p>
            <w:pPr>
              <w:widowControl/>
              <w:autoSpaceDE/>
              <w:autoSpaceDN/>
              <w:snapToGrid/>
              <w:spacing w:line="280" w:lineRule="exact"/>
              <w:ind w:firstLine="400" w:firstLineChars="200"/>
              <w:rPr>
                <w:rFonts w:hint="eastAsia" w:ascii="仿宋" w:hAnsi="仿宋" w:eastAsia="仿宋" w:cs="宋体"/>
                <w:snapToGrid/>
                <w:sz w:val="20"/>
              </w:rPr>
            </w:pPr>
            <w:r>
              <w:rPr>
                <w:rFonts w:hint="eastAsia" w:ascii="仿宋" w:hAnsi="仿宋" w:eastAsia="仿宋" w:cs="宋体"/>
                <w:snapToGrid/>
                <w:sz w:val="20"/>
              </w:rPr>
              <w:t>第一百零五条  慈善信托的受托人有下列情形之一的，由民政部门予以警告，责令限期改正；有违法所得的，由民政部门予以没收；对直接负责的主管人员和其他直接责任人员处二万元以上二十万元以下罚款：</w:t>
            </w:r>
          </w:p>
          <w:p>
            <w:pPr>
              <w:widowControl/>
              <w:autoSpaceDE/>
              <w:autoSpaceDN/>
              <w:snapToGrid/>
              <w:spacing w:line="280" w:lineRule="exact"/>
              <w:ind w:firstLine="400" w:firstLineChars="200"/>
              <w:rPr>
                <w:rFonts w:hint="eastAsia" w:ascii="仿宋" w:hAnsi="仿宋" w:eastAsia="仿宋" w:cs="宋体"/>
                <w:snapToGrid/>
                <w:sz w:val="20"/>
                <w:lang w:eastAsia="zh-CN"/>
              </w:rPr>
            </w:pPr>
            <w:r>
              <w:rPr>
                <w:rFonts w:hint="eastAsia" w:ascii="仿宋" w:hAnsi="仿宋" w:eastAsia="仿宋" w:cs="宋体"/>
                <w:snapToGrid/>
                <w:sz w:val="20"/>
              </w:rPr>
              <w:t>（二）未按照规定将信托事务处理情况及财务状况向民政部门报告或者向社会公开的</w:t>
            </w:r>
            <w:r>
              <w:rPr>
                <w:rFonts w:hint="eastAsia" w:ascii="仿宋" w:hAnsi="仿宋" w:eastAsia="仿宋" w:cs="宋体"/>
                <w:snapToGrid/>
                <w:sz w:val="20"/>
                <w:lang w:eastAsia="zh-CN"/>
              </w:rPr>
              <w:t>；</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补救及时，造成较小社会危害的。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0" w:lineRule="exact"/>
              <w:ind w:firstLine="0"/>
              <w:textAlignment w:val="auto"/>
              <w:rPr>
                <w:rFonts w:ascii="仿宋" w:hAnsi="仿宋" w:eastAsia="仿宋" w:cs="宋体"/>
                <w:snapToGrid/>
                <w:sz w:val="20"/>
              </w:rPr>
            </w:pPr>
            <w:r>
              <w:rPr>
                <w:rFonts w:hint="eastAsia" w:ascii="仿宋" w:hAnsi="仿宋" w:eastAsia="仿宋" w:cs="宋体"/>
                <w:snapToGrid/>
                <w:sz w:val="20"/>
              </w:rPr>
              <w:t>警告，没收违法所得，并对责任人员处2万元以上10万元以下罚款。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造成较大社会危害的。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0" w:lineRule="exact"/>
              <w:ind w:firstLine="0"/>
              <w:textAlignment w:val="auto"/>
              <w:rPr>
                <w:rFonts w:ascii="仿宋" w:hAnsi="仿宋" w:eastAsia="仿宋" w:cs="宋体"/>
                <w:snapToGrid/>
                <w:sz w:val="20"/>
              </w:rPr>
            </w:pPr>
            <w:r>
              <w:rPr>
                <w:rFonts w:hint="eastAsia" w:ascii="仿宋" w:hAnsi="仿宋" w:eastAsia="仿宋" w:cs="宋体"/>
                <w:snapToGrid/>
                <w:sz w:val="20"/>
              </w:rPr>
              <w:t>没收违法所得，并对责任人员处10万元以上15万元以下罚款。</w:t>
            </w:r>
          </w:p>
        </w:tc>
      </w:tr>
      <w:tr>
        <w:tblPrEx>
          <w:tblCellMar>
            <w:top w:w="0" w:type="dxa"/>
            <w:left w:w="108" w:type="dxa"/>
            <w:bottom w:w="0" w:type="dxa"/>
            <w:right w:w="108" w:type="dxa"/>
          </w:tblCellMar>
        </w:tblPrEx>
        <w:trPr>
          <w:trHeight w:val="397"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造成严重社会危害的。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0" w:lineRule="exact"/>
              <w:ind w:firstLine="0"/>
              <w:textAlignment w:val="auto"/>
              <w:rPr>
                <w:rFonts w:ascii="仿宋" w:hAnsi="仿宋" w:eastAsia="仿宋" w:cs="宋体"/>
                <w:snapToGrid/>
                <w:sz w:val="20"/>
              </w:rPr>
            </w:pPr>
            <w:r>
              <w:rPr>
                <w:rFonts w:hint="eastAsia" w:ascii="仿宋" w:hAnsi="仿宋" w:eastAsia="仿宋" w:cs="宋体"/>
                <w:snapToGrid/>
                <w:sz w:val="20"/>
              </w:rPr>
              <w:t>没收违法所得，并对责任人员处15万元以上20万元以下罚款。</w:t>
            </w:r>
          </w:p>
        </w:tc>
      </w:tr>
      <w:tr>
        <w:tblPrEx>
          <w:tblCellMar>
            <w:top w:w="0" w:type="dxa"/>
            <w:left w:w="108" w:type="dxa"/>
            <w:bottom w:w="0" w:type="dxa"/>
            <w:right w:w="108" w:type="dxa"/>
          </w:tblCellMar>
        </w:tblPrEx>
        <w:trPr>
          <w:trHeight w:val="397" w:hRule="atLeast"/>
          <w:jc w:val="center"/>
        </w:trPr>
        <w:tc>
          <w:tcPr>
            <w:tcW w:w="572"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default" w:ascii="仿宋" w:hAnsi="仿宋" w:eastAsia="仿宋"/>
                <w:snapToGrid/>
                <w:sz w:val="20"/>
                <w:lang w:val="en-US" w:eastAsia="zh-CN"/>
              </w:rPr>
            </w:pPr>
            <w:r>
              <w:rPr>
                <w:rFonts w:hint="eastAsia" w:ascii="仿宋" w:hAnsi="仿宋" w:eastAsia="仿宋"/>
                <w:snapToGrid/>
                <w:sz w:val="20"/>
                <w:lang w:val="en-US" w:eastAsia="zh-CN"/>
              </w:rPr>
              <w:t>60</w:t>
            </w:r>
          </w:p>
        </w:tc>
        <w:tc>
          <w:tcPr>
            <w:tcW w:w="1691"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ascii="仿宋" w:hAnsi="仿宋" w:eastAsia="仿宋" w:cs="宋体"/>
                <w:snapToGrid/>
                <w:sz w:val="20"/>
              </w:rPr>
              <w:t>基金会、社会团体、社会服务机构在申请时弄虚作假</w:t>
            </w:r>
          </w:p>
        </w:tc>
        <w:tc>
          <w:tcPr>
            <w:tcW w:w="3764" w:type="dxa"/>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【规章】</w:t>
            </w:r>
            <w:r>
              <w:rPr>
                <w:rFonts w:ascii="仿宋" w:hAnsi="仿宋" w:eastAsia="仿宋" w:cs="宋体"/>
                <w:snapToGrid/>
                <w:sz w:val="20"/>
              </w:rPr>
              <w:t>《慈善组织认定办法》</w:t>
            </w:r>
            <w:r>
              <w:rPr>
                <w:rFonts w:hint="eastAsia" w:ascii="仿宋" w:hAnsi="仿宋" w:eastAsia="仿宋" w:cs="宋体"/>
                <w:snapToGrid/>
                <w:sz w:val="20"/>
              </w:rPr>
              <w:t>（民政部</w:t>
            </w:r>
            <w:r>
              <w:rPr>
                <w:rFonts w:ascii="仿宋" w:hAnsi="仿宋" w:eastAsia="仿宋" w:cs="宋体"/>
                <w:snapToGrid/>
                <w:sz w:val="20"/>
              </w:rPr>
              <w:t>令第</w:t>
            </w:r>
            <w:r>
              <w:rPr>
                <w:rFonts w:hint="eastAsia" w:ascii="仿宋" w:hAnsi="仿宋" w:eastAsia="仿宋" w:cs="宋体"/>
                <w:snapToGrid/>
                <w:sz w:val="20"/>
              </w:rPr>
              <w:t>58号）</w:t>
            </w:r>
          </w:p>
          <w:p>
            <w:pPr>
              <w:widowControl/>
              <w:autoSpaceDE/>
              <w:autoSpaceDN/>
              <w:snapToGrid/>
              <w:spacing w:line="280" w:lineRule="exact"/>
              <w:ind w:firstLine="400" w:firstLineChars="200"/>
              <w:rPr>
                <w:rFonts w:hint="eastAsia" w:ascii="仿宋" w:hAnsi="仿宋" w:eastAsia="仿宋" w:cs="宋体"/>
                <w:snapToGrid/>
                <w:sz w:val="20"/>
                <w:lang w:eastAsia="zh-CN"/>
              </w:rPr>
            </w:pPr>
            <w:r>
              <w:rPr>
                <w:rFonts w:hint="eastAsia" w:ascii="仿宋" w:hAnsi="仿宋" w:eastAsia="仿宋" w:cs="宋体"/>
                <w:snapToGrid/>
                <w:sz w:val="20"/>
              </w:rPr>
              <w:t>第</w:t>
            </w:r>
            <w:r>
              <w:rPr>
                <w:rFonts w:ascii="仿宋" w:hAnsi="仿宋" w:eastAsia="仿宋" w:cs="宋体"/>
                <w:snapToGrid/>
                <w:sz w:val="20"/>
              </w:rPr>
              <w:t>十一条</w:t>
            </w:r>
            <w:r>
              <w:rPr>
                <w:rFonts w:hint="eastAsia" w:ascii="仿宋" w:hAnsi="仿宋" w:eastAsia="仿宋" w:cs="宋体"/>
                <w:snapToGrid/>
                <w:sz w:val="20"/>
              </w:rPr>
              <w:t xml:space="preserve">  </w:t>
            </w:r>
            <w:r>
              <w:rPr>
                <w:rFonts w:ascii="仿宋" w:hAnsi="仿宋" w:eastAsia="仿宋" w:cs="宋体"/>
                <w:snapToGrid/>
                <w:sz w:val="20"/>
              </w:rPr>
              <w:t>基金会、社会团体、社会服务机构在申请时弄虚作假的，由民政部门撤销慈善组织的认定，将该组织及直接责任人纳入信用记录，并向社会公布</w:t>
            </w:r>
            <w:r>
              <w:rPr>
                <w:rFonts w:hint="eastAsia" w:ascii="仿宋" w:hAnsi="仿宋" w:eastAsia="仿宋" w:cs="宋体"/>
                <w:snapToGrid/>
                <w:sz w:val="20"/>
                <w:lang w:eastAsia="zh-CN"/>
              </w:rPr>
              <w:t>。</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ascii="仿宋" w:hAnsi="仿宋" w:eastAsia="仿宋" w:cs="宋体"/>
                <w:snapToGrid/>
                <w:sz w:val="20"/>
              </w:rPr>
              <w:t>申请时弄虚作假的</w:t>
            </w:r>
            <w:r>
              <w:rPr>
                <w:rFonts w:hint="eastAsia" w:ascii="仿宋" w:hAnsi="仿宋" w:eastAsia="仿宋" w:cs="宋体"/>
                <w:snapToGrid/>
                <w:sz w:val="20"/>
              </w:rPr>
              <w:t>。</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90" w:lineRule="exact"/>
              <w:ind w:firstLine="0"/>
              <w:textAlignment w:val="auto"/>
              <w:rPr>
                <w:rFonts w:hint="eastAsia" w:ascii="仿宋" w:hAnsi="仿宋" w:eastAsia="仿宋" w:cs="宋体"/>
                <w:snapToGrid/>
                <w:sz w:val="20"/>
              </w:rPr>
            </w:pPr>
            <w:r>
              <w:rPr>
                <w:rFonts w:ascii="仿宋" w:hAnsi="仿宋" w:eastAsia="仿宋" w:cs="宋体"/>
                <w:snapToGrid/>
                <w:sz w:val="20"/>
              </w:rPr>
              <w:t>撤销慈善组织的认定，将该组织及直接责任人纳入信用记录，并向社会公布</w:t>
            </w:r>
            <w:r>
              <w:rPr>
                <w:rFonts w:hint="eastAsia" w:ascii="仿宋" w:hAnsi="仿宋" w:eastAsia="仿宋" w:cs="宋体"/>
                <w:snapToGrid/>
                <w:sz w:val="20"/>
              </w:rPr>
              <w:t>。</w:t>
            </w:r>
          </w:p>
        </w:tc>
      </w:tr>
      <w:tr>
        <w:tblPrEx>
          <w:tblCellMar>
            <w:top w:w="0" w:type="dxa"/>
            <w:left w:w="108" w:type="dxa"/>
            <w:bottom w:w="0" w:type="dxa"/>
            <w:right w:w="108" w:type="dxa"/>
          </w:tblCellMar>
        </w:tblPrEx>
        <w:trPr>
          <w:trHeight w:val="397" w:hRule="atLeast"/>
          <w:jc w:val="center"/>
        </w:trPr>
        <w:tc>
          <w:tcPr>
            <w:tcW w:w="9639"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30" w:lineRule="exact"/>
              <w:ind w:firstLine="0"/>
              <w:jc w:val="center"/>
              <w:textAlignment w:val="auto"/>
              <w:rPr>
                <w:rFonts w:hint="eastAsia" w:ascii="黑体" w:hAnsi="黑体" w:eastAsia="黑体" w:cs="宋体"/>
                <w:snapToGrid/>
                <w:sz w:val="20"/>
              </w:rPr>
            </w:pPr>
            <w:r>
              <w:rPr>
                <w:rFonts w:hint="eastAsia" w:ascii="黑体" w:hAnsi="黑体" w:eastAsia="黑体" w:cs="宋体"/>
                <w:snapToGrid/>
                <w:sz w:val="21"/>
              </w:rPr>
              <w:t>六、志愿服务</w:t>
            </w:r>
            <w:r>
              <w:rPr>
                <w:rFonts w:ascii="黑体" w:hAnsi="黑体" w:eastAsia="黑体" w:cs="宋体"/>
                <w:snapToGrid/>
                <w:sz w:val="21"/>
              </w:rPr>
              <w:t>管理</w:t>
            </w:r>
          </w:p>
        </w:tc>
      </w:tr>
      <w:tr>
        <w:tblPrEx>
          <w:tblCellMar>
            <w:top w:w="0" w:type="dxa"/>
            <w:left w:w="108" w:type="dxa"/>
            <w:bottom w:w="0" w:type="dxa"/>
            <w:right w:w="108" w:type="dxa"/>
          </w:tblCellMar>
        </w:tblPrEx>
        <w:trPr>
          <w:trHeight w:val="1080" w:hRule="atLeast"/>
          <w:jc w:val="center"/>
        </w:trPr>
        <w:tc>
          <w:tcPr>
            <w:tcW w:w="572"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default" w:ascii="仿宋" w:hAnsi="仿宋" w:eastAsia="仿宋"/>
                <w:snapToGrid/>
                <w:sz w:val="20"/>
                <w:lang w:val="en-US" w:eastAsia="zh-CN"/>
              </w:rPr>
            </w:pPr>
            <w:r>
              <w:rPr>
                <w:rFonts w:hint="eastAsia" w:ascii="仿宋" w:hAnsi="仿宋" w:eastAsia="仿宋"/>
                <w:snapToGrid/>
                <w:sz w:val="20"/>
                <w:lang w:val="en-US" w:eastAsia="zh-CN"/>
              </w:rPr>
              <w:t>61</w:t>
            </w:r>
          </w:p>
        </w:tc>
        <w:tc>
          <w:tcPr>
            <w:tcW w:w="1691"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ascii="仿宋" w:hAnsi="仿宋" w:eastAsia="仿宋" w:cs="宋体"/>
                <w:snapToGrid/>
                <w:sz w:val="20"/>
              </w:rPr>
              <w:t>志愿服务组织泄露志愿者有关信息、侵害志愿服务对象个人隐私</w:t>
            </w:r>
          </w:p>
        </w:tc>
        <w:tc>
          <w:tcPr>
            <w:tcW w:w="3764"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rPr>
                <w:rFonts w:hint="eastAsia" w:ascii="Arial" w:hAnsi="Arial" w:cs="Arial"/>
                <w:color w:val="333333"/>
                <w:sz w:val="21"/>
                <w:szCs w:val="21"/>
                <w:shd w:val="clear" w:color="auto" w:fill="FFFFFF"/>
              </w:rPr>
            </w:pPr>
            <w:r>
              <w:rPr>
                <w:rFonts w:hint="eastAsia" w:ascii="仿宋" w:hAnsi="仿宋" w:eastAsia="仿宋" w:cs="宋体"/>
                <w:snapToGrid/>
                <w:sz w:val="20"/>
              </w:rPr>
              <w:t>【行政法规】</w:t>
            </w:r>
            <w:r>
              <w:rPr>
                <w:rFonts w:ascii="仿宋" w:hAnsi="仿宋" w:eastAsia="仿宋" w:cs="宋体"/>
                <w:snapToGrid/>
                <w:sz w:val="20"/>
              </w:rPr>
              <w:t>《志愿服务条例》</w:t>
            </w:r>
            <w:r>
              <w:rPr>
                <w:rFonts w:hint="eastAsia" w:ascii="仿宋" w:hAnsi="仿宋" w:eastAsia="仿宋" w:cs="宋体"/>
                <w:snapToGrid/>
                <w:sz w:val="20"/>
              </w:rPr>
              <w:t>（国务院</w:t>
            </w:r>
            <w:r>
              <w:rPr>
                <w:rFonts w:ascii="仿宋" w:hAnsi="仿宋" w:eastAsia="仿宋" w:cs="宋体"/>
                <w:snapToGrid/>
                <w:sz w:val="20"/>
              </w:rPr>
              <w:t>令第</w:t>
            </w:r>
            <w:r>
              <w:rPr>
                <w:rFonts w:hint="eastAsia" w:ascii="仿宋" w:hAnsi="仿宋" w:eastAsia="仿宋" w:cs="宋体"/>
                <w:snapToGrid/>
                <w:sz w:val="20"/>
              </w:rPr>
              <w:t>685号）</w:t>
            </w:r>
          </w:p>
          <w:p>
            <w:pPr>
              <w:widowControl/>
              <w:autoSpaceDE/>
              <w:autoSpaceDN/>
              <w:snapToGrid/>
              <w:spacing w:line="280" w:lineRule="exact"/>
              <w:ind w:firstLine="400" w:firstLineChars="200"/>
              <w:rPr>
                <w:rFonts w:ascii="仿宋" w:hAnsi="仿宋" w:eastAsia="仿宋" w:cs="宋体"/>
                <w:snapToGrid/>
                <w:sz w:val="20"/>
              </w:rPr>
            </w:pPr>
            <w:r>
              <w:rPr>
                <w:rFonts w:ascii="仿宋" w:hAnsi="仿宋" w:eastAsia="仿宋" w:cs="宋体"/>
                <w:snapToGrid/>
                <w:sz w:val="20"/>
              </w:rPr>
              <w:t>第三十六条　志愿服务组织泄露志愿者有关信息、侵害志愿服务对象个人隐私的，由民政部门予以警告，责令限期改正；逾期不改正的，责令限期停止活动并进行整改；情节严重的，吊销登记证书并予以公告。</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3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警告</w:t>
            </w:r>
            <w:r>
              <w:rPr>
                <w:rFonts w:ascii="仿宋" w:hAnsi="仿宋" w:eastAsia="仿宋" w:cs="宋体"/>
                <w:snapToGrid/>
                <w:sz w:val="20"/>
              </w:rPr>
              <w:t>，责令限期改正</w:t>
            </w:r>
            <w:r>
              <w:rPr>
                <w:rFonts w:hint="eastAsia" w:ascii="仿宋" w:hAnsi="仿宋" w:eastAsia="仿宋" w:cs="宋体"/>
                <w:snapToGrid/>
                <w:sz w:val="20"/>
              </w:rPr>
              <w:t>。</w:t>
            </w:r>
          </w:p>
        </w:tc>
      </w:tr>
      <w:tr>
        <w:tblPrEx>
          <w:tblCellMar>
            <w:top w:w="0" w:type="dxa"/>
            <w:left w:w="108" w:type="dxa"/>
            <w:bottom w:w="0" w:type="dxa"/>
            <w:right w:w="108" w:type="dxa"/>
          </w:tblCellMar>
        </w:tblPrEx>
        <w:trPr>
          <w:trHeight w:val="1120" w:hRule="atLeast"/>
          <w:jc w:val="center"/>
        </w:trPr>
        <w:tc>
          <w:tcPr>
            <w:tcW w:w="572"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eastAsia" w:ascii="仿宋" w:hAnsi="仿宋" w:eastAsia="仿宋"/>
                <w:snapToGrid/>
                <w:sz w:val="20"/>
              </w:rPr>
            </w:pPr>
          </w:p>
        </w:tc>
        <w:tc>
          <w:tcPr>
            <w:tcW w:w="1691"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逾期不改正，造成较大社会危害的。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30" w:lineRule="exact"/>
              <w:ind w:firstLine="0"/>
              <w:textAlignment w:val="auto"/>
              <w:rPr>
                <w:rFonts w:hint="eastAsia" w:ascii="仿宋" w:hAnsi="仿宋" w:eastAsia="仿宋" w:cs="宋体"/>
                <w:snapToGrid/>
                <w:sz w:val="20"/>
              </w:rPr>
            </w:pPr>
            <w:r>
              <w:rPr>
                <w:rFonts w:ascii="仿宋" w:hAnsi="仿宋" w:eastAsia="仿宋" w:cs="宋体"/>
                <w:snapToGrid/>
                <w:sz w:val="20"/>
              </w:rPr>
              <w:t>责令限期停止活动并进行整改</w:t>
            </w:r>
            <w:r>
              <w:rPr>
                <w:rFonts w:hint="eastAsia" w:ascii="仿宋" w:hAnsi="仿宋" w:eastAsia="仿宋" w:cs="宋体"/>
                <w:snapToGrid/>
                <w:sz w:val="20"/>
              </w:rPr>
              <w:t>。</w:t>
            </w:r>
          </w:p>
        </w:tc>
      </w:tr>
      <w:tr>
        <w:tblPrEx>
          <w:tblCellMar>
            <w:top w:w="0" w:type="dxa"/>
            <w:left w:w="108" w:type="dxa"/>
            <w:bottom w:w="0" w:type="dxa"/>
            <w:right w:w="108" w:type="dxa"/>
          </w:tblCellMar>
        </w:tblPrEx>
        <w:trPr>
          <w:trHeight w:val="845"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eastAsia"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情节严重</w:t>
            </w:r>
            <w:r>
              <w:rPr>
                <w:rFonts w:ascii="仿宋" w:hAnsi="仿宋" w:eastAsia="仿宋" w:cs="宋体"/>
                <w:snapToGrid/>
                <w:sz w:val="20"/>
              </w:rPr>
              <w:t>，造成严重社会危害的。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30" w:lineRule="exact"/>
              <w:ind w:firstLine="0"/>
              <w:textAlignment w:val="auto"/>
              <w:rPr>
                <w:rFonts w:hint="eastAsia" w:ascii="仿宋" w:hAnsi="仿宋" w:eastAsia="仿宋" w:cs="宋体"/>
                <w:snapToGrid/>
                <w:sz w:val="20"/>
              </w:rPr>
            </w:pPr>
            <w:r>
              <w:rPr>
                <w:rFonts w:ascii="仿宋" w:hAnsi="仿宋" w:eastAsia="仿宋" w:cs="宋体"/>
                <w:snapToGrid/>
                <w:sz w:val="20"/>
              </w:rPr>
              <w:t>吊销登记证书并予以公告。</w:t>
            </w:r>
          </w:p>
        </w:tc>
      </w:tr>
      <w:tr>
        <w:tblPrEx>
          <w:tblCellMar>
            <w:top w:w="0" w:type="dxa"/>
            <w:left w:w="108" w:type="dxa"/>
            <w:bottom w:w="0" w:type="dxa"/>
            <w:right w:w="108" w:type="dxa"/>
          </w:tblCellMar>
        </w:tblPrEx>
        <w:trPr>
          <w:trHeight w:val="764" w:hRule="atLeast"/>
          <w:jc w:val="center"/>
        </w:trPr>
        <w:tc>
          <w:tcPr>
            <w:tcW w:w="572"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default" w:ascii="仿宋" w:hAnsi="仿宋" w:eastAsia="仿宋"/>
                <w:snapToGrid/>
                <w:sz w:val="20"/>
                <w:lang w:val="en-US" w:eastAsia="zh-CN"/>
              </w:rPr>
            </w:pPr>
            <w:r>
              <w:rPr>
                <w:rFonts w:hint="eastAsia" w:ascii="仿宋" w:hAnsi="仿宋" w:eastAsia="仿宋"/>
                <w:snapToGrid/>
                <w:sz w:val="20"/>
                <w:lang w:val="en-US" w:eastAsia="zh-CN"/>
              </w:rPr>
              <w:t>62</w:t>
            </w:r>
          </w:p>
        </w:tc>
        <w:tc>
          <w:tcPr>
            <w:tcW w:w="1691"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ascii="仿宋" w:hAnsi="仿宋" w:eastAsia="仿宋"/>
                <w:sz w:val="20"/>
              </w:rPr>
              <w:t>志愿服务组织、志愿者向志愿服务对象收取或者变相收取报酬</w:t>
            </w:r>
          </w:p>
        </w:tc>
        <w:tc>
          <w:tcPr>
            <w:tcW w:w="3764"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rPr>
                <w:rFonts w:hint="eastAsia" w:ascii="Arial" w:hAnsi="Arial" w:cs="Arial"/>
                <w:color w:val="333333"/>
                <w:sz w:val="21"/>
                <w:szCs w:val="21"/>
                <w:shd w:val="clear" w:color="auto" w:fill="FFFFFF"/>
              </w:rPr>
            </w:pPr>
            <w:r>
              <w:rPr>
                <w:rFonts w:hint="eastAsia" w:ascii="仿宋" w:hAnsi="仿宋" w:eastAsia="仿宋" w:cs="宋体"/>
                <w:snapToGrid/>
                <w:sz w:val="20"/>
              </w:rPr>
              <w:t>【行政法规】</w:t>
            </w:r>
            <w:r>
              <w:rPr>
                <w:rFonts w:ascii="仿宋" w:hAnsi="仿宋" w:eastAsia="仿宋" w:cs="宋体"/>
                <w:snapToGrid/>
                <w:sz w:val="20"/>
              </w:rPr>
              <w:t>《志愿服务条例》</w:t>
            </w:r>
            <w:r>
              <w:rPr>
                <w:rFonts w:hint="eastAsia" w:ascii="仿宋" w:hAnsi="仿宋" w:eastAsia="仿宋" w:cs="宋体"/>
                <w:snapToGrid/>
                <w:sz w:val="20"/>
              </w:rPr>
              <w:t>（国务院</w:t>
            </w:r>
            <w:r>
              <w:rPr>
                <w:rFonts w:ascii="仿宋" w:hAnsi="仿宋" w:eastAsia="仿宋" w:cs="宋体"/>
                <w:snapToGrid/>
                <w:sz w:val="20"/>
              </w:rPr>
              <w:t>令第</w:t>
            </w:r>
            <w:r>
              <w:rPr>
                <w:rFonts w:hint="eastAsia" w:ascii="仿宋" w:hAnsi="仿宋" w:eastAsia="仿宋" w:cs="宋体"/>
                <w:snapToGrid/>
                <w:sz w:val="20"/>
              </w:rPr>
              <w:t>685号）</w:t>
            </w:r>
          </w:p>
          <w:p>
            <w:pPr>
              <w:widowControl/>
              <w:autoSpaceDE/>
              <w:autoSpaceDN/>
              <w:snapToGrid/>
              <w:spacing w:line="280" w:lineRule="exact"/>
              <w:ind w:firstLine="400" w:firstLineChars="200"/>
              <w:rPr>
                <w:rFonts w:ascii="仿宋" w:hAnsi="仿宋" w:eastAsia="仿宋" w:cs="宋体"/>
                <w:snapToGrid/>
                <w:sz w:val="20"/>
              </w:rPr>
            </w:pPr>
            <w:r>
              <w:rPr>
                <w:rFonts w:ascii="仿宋" w:hAnsi="仿宋" w:eastAsia="仿宋" w:cs="宋体"/>
                <w:snapToGrid/>
                <w:sz w:val="20"/>
              </w:rPr>
              <w:t>第三十</w:t>
            </w:r>
            <w:r>
              <w:rPr>
                <w:rFonts w:hint="eastAsia" w:ascii="仿宋" w:hAnsi="仿宋" w:eastAsia="仿宋" w:cs="宋体"/>
                <w:snapToGrid/>
                <w:sz w:val="20"/>
              </w:rPr>
              <w:t>七</w:t>
            </w:r>
            <w:r>
              <w:rPr>
                <w:rFonts w:ascii="仿宋" w:hAnsi="仿宋" w:eastAsia="仿宋" w:cs="宋体"/>
                <w:snapToGrid/>
                <w:sz w:val="20"/>
              </w:rPr>
              <w:t>条</w:t>
            </w:r>
            <w:r>
              <w:rPr>
                <w:rFonts w:hint="eastAsia" w:ascii="仿宋" w:hAnsi="仿宋" w:eastAsia="仿宋" w:cs="宋体"/>
                <w:snapToGrid/>
                <w:sz w:val="20"/>
              </w:rPr>
              <w:t xml:space="preserve"> </w:t>
            </w:r>
            <w:r>
              <w:rPr>
                <w:rFonts w:ascii="仿宋" w:hAnsi="仿宋" w:eastAsia="仿宋" w:cs="宋体"/>
                <w:snapToGrid/>
                <w:sz w:val="20"/>
              </w:rPr>
              <w:t>志愿服务组织、志愿者向志愿服务对象收取或者变相收取报酬的，由民政部门予以警告，责令退还收取的报酬；情节严重的，对有关组织或者个人并处所收取报酬一倍以上五倍以下的罚款。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ascii="仿宋" w:hAnsi="仿宋" w:eastAsia="仿宋" w:cs="宋体"/>
                <w:snapToGrid/>
                <w:sz w:val="20"/>
              </w:rPr>
              <w:t>收取或者变相收取报酬</w:t>
            </w:r>
            <w:r>
              <w:rPr>
                <w:rFonts w:hint="eastAsia" w:ascii="仿宋" w:hAnsi="仿宋" w:eastAsia="仿宋" w:cs="宋体"/>
                <w:snapToGrid/>
                <w:sz w:val="20"/>
              </w:rPr>
              <w:t>5千元</w:t>
            </w:r>
            <w:r>
              <w:rPr>
                <w:rFonts w:ascii="仿宋" w:hAnsi="仿宋" w:eastAsia="仿宋" w:cs="宋体"/>
                <w:snapToGrid/>
                <w:sz w:val="20"/>
              </w:rPr>
              <w:t>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警告</w:t>
            </w:r>
            <w:r>
              <w:rPr>
                <w:rFonts w:ascii="仿宋" w:hAnsi="仿宋" w:eastAsia="仿宋" w:cs="宋体"/>
                <w:snapToGrid/>
                <w:sz w:val="20"/>
              </w:rPr>
              <w:t>，责令退还收取的报酬。</w:t>
            </w:r>
          </w:p>
        </w:tc>
      </w:tr>
      <w:tr>
        <w:tblPrEx>
          <w:tblCellMar>
            <w:top w:w="0" w:type="dxa"/>
            <w:left w:w="108" w:type="dxa"/>
            <w:bottom w:w="0" w:type="dxa"/>
            <w:right w:w="108" w:type="dxa"/>
          </w:tblCellMar>
        </w:tblPrEx>
        <w:trPr>
          <w:trHeight w:val="510" w:hRule="atLeast"/>
          <w:jc w:val="center"/>
        </w:trPr>
        <w:tc>
          <w:tcPr>
            <w:tcW w:w="572"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z w:val="20"/>
              </w:rPr>
            </w:pPr>
          </w:p>
        </w:tc>
        <w:tc>
          <w:tcPr>
            <w:tcW w:w="3764"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ascii="仿宋" w:hAnsi="仿宋" w:eastAsia="仿宋" w:cs="宋体"/>
                <w:snapToGrid/>
                <w:sz w:val="20"/>
              </w:rPr>
              <w:t>收取或者变相收取报酬</w:t>
            </w:r>
            <w:r>
              <w:rPr>
                <w:rFonts w:hint="eastAsia" w:ascii="仿宋" w:hAnsi="仿宋" w:eastAsia="仿宋" w:cs="宋体"/>
                <w:snapToGrid/>
                <w:sz w:val="20"/>
              </w:rPr>
              <w:t>5千元</w:t>
            </w:r>
            <w:r>
              <w:rPr>
                <w:rFonts w:ascii="仿宋" w:hAnsi="仿宋" w:eastAsia="仿宋" w:cs="宋体"/>
                <w:snapToGrid/>
                <w:sz w:val="20"/>
              </w:rPr>
              <w:t>以</w:t>
            </w:r>
            <w:r>
              <w:rPr>
                <w:rFonts w:hint="eastAsia" w:ascii="仿宋" w:hAnsi="仿宋" w:eastAsia="仿宋" w:cs="宋体"/>
                <w:snapToGrid/>
                <w:sz w:val="20"/>
              </w:rPr>
              <w:t>上2万元</w:t>
            </w:r>
            <w:r>
              <w:rPr>
                <w:rFonts w:ascii="仿宋" w:hAnsi="仿宋" w:eastAsia="仿宋" w:cs="宋体"/>
                <w:snapToGrid/>
                <w:sz w:val="20"/>
              </w:rPr>
              <w:t>以下的。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警告</w:t>
            </w:r>
            <w:r>
              <w:rPr>
                <w:rFonts w:ascii="仿宋" w:hAnsi="仿宋" w:eastAsia="仿宋" w:cs="宋体"/>
                <w:snapToGrid/>
                <w:sz w:val="20"/>
              </w:rPr>
              <w:t>，责令退还收取的报酬</w:t>
            </w:r>
            <w:r>
              <w:rPr>
                <w:rFonts w:hint="eastAsia" w:ascii="仿宋" w:hAnsi="仿宋" w:eastAsia="仿宋" w:cs="宋体"/>
                <w:snapToGrid/>
                <w:sz w:val="20"/>
              </w:rPr>
              <w:t>，</w:t>
            </w:r>
            <w:r>
              <w:rPr>
                <w:rFonts w:ascii="仿宋" w:hAnsi="仿宋" w:eastAsia="仿宋" w:cs="宋体"/>
                <w:snapToGrid/>
                <w:sz w:val="20"/>
              </w:rPr>
              <w:t>并处所收取报酬1倍以上3倍以下罚款。</w:t>
            </w:r>
          </w:p>
        </w:tc>
      </w:tr>
      <w:tr>
        <w:tblPrEx>
          <w:tblCellMar>
            <w:top w:w="0" w:type="dxa"/>
            <w:left w:w="108" w:type="dxa"/>
            <w:bottom w:w="0" w:type="dxa"/>
            <w:right w:w="108" w:type="dxa"/>
          </w:tblCellMar>
        </w:tblPrEx>
        <w:trPr>
          <w:trHeight w:val="510"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z w:val="20"/>
              </w:rPr>
            </w:pPr>
          </w:p>
        </w:tc>
        <w:tc>
          <w:tcPr>
            <w:tcW w:w="3764"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ascii="仿宋" w:hAnsi="仿宋" w:eastAsia="仿宋" w:cs="宋体"/>
                <w:snapToGrid/>
                <w:sz w:val="20"/>
              </w:rPr>
              <w:t>收取或者变相收取报酬</w:t>
            </w:r>
            <w:r>
              <w:rPr>
                <w:rFonts w:hint="eastAsia" w:ascii="仿宋" w:hAnsi="仿宋" w:eastAsia="仿宋" w:cs="宋体"/>
                <w:snapToGrid/>
                <w:sz w:val="20"/>
              </w:rPr>
              <w:t>2万元</w:t>
            </w:r>
            <w:r>
              <w:rPr>
                <w:rFonts w:ascii="仿宋" w:hAnsi="仿宋" w:eastAsia="仿宋" w:cs="宋体"/>
                <w:snapToGrid/>
                <w:sz w:val="20"/>
              </w:rPr>
              <w:t>以</w:t>
            </w:r>
            <w:r>
              <w:rPr>
                <w:rFonts w:hint="eastAsia" w:ascii="仿宋" w:hAnsi="仿宋" w:eastAsia="仿宋" w:cs="宋体"/>
                <w:snapToGrid/>
                <w:sz w:val="20"/>
              </w:rPr>
              <w:t>上</w:t>
            </w:r>
            <w:r>
              <w:rPr>
                <w:rFonts w:ascii="仿宋" w:hAnsi="仿宋" w:eastAsia="仿宋" w:cs="宋体"/>
                <w:snapToGrid/>
                <w:sz w:val="20"/>
              </w:rPr>
              <w:t>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警告</w:t>
            </w:r>
            <w:r>
              <w:rPr>
                <w:rFonts w:ascii="仿宋" w:hAnsi="仿宋" w:eastAsia="仿宋" w:cs="宋体"/>
                <w:snapToGrid/>
                <w:sz w:val="20"/>
              </w:rPr>
              <w:t>，责令退还收取的报酬</w:t>
            </w:r>
            <w:r>
              <w:rPr>
                <w:rFonts w:hint="eastAsia" w:ascii="仿宋" w:hAnsi="仿宋" w:eastAsia="仿宋" w:cs="宋体"/>
                <w:snapToGrid/>
                <w:sz w:val="20"/>
              </w:rPr>
              <w:t>，</w:t>
            </w:r>
            <w:r>
              <w:rPr>
                <w:rFonts w:ascii="仿宋" w:hAnsi="仿宋" w:eastAsia="仿宋" w:cs="宋体"/>
                <w:snapToGrid/>
                <w:sz w:val="20"/>
              </w:rPr>
              <w:t>并处所收取报酬</w:t>
            </w:r>
            <w:r>
              <w:rPr>
                <w:rFonts w:hint="eastAsia" w:ascii="仿宋" w:hAnsi="仿宋" w:eastAsia="仿宋" w:cs="宋体"/>
                <w:snapToGrid/>
                <w:sz w:val="20"/>
              </w:rPr>
              <w:t>3</w:t>
            </w:r>
            <w:r>
              <w:rPr>
                <w:rFonts w:ascii="仿宋" w:hAnsi="仿宋" w:eastAsia="仿宋" w:cs="宋体"/>
                <w:snapToGrid/>
                <w:sz w:val="20"/>
              </w:rPr>
              <w:t>倍以上</w:t>
            </w:r>
            <w:r>
              <w:rPr>
                <w:rFonts w:hint="eastAsia" w:ascii="仿宋" w:hAnsi="仿宋" w:eastAsia="仿宋" w:cs="宋体"/>
                <w:snapToGrid/>
                <w:sz w:val="20"/>
              </w:rPr>
              <w:t>5</w:t>
            </w:r>
            <w:r>
              <w:rPr>
                <w:rFonts w:ascii="仿宋" w:hAnsi="仿宋" w:eastAsia="仿宋" w:cs="宋体"/>
                <w:snapToGrid/>
                <w:sz w:val="20"/>
              </w:rPr>
              <w:t>倍以下罚款。</w:t>
            </w:r>
          </w:p>
        </w:tc>
      </w:tr>
      <w:tr>
        <w:tblPrEx>
          <w:tblCellMar>
            <w:top w:w="0" w:type="dxa"/>
            <w:left w:w="108" w:type="dxa"/>
            <w:bottom w:w="0" w:type="dxa"/>
            <w:right w:w="108" w:type="dxa"/>
          </w:tblCellMar>
        </w:tblPrEx>
        <w:trPr>
          <w:trHeight w:val="840" w:hRule="atLeast"/>
          <w:jc w:val="center"/>
        </w:trPr>
        <w:tc>
          <w:tcPr>
            <w:tcW w:w="572"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default" w:ascii="仿宋" w:hAnsi="仿宋" w:eastAsia="仿宋"/>
                <w:snapToGrid/>
                <w:sz w:val="20"/>
                <w:lang w:val="en-US" w:eastAsia="zh-CN"/>
              </w:rPr>
            </w:pPr>
            <w:r>
              <w:rPr>
                <w:rFonts w:hint="eastAsia" w:ascii="仿宋" w:hAnsi="仿宋" w:eastAsia="仿宋"/>
                <w:snapToGrid/>
                <w:sz w:val="20"/>
                <w:lang w:val="en-US" w:eastAsia="zh-CN"/>
              </w:rPr>
              <w:t>63</w:t>
            </w:r>
          </w:p>
        </w:tc>
        <w:tc>
          <w:tcPr>
            <w:tcW w:w="1691"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z w:val="20"/>
              </w:rPr>
            </w:pPr>
            <w:r>
              <w:rPr>
                <w:rFonts w:ascii="仿宋" w:hAnsi="仿宋" w:eastAsia="仿宋"/>
                <w:sz w:val="20"/>
              </w:rPr>
              <w:t>志愿服务组织不依法记录志愿服务信息或者出具志愿服务记录证明</w:t>
            </w:r>
          </w:p>
        </w:tc>
        <w:tc>
          <w:tcPr>
            <w:tcW w:w="3764"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rPr>
                <w:rFonts w:hint="eastAsia" w:ascii="Arial" w:hAnsi="Arial" w:cs="Arial"/>
                <w:color w:val="333333"/>
                <w:sz w:val="21"/>
                <w:szCs w:val="21"/>
                <w:shd w:val="clear" w:color="auto" w:fill="FFFFFF"/>
              </w:rPr>
            </w:pPr>
            <w:r>
              <w:rPr>
                <w:rFonts w:hint="eastAsia" w:ascii="仿宋" w:hAnsi="仿宋" w:eastAsia="仿宋" w:cs="宋体"/>
                <w:snapToGrid/>
                <w:sz w:val="20"/>
              </w:rPr>
              <w:t>【行政法规】</w:t>
            </w:r>
            <w:r>
              <w:rPr>
                <w:rFonts w:ascii="仿宋" w:hAnsi="仿宋" w:eastAsia="仿宋" w:cs="宋体"/>
                <w:snapToGrid/>
                <w:sz w:val="20"/>
              </w:rPr>
              <w:t>《志愿服务条例》</w:t>
            </w:r>
            <w:r>
              <w:rPr>
                <w:rFonts w:hint="eastAsia" w:ascii="仿宋" w:hAnsi="仿宋" w:eastAsia="仿宋" w:cs="宋体"/>
                <w:snapToGrid/>
                <w:sz w:val="20"/>
              </w:rPr>
              <w:t>（国务院</w:t>
            </w:r>
            <w:r>
              <w:rPr>
                <w:rFonts w:ascii="仿宋" w:hAnsi="仿宋" w:eastAsia="仿宋" w:cs="宋体"/>
                <w:snapToGrid/>
                <w:sz w:val="20"/>
              </w:rPr>
              <w:t>令第</w:t>
            </w:r>
            <w:r>
              <w:rPr>
                <w:rFonts w:hint="eastAsia" w:ascii="仿宋" w:hAnsi="仿宋" w:eastAsia="仿宋" w:cs="宋体"/>
                <w:snapToGrid/>
                <w:sz w:val="20"/>
              </w:rPr>
              <w:t>685号）</w:t>
            </w:r>
          </w:p>
          <w:p>
            <w:pPr>
              <w:widowControl/>
              <w:autoSpaceDE/>
              <w:autoSpaceDN/>
              <w:snapToGrid/>
              <w:spacing w:line="280" w:lineRule="exact"/>
              <w:ind w:firstLine="400" w:firstLineChars="200"/>
              <w:rPr>
                <w:rFonts w:ascii="仿宋" w:hAnsi="仿宋" w:eastAsia="仿宋" w:cs="宋体"/>
                <w:snapToGrid/>
                <w:sz w:val="20"/>
              </w:rPr>
            </w:pPr>
            <w:r>
              <w:rPr>
                <w:rFonts w:ascii="仿宋" w:hAnsi="仿宋" w:eastAsia="仿宋" w:cs="宋体"/>
                <w:snapToGrid/>
                <w:sz w:val="20"/>
              </w:rPr>
              <w:t>第三十八条　志愿服务组织不依法记录志愿服务信息或者出具志愿服务记录证明的，由民政部门予以警告，责令限期改正；逾期不改正的，责令限期停止活动，并可以向社会和有关单位通报。</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造成较小</w:t>
            </w:r>
            <w:r>
              <w:rPr>
                <w:rFonts w:ascii="仿宋" w:hAnsi="仿宋" w:eastAsia="仿宋" w:cs="宋体"/>
                <w:snapToGrid/>
                <w:sz w:val="20"/>
              </w:rPr>
              <w:t>后果的</w:t>
            </w:r>
            <w:r>
              <w:rPr>
                <w:rFonts w:hint="eastAsia" w:ascii="仿宋" w:hAnsi="仿宋" w:eastAsia="仿宋" w:cs="宋体"/>
                <w:snapToGrid/>
                <w:sz w:val="20"/>
              </w:rPr>
              <w:t>。</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ascii="仿宋" w:hAnsi="仿宋" w:eastAsia="仿宋" w:cs="宋体"/>
                <w:snapToGrid/>
                <w:sz w:val="20"/>
              </w:rPr>
              <w:t>警告，责令限期改正</w:t>
            </w:r>
            <w:r>
              <w:rPr>
                <w:rFonts w:hint="eastAsia" w:ascii="仿宋" w:hAnsi="仿宋" w:eastAsia="仿宋" w:cs="宋体"/>
                <w:snapToGrid/>
                <w:sz w:val="20"/>
                <w:lang w:eastAsia="zh-CN"/>
              </w:rPr>
              <w:t>。</w:t>
            </w:r>
          </w:p>
        </w:tc>
      </w:tr>
      <w:tr>
        <w:tblPrEx>
          <w:tblCellMar>
            <w:top w:w="0" w:type="dxa"/>
            <w:left w:w="108" w:type="dxa"/>
            <w:bottom w:w="0" w:type="dxa"/>
            <w:right w:w="108" w:type="dxa"/>
          </w:tblCellMar>
        </w:tblPrEx>
        <w:trPr>
          <w:trHeight w:val="974"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z w:val="20"/>
              </w:rPr>
            </w:pPr>
          </w:p>
        </w:tc>
        <w:tc>
          <w:tcPr>
            <w:tcW w:w="3764"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逾期</w:t>
            </w:r>
            <w:r>
              <w:rPr>
                <w:rFonts w:ascii="仿宋" w:hAnsi="仿宋" w:eastAsia="仿宋" w:cs="宋体"/>
                <w:snapToGrid/>
                <w:sz w:val="20"/>
              </w:rPr>
              <w:t>不改正，造成严重后果的。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ascii="仿宋" w:hAnsi="仿宋" w:eastAsia="仿宋" w:cs="宋体"/>
                <w:snapToGrid/>
                <w:sz w:val="20"/>
              </w:rPr>
              <w:t>责令限期停止活动，并向社会和有关单位通报。</w:t>
            </w:r>
          </w:p>
        </w:tc>
      </w:tr>
      <w:tr>
        <w:tblPrEx>
          <w:tblCellMar>
            <w:top w:w="0" w:type="dxa"/>
            <w:left w:w="108" w:type="dxa"/>
            <w:bottom w:w="0" w:type="dxa"/>
            <w:right w:w="108" w:type="dxa"/>
          </w:tblCellMar>
        </w:tblPrEx>
        <w:trPr>
          <w:trHeight w:val="1278" w:hRule="atLeast"/>
          <w:jc w:val="center"/>
        </w:trPr>
        <w:tc>
          <w:tcPr>
            <w:tcW w:w="572"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default" w:ascii="仿宋" w:hAnsi="仿宋" w:eastAsia="仿宋"/>
                <w:snapToGrid/>
                <w:sz w:val="20"/>
                <w:lang w:val="en-US" w:eastAsia="zh-CN"/>
              </w:rPr>
            </w:pPr>
            <w:r>
              <w:rPr>
                <w:rFonts w:hint="eastAsia" w:ascii="仿宋" w:hAnsi="仿宋" w:eastAsia="仿宋"/>
                <w:snapToGrid/>
                <w:sz w:val="20"/>
                <w:lang w:val="en-US" w:eastAsia="zh-CN"/>
              </w:rPr>
              <w:t>64</w:t>
            </w:r>
          </w:p>
        </w:tc>
        <w:tc>
          <w:tcPr>
            <w:tcW w:w="1691"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sz w:val="20"/>
              </w:rPr>
            </w:pPr>
            <w:r>
              <w:rPr>
                <w:rFonts w:hint="eastAsia" w:ascii="仿宋" w:hAnsi="仿宋" w:eastAsia="仿宋"/>
                <w:sz w:val="20"/>
              </w:rPr>
              <w:t>组织</w:t>
            </w:r>
            <w:r>
              <w:rPr>
                <w:rFonts w:ascii="仿宋" w:hAnsi="仿宋" w:eastAsia="仿宋"/>
                <w:sz w:val="20"/>
              </w:rPr>
              <w:t>和个人以志愿服务名义进行营利性活动</w:t>
            </w:r>
          </w:p>
        </w:tc>
        <w:tc>
          <w:tcPr>
            <w:tcW w:w="3764"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rPr>
                <w:rFonts w:ascii="Arial" w:hAnsi="Arial" w:cs="Arial"/>
                <w:color w:val="333333"/>
                <w:sz w:val="21"/>
                <w:szCs w:val="21"/>
                <w:shd w:val="clear" w:color="auto" w:fill="FFFFFF"/>
              </w:rPr>
            </w:pPr>
            <w:r>
              <w:rPr>
                <w:rFonts w:hint="eastAsia" w:ascii="仿宋" w:hAnsi="仿宋" w:eastAsia="仿宋" w:cs="宋体"/>
                <w:snapToGrid/>
                <w:sz w:val="20"/>
              </w:rPr>
              <w:t>【法规】</w:t>
            </w:r>
            <w:r>
              <w:rPr>
                <w:rFonts w:ascii="仿宋" w:hAnsi="仿宋" w:eastAsia="仿宋" w:cs="宋体"/>
                <w:snapToGrid/>
                <w:sz w:val="20"/>
              </w:rPr>
              <w:t>《志愿服务条例》</w:t>
            </w:r>
            <w:r>
              <w:rPr>
                <w:rFonts w:hint="eastAsia" w:ascii="仿宋" w:hAnsi="仿宋" w:eastAsia="仿宋" w:cs="宋体"/>
                <w:snapToGrid/>
                <w:sz w:val="20"/>
              </w:rPr>
              <w:t>（国务院</w:t>
            </w:r>
            <w:r>
              <w:rPr>
                <w:rFonts w:ascii="仿宋" w:hAnsi="仿宋" w:eastAsia="仿宋" w:cs="宋体"/>
                <w:snapToGrid/>
                <w:sz w:val="20"/>
              </w:rPr>
              <w:t>令第</w:t>
            </w:r>
            <w:r>
              <w:rPr>
                <w:rFonts w:hint="eastAsia" w:ascii="仿宋" w:hAnsi="仿宋" w:eastAsia="仿宋" w:cs="宋体"/>
                <w:snapToGrid/>
                <w:sz w:val="20"/>
              </w:rPr>
              <w:t>685号）</w:t>
            </w:r>
          </w:p>
          <w:p>
            <w:pPr>
              <w:widowControl/>
              <w:autoSpaceDE/>
              <w:autoSpaceDN/>
              <w:snapToGrid/>
              <w:spacing w:line="280" w:lineRule="exact"/>
              <w:ind w:firstLine="400" w:firstLineChars="200"/>
              <w:rPr>
                <w:rFonts w:ascii="仿宋" w:hAnsi="仿宋" w:eastAsia="仿宋" w:cs="宋体"/>
                <w:snapToGrid/>
                <w:sz w:val="20"/>
              </w:rPr>
            </w:pPr>
            <w:r>
              <w:rPr>
                <w:rFonts w:ascii="仿宋" w:hAnsi="仿宋" w:eastAsia="仿宋" w:cs="宋体"/>
                <w:snapToGrid/>
                <w:sz w:val="20"/>
              </w:rPr>
              <w:t>第三十</w:t>
            </w:r>
            <w:r>
              <w:rPr>
                <w:rFonts w:hint="eastAsia" w:ascii="仿宋" w:hAnsi="仿宋" w:eastAsia="仿宋" w:cs="宋体"/>
                <w:snapToGrid/>
                <w:sz w:val="20"/>
              </w:rPr>
              <w:t>九</w:t>
            </w:r>
            <w:r>
              <w:rPr>
                <w:rFonts w:ascii="仿宋" w:hAnsi="仿宋" w:eastAsia="仿宋" w:cs="宋体"/>
                <w:snapToGrid/>
                <w:sz w:val="20"/>
              </w:rPr>
              <w:t>条　对以志愿服务名义进行营利性活动的组织和个人，由民政、工商等部门依法查处。</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持续时间在6个月以下的；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违法所得20万元以下的。</w:t>
            </w:r>
          </w:p>
        </w:tc>
        <w:tc>
          <w:tcPr>
            <w:tcW w:w="1708" w:type="dxa"/>
            <w:vMerge w:val="restart"/>
            <w:tcBorders>
              <w:top w:val="nil"/>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依据</w:t>
            </w:r>
            <w:r>
              <w:rPr>
                <w:rFonts w:ascii="仿宋" w:hAnsi="仿宋" w:eastAsia="仿宋" w:cs="宋体"/>
                <w:snapToGrid/>
                <w:sz w:val="20"/>
              </w:rPr>
              <w:t>相应法律法规查</w:t>
            </w:r>
            <w:r>
              <w:rPr>
                <w:rFonts w:hint="eastAsia" w:ascii="仿宋" w:hAnsi="仿宋" w:eastAsia="仿宋" w:cs="宋体"/>
                <w:snapToGrid/>
                <w:sz w:val="20"/>
              </w:rPr>
              <w:t>处</w:t>
            </w:r>
            <w:r>
              <w:rPr>
                <w:rFonts w:hint="eastAsia" w:ascii="仿宋" w:hAnsi="仿宋" w:eastAsia="仿宋" w:cs="宋体"/>
                <w:snapToGrid/>
                <w:sz w:val="20"/>
                <w:lang w:eastAsia="zh-CN"/>
              </w:rPr>
              <w:t>。</w:t>
            </w:r>
          </w:p>
        </w:tc>
      </w:tr>
      <w:tr>
        <w:tblPrEx>
          <w:tblCellMar>
            <w:top w:w="0" w:type="dxa"/>
            <w:left w:w="108" w:type="dxa"/>
            <w:bottom w:w="0" w:type="dxa"/>
            <w:right w:w="108" w:type="dxa"/>
          </w:tblCellMar>
        </w:tblPrEx>
        <w:trPr>
          <w:trHeight w:val="1410" w:hRule="atLeast"/>
          <w:jc w:val="center"/>
        </w:trPr>
        <w:tc>
          <w:tcPr>
            <w:tcW w:w="572"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sz w:val="20"/>
              </w:rPr>
            </w:pPr>
          </w:p>
        </w:tc>
        <w:tc>
          <w:tcPr>
            <w:tcW w:w="3764"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60" w:lineRule="exact"/>
              <w:ind w:firstLine="0"/>
              <w:rPr>
                <w:rFonts w:hint="eastAsia" w:ascii="仿宋" w:hAnsi="仿宋" w:eastAsia="仿宋" w:cs="宋体"/>
                <w:snapToGrid/>
                <w:sz w:val="20"/>
              </w:rPr>
            </w:pPr>
            <w:r>
              <w:rPr>
                <w:rFonts w:hint="eastAsia" w:ascii="仿宋" w:hAnsi="仿宋" w:eastAsia="仿宋" w:cs="宋体"/>
                <w:snapToGrid/>
                <w:sz w:val="20"/>
              </w:rPr>
              <w:t>持续时间在6个月以上、1年以下的；违法所得20万元以上、100万元以下的。</w:t>
            </w:r>
          </w:p>
        </w:tc>
        <w:tc>
          <w:tcPr>
            <w:tcW w:w="1708" w:type="dxa"/>
            <w:vMerge w:val="continue"/>
            <w:tcBorders>
              <w:left w:val="nil"/>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r>
      <w:tr>
        <w:tblPrEx>
          <w:tblCellMar>
            <w:top w:w="0" w:type="dxa"/>
            <w:left w:w="108" w:type="dxa"/>
            <w:bottom w:w="0" w:type="dxa"/>
            <w:right w:w="108" w:type="dxa"/>
          </w:tblCellMar>
        </w:tblPrEx>
        <w:trPr>
          <w:trHeight w:val="375"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sz w:val="20"/>
              </w:rPr>
            </w:pPr>
          </w:p>
        </w:tc>
        <w:tc>
          <w:tcPr>
            <w:tcW w:w="3764"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60" w:lineRule="exact"/>
              <w:ind w:firstLine="0"/>
              <w:rPr>
                <w:rFonts w:hint="eastAsia" w:ascii="仿宋" w:hAnsi="仿宋" w:eastAsia="仿宋" w:cs="宋体"/>
                <w:snapToGrid/>
                <w:sz w:val="20"/>
              </w:rPr>
            </w:pPr>
            <w:r>
              <w:rPr>
                <w:rFonts w:hint="eastAsia" w:ascii="仿宋" w:hAnsi="仿宋" w:eastAsia="仿宋" w:cs="宋体"/>
                <w:snapToGrid/>
                <w:sz w:val="20"/>
              </w:rPr>
              <w:t>持续时间在1年以上的；</w:t>
            </w:r>
          </w:p>
          <w:p>
            <w:pPr>
              <w:widowControl/>
              <w:autoSpaceDE/>
              <w:autoSpaceDN/>
              <w:snapToGrid/>
              <w:spacing w:line="260" w:lineRule="exact"/>
              <w:ind w:firstLine="0"/>
              <w:rPr>
                <w:rFonts w:hint="eastAsia" w:ascii="仿宋" w:hAnsi="仿宋" w:eastAsia="仿宋" w:cs="宋体"/>
                <w:snapToGrid/>
                <w:sz w:val="20"/>
              </w:rPr>
            </w:pPr>
            <w:r>
              <w:rPr>
                <w:rFonts w:hint="eastAsia" w:ascii="仿宋" w:hAnsi="仿宋" w:eastAsia="仿宋" w:cs="宋体"/>
                <w:snapToGrid/>
                <w:sz w:val="20"/>
              </w:rPr>
              <w:t>违法所得100万元以上的。</w:t>
            </w:r>
          </w:p>
        </w:tc>
        <w:tc>
          <w:tcPr>
            <w:tcW w:w="1708" w:type="dxa"/>
            <w:vMerge w:val="continue"/>
            <w:tcBorders>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r>
      <w:tr>
        <w:tblPrEx>
          <w:tblCellMar>
            <w:top w:w="0" w:type="dxa"/>
            <w:left w:w="108" w:type="dxa"/>
            <w:bottom w:w="0" w:type="dxa"/>
            <w:right w:w="108" w:type="dxa"/>
          </w:tblCellMar>
        </w:tblPrEx>
        <w:trPr>
          <w:trHeight w:val="375" w:hRule="atLeast"/>
          <w:jc w:val="center"/>
        </w:trPr>
        <w:tc>
          <w:tcPr>
            <w:tcW w:w="9639" w:type="dxa"/>
            <w:gridSpan w:val="5"/>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仿宋" w:hAnsi="仿宋" w:eastAsia="仿宋" w:cs="宋体"/>
                <w:snapToGrid/>
                <w:sz w:val="20"/>
              </w:rPr>
            </w:pPr>
            <w:r>
              <w:rPr>
                <w:rFonts w:hint="eastAsia" w:ascii="黑体" w:hAnsi="黑体" w:eastAsia="黑体" w:cs="宋体"/>
                <w:snapToGrid/>
                <w:sz w:val="21"/>
              </w:rPr>
              <w:t>七、区划地名管理</w:t>
            </w:r>
          </w:p>
        </w:tc>
      </w:tr>
      <w:tr>
        <w:tblPrEx>
          <w:tblCellMar>
            <w:top w:w="0" w:type="dxa"/>
            <w:left w:w="108" w:type="dxa"/>
            <w:bottom w:w="0" w:type="dxa"/>
            <w:right w:w="108" w:type="dxa"/>
          </w:tblCellMar>
        </w:tblPrEx>
        <w:trPr>
          <w:trHeight w:val="1629" w:hRule="atLeast"/>
          <w:jc w:val="center"/>
        </w:trPr>
        <w:tc>
          <w:tcPr>
            <w:tcW w:w="572" w:type="dxa"/>
            <w:vMerge w:val="restart"/>
            <w:tcBorders>
              <w:left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default" w:ascii="仿宋" w:hAnsi="仿宋" w:eastAsia="仿宋"/>
                <w:snapToGrid/>
                <w:sz w:val="20"/>
                <w:lang w:val="en-US" w:eastAsia="zh-CN"/>
              </w:rPr>
            </w:pPr>
            <w:r>
              <w:rPr>
                <w:rFonts w:hint="eastAsia" w:ascii="仿宋" w:hAnsi="仿宋" w:eastAsia="仿宋"/>
                <w:snapToGrid/>
                <w:sz w:val="20"/>
                <w:lang w:val="en-US" w:eastAsia="zh-CN"/>
              </w:rPr>
              <w:t>65</w:t>
            </w:r>
          </w:p>
        </w:tc>
        <w:tc>
          <w:tcPr>
            <w:tcW w:w="1691" w:type="dxa"/>
            <w:vMerge w:val="restart"/>
            <w:tcBorders>
              <w:left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sz w:val="20"/>
              </w:rPr>
            </w:pPr>
            <w:r>
              <w:rPr>
                <w:rFonts w:hint="eastAsia" w:ascii="仿宋" w:hAnsi="仿宋" w:eastAsia="仿宋"/>
                <w:sz w:val="20"/>
              </w:rPr>
              <w:t>故意</w:t>
            </w:r>
            <w:r>
              <w:rPr>
                <w:rFonts w:ascii="仿宋" w:hAnsi="仿宋" w:eastAsia="仿宋"/>
                <w:sz w:val="20"/>
              </w:rPr>
              <w:t>损毁或者擅自移动界桩或者其他行政区域</w:t>
            </w:r>
            <w:r>
              <w:rPr>
                <w:rFonts w:hint="eastAsia" w:ascii="仿宋" w:hAnsi="仿宋" w:eastAsia="仿宋"/>
                <w:sz w:val="20"/>
              </w:rPr>
              <w:t>界线</w:t>
            </w:r>
            <w:r>
              <w:rPr>
                <w:rFonts w:ascii="仿宋" w:hAnsi="仿宋" w:eastAsia="仿宋"/>
                <w:sz w:val="20"/>
              </w:rPr>
              <w:t>标志物</w:t>
            </w:r>
          </w:p>
        </w:tc>
        <w:tc>
          <w:tcPr>
            <w:tcW w:w="3764" w:type="dxa"/>
            <w:vMerge w:val="restart"/>
            <w:tcBorders>
              <w:left w:val="single" w:color="auto" w:sz="4" w:space="0"/>
              <w:right w:val="single" w:color="auto" w:sz="4" w:space="0"/>
            </w:tcBorders>
            <w:noWrap w:val="0"/>
            <w:vAlign w:val="center"/>
          </w:tcPr>
          <w:p>
            <w:pPr>
              <w:widowControl/>
              <w:autoSpaceDE/>
              <w:autoSpaceDN/>
              <w:snapToGrid/>
              <w:spacing w:line="260" w:lineRule="exact"/>
              <w:ind w:firstLine="0"/>
              <w:rPr>
                <w:rFonts w:hint="eastAsia" w:ascii="仿宋" w:hAnsi="仿宋" w:eastAsia="仿宋" w:cs="宋体"/>
                <w:snapToGrid/>
                <w:sz w:val="20"/>
              </w:rPr>
            </w:pPr>
            <w:r>
              <w:rPr>
                <w:rFonts w:hint="eastAsia" w:ascii="仿宋" w:hAnsi="仿宋" w:eastAsia="仿宋" w:cs="宋体"/>
                <w:snapToGrid/>
                <w:sz w:val="20"/>
              </w:rPr>
              <w:t>【行政法规】《行政区域界线管理条例》（国务院令第353号）</w:t>
            </w:r>
          </w:p>
          <w:p>
            <w:pPr>
              <w:widowControl/>
              <w:autoSpaceDE/>
              <w:autoSpaceDN/>
              <w:snapToGrid/>
              <w:spacing w:line="260" w:lineRule="exact"/>
              <w:ind w:firstLine="0"/>
              <w:rPr>
                <w:rFonts w:hint="eastAsia" w:ascii="仿宋" w:hAnsi="仿宋" w:eastAsia="仿宋" w:cs="宋体"/>
                <w:snapToGrid/>
                <w:sz w:val="20"/>
              </w:rPr>
            </w:pPr>
            <w:r>
              <w:rPr>
                <w:rFonts w:hint="eastAsia" w:ascii="仿宋" w:hAnsi="仿宋" w:eastAsia="仿宋" w:cs="宋体"/>
                <w:snapToGrid/>
                <w:sz w:val="20"/>
              </w:rPr>
              <w:t xml:space="preserve">    第十七条  违反本条例的规定，故意</w:t>
            </w:r>
            <w:r>
              <w:rPr>
                <w:rFonts w:ascii="仿宋" w:hAnsi="仿宋" w:eastAsia="仿宋" w:cs="宋体"/>
                <w:snapToGrid/>
                <w:sz w:val="20"/>
              </w:rPr>
              <w:t>损毁或者擅自移动</w:t>
            </w:r>
            <w:r>
              <w:rPr>
                <w:rFonts w:hint="eastAsia" w:ascii="仿宋" w:hAnsi="仿宋" w:eastAsia="仿宋" w:cs="宋体"/>
                <w:snapToGrid/>
                <w:sz w:val="20"/>
              </w:rPr>
              <w:t>界桩</w:t>
            </w:r>
            <w:r>
              <w:rPr>
                <w:rFonts w:ascii="仿宋" w:hAnsi="仿宋" w:eastAsia="仿宋" w:cs="宋体"/>
                <w:snapToGrid/>
                <w:sz w:val="20"/>
              </w:rPr>
              <w:t>或者其他行政区域界线标志物的，应当支付修复标志物的费用并由所在地负责管理该行政区域界线标志的人民政府民政部门处</w:t>
            </w:r>
            <w:r>
              <w:rPr>
                <w:rFonts w:hint="eastAsia" w:ascii="仿宋" w:hAnsi="仿宋" w:eastAsia="仿宋" w:cs="宋体"/>
                <w:snapToGrid/>
                <w:sz w:val="20"/>
              </w:rPr>
              <w:t>1000元</w:t>
            </w:r>
            <w:r>
              <w:rPr>
                <w:rFonts w:ascii="仿宋" w:hAnsi="仿宋" w:eastAsia="仿宋" w:cs="宋体"/>
                <w:snapToGrid/>
                <w:sz w:val="20"/>
              </w:rPr>
              <w:t>以下的罚款。</w:t>
            </w: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修复</w:t>
            </w:r>
            <w:r>
              <w:rPr>
                <w:rFonts w:ascii="仿宋" w:hAnsi="仿宋" w:eastAsia="仿宋" w:cs="宋体"/>
                <w:snapToGrid/>
                <w:sz w:val="20"/>
              </w:rPr>
              <w:t>费用</w:t>
            </w:r>
            <w:r>
              <w:rPr>
                <w:rFonts w:hint="eastAsia" w:ascii="仿宋" w:hAnsi="仿宋" w:eastAsia="仿宋" w:cs="宋体"/>
                <w:snapToGrid/>
                <w:sz w:val="20"/>
              </w:rPr>
              <w:t>需1</w:t>
            </w:r>
            <w:r>
              <w:rPr>
                <w:rFonts w:hint="eastAsia" w:ascii="仿宋" w:hAnsi="仿宋" w:eastAsia="仿宋" w:cs="宋体"/>
                <w:snapToGrid/>
                <w:sz w:val="20"/>
                <w:lang w:eastAsia="zh-CN"/>
              </w:rPr>
              <w:t>千</w:t>
            </w:r>
            <w:r>
              <w:rPr>
                <w:rFonts w:hint="eastAsia" w:ascii="仿宋" w:hAnsi="仿宋" w:eastAsia="仿宋" w:cs="宋体"/>
                <w:snapToGrid/>
                <w:sz w:val="20"/>
              </w:rPr>
              <w:t>元以下</w:t>
            </w:r>
            <w:r>
              <w:rPr>
                <w:rFonts w:ascii="仿宋" w:hAnsi="仿宋" w:eastAsia="仿宋" w:cs="宋体"/>
                <w:snapToGrid/>
                <w:sz w:val="20"/>
              </w:rPr>
              <w:t>的。</w:t>
            </w:r>
          </w:p>
        </w:tc>
        <w:tc>
          <w:tcPr>
            <w:tcW w:w="1708" w:type="dxa"/>
            <w:tcBorders>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处500元</w:t>
            </w:r>
            <w:r>
              <w:rPr>
                <w:rFonts w:ascii="仿宋" w:hAnsi="仿宋" w:eastAsia="仿宋" w:cs="宋体"/>
                <w:snapToGrid/>
                <w:sz w:val="20"/>
              </w:rPr>
              <w:t>以下罚款</w:t>
            </w:r>
            <w:r>
              <w:rPr>
                <w:rFonts w:hint="eastAsia" w:ascii="仿宋" w:hAnsi="仿宋" w:eastAsia="仿宋" w:cs="宋体"/>
                <w:snapToGrid/>
                <w:sz w:val="20"/>
                <w:lang w:eastAsia="zh-CN"/>
              </w:rPr>
              <w:t>。</w:t>
            </w:r>
          </w:p>
        </w:tc>
      </w:tr>
      <w:tr>
        <w:tblPrEx>
          <w:tblCellMar>
            <w:top w:w="0" w:type="dxa"/>
            <w:left w:w="108" w:type="dxa"/>
            <w:bottom w:w="0" w:type="dxa"/>
            <w:right w:w="108" w:type="dxa"/>
          </w:tblCellMar>
        </w:tblPrEx>
        <w:trPr>
          <w:trHeight w:val="1664"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eastAsia"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sz w:val="20"/>
              </w:rPr>
            </w:pPr>
          </w:p>
        </w:tc>
        <w:tc>
          <w:tcPr>
            <w:tcW w:w="3764"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修复费用</w:t>
            </w:r>
            <w:r>
              <w:rPr>
                <w:rFonts w:ascii="仿宋" w:hAnsi="仿宋" w:eastAsia="仿宋" w:cs="宋体"/>
                <w:snapToGrid/>
                <w:sz w:val="20"/>
              </w:rPr>
              <w:t>需</w:t>
            </w:r>
            <w:r>
              <w:rPr>
                <w:rFonts w:hint="eastAsia" w:ascii="仿宋" w:hAnsi="仿宋" w:eastAsia="仿宋" w:cs="宋体"/>
                <w:snapToGrid/>
                <w:sz w:val="20"/>
              </w:rPr>
              <w:t>1</w:t>
            </w:r>
            <w:r>
              <w:rPr>
                <w:rFonts w:hint="eastAsia" w:ascii="仿宋" w:hAnsi="仿宋" w:eastAsia="仿宋" w:cs="宋体"/>
                <w:snapToGrid/>
                <w:sz w:val="20"/>
                <w:lang w:eastAsia="zh-CN"/>
              </w:rPr>
              <w:t>千</w:t>
            </w:r>
            <w:r>
              <w:rPr>
                <w:rFonts w:hint="eastAsia" w:ascii="仿宋" w:hAnsi="仿宋" w:eastAsia="仿宋" w:cs="宋体"/>
                <w:snapToGrid/>
                <w:sz w:val="20"/>
              </w:rPr>
              <w:t>元</w:t>
            </w:r>
            <w:r>
              <w:rPr>
                <w:rFonts w:ascii="仿宋" w:hAnsi="仿宋" w:eastAsia="仿宋" w:cs="宋体"/>
                <w:snapToGrid/>
                <w:sz w:val="20"/>
              </w:rPr>
              <w:t>以上</w:t>
            </w:r>
            <w:r>
              <w:rPr>
                <w:rFonts w:hint="eastAsia" w:ascii="仿宋" w:hAnsi="仿宋" w:eastAsia="仿宋" w:cs="宋体"/>
                <w:snapToGrid/>
                <w:sz w:val="20"/>
              </w:rPr>
              <w:t>的</w:t>
            </w:r>
            <w:r>
              <w:rPr>
                <w:rFonts w:ascii="仿宋" w:hAnsi="仿宋" w:eastAsia="仿宋" w:cs="宋体"/>
                <w:snapToGrid/>
                <w:sz w:val="20"/>
              </w:rPr>
              <w:t>。</w:t>
            </w:r>
          </w:p>
        </w:tc>
        <w:tc>
          <w:tcPr>
            <w:tcW w:w="1708" w:type="dxa"/>
            <w:tcBorders>
              <w:top w:val="single" w:color="auto" w:sz="4" w:space="0"/>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处500元</w:t>
            </w:r>
            <w:r>
              <w:rPr>
                <w:rFonts w:ascii="仿宋" w:hAnsi="仿宋" w:eastAsia="仿宋" w:cs="宋体"/>
                <w:snapToGrid/>
                <w:sz w:val="20"/>
              </w:rPr>
              <w:t>以上</w:t>
            </w:r>
            <w:r>
              <w:rPr>
                <w:rFonts w:hint="eastAsia" w:ascii="仿宋" w:hAnsi="仿宋" w:eastAsia="仿宋" w:cs="宋体"/>
                <w:snapToGrid/>
                <w:sz w:val="20"/>
              </w:rPr>
              <w:t>1</w:t>
            </w:r>
            <w:r>
              <w:rPr>
                <w:rFonts w:hint="eastAsia" w:ascii="仿宋" w:hAnsi="仿宋" w:eastAsia="仿宋" w:cs="宋体"/>
                <w:snapToGrid/>
                <w:sz w:val="20"/>
                <w:lang w:eastAsia="zh-CN"/>
              </w:rPr>
              <w:t>千</w:t>
            </w:r>
            <w:r>
              <w:rPr>
                <w:rFonts w:hint="eastAsia" w:ascii="仿宋" w:hAnsi="仿宋" w:eastAsia="仿宋" w:cs="宋体"/>
                <w:snapToGrid/>
                <w:sz w:val="20"/>
              </w:rPr>
              <w:t>元</w:t>
            </w:r>
            <w:r>
              <w:rPr>
                <w:rFonts w:ascii="仿宋" w:hAnsi="仿宋" w:eastAsia="仿宋" w:cs="宋体"/>
                <w:snapToGrid/>
                <w:sz w:val="20"/>
              </w:rPr>
              <w:t>以下罚款</w:t>
            </w:r>
            <w:r>
              <w:rPr>
                <w:rFonts w:hint="eastAsia" w:ascii="仿宋" w:hAnsi="仿宋" w:eastAsia="仿宋" w:cs="宋体"/>
                <w:snapToGrid/>
                <w:sz w:val="20"/>
                <w:lang w:eastAsia="zh-CN"/>
              </w:rPr>
              <w:t>。</w:t>
            </w:r>
          </w:p>
        </w:tc>
      </w:tr>
      <w:tr>
        <w:tblPrEx>
          <w:tblCellMar>
            <w:top w:w="0" w:type="dxa"/>
            <w:left w:w="108" w:type="dxa"/>
            <w:bottom w:w="0" w:type="dxa"/>
            <w:right w:w="108" w:type="dxa"/>
          </w:tblCellMar>
        </w:tblPrEx>
        <w:trPr>
          <w:trHeight w:val="2608" w:hRule="atLeast"/>
          <w:jc w:val="center"/>
        </w:trPr>
        <w:tc>
          <w:tcPr>
            <w:tcW w:w="572"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default" w:ascii="仿宋" w:hAnsi="仿宋" w:eastAsia="仿宋"/>
                <w:snapToGrid/>
                <w:sz w:val="20"/>
                <w:lang w:val="en-US" w:eastAsia="zh-CN"/>
              </w:rPr>
            </w:pPr>
            <w:r>
              <w:rPr>
                <w:rFonts w:hint="eastAsia" w:ascii="仿宋" w:hAnsi="仿宋" w:eastAsia="仿宋"/>
                <w:snapToGrid/>
                <w:sz w:val="20"/>
                <w:lang w:val="en-US" w:eastAsia="zh-CN"/>
              </w:rPr>
              <w:t>66</w:t>
            </w:r>
          </w:p>
        </w:tc>
        <w:tc>
          <w:tcPr>
            <w:tcW w:w="1691"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擅自编制行政区域界线详图，或者绘制的地图的行政区域界线的画法与行政区域界线详图的画法不一致</w:t>
            </w:r>
          </w:p>
        </w:tc>
        <w:tc>
          <w:tcPr>
            <w:tcW w:w="3764" w:type="dxa"/>
            <w:vMerge w:val="restart"/>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【行政法规】《行政区域界线管理条例》（国务院令第353号）</w:t>
            </w:r>
          </w:p>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 xml:space="preserve">    第十八条  违反本条例的规定，擅自编制行政区域界线详图，或者绘制的地图的行政区域界线的画法与行政区域界线详图的画法不一致的，由有关人民政府民政部门责令停止违法行为，没收违法编制的行政区域界线详图和违法所得，并处1万元以下的罚款。</w:t>
            </w: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擅自编制行政区域界线详图，累计2</w:t>
            </w:r>
            <w:r>
              <w:rPr>
                <w:rFonts w:hint="eastAsia" w:ascii="仿宋" w:hAnsi="仿宋" w:eastAsia="仿宋" w:cs="宋体"/>
                <w:snapToGrid/>
                <w:sz w:val="20"/>
                <w:lang w:eastAsia="zh-CN"/>
              </w:rPr>
              <w:t>千</w:t>
            </w:r>
            <w:r>
              <w:rPr>
                <w:rFonts w:hint="eastAsia" w:ascii="仿宋" w:hAnsi="仿宋" w:eastAsia="仿宋" w:cs="宋体"/>
                <w:snapToGrid/>
                <w:sz w:val="20"/>
              </w:rPr>
              <w:t>份以下的；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绘制行政区域界线的画法与行政区域界线详图的画法不一致的地图，累计2</w:t>
            </w:r>
            <w:r>
              <w:rPr>
                <w:rFonts w:hint="eastAsia" w:ascii="仿宋" w:hAnsi="仿宋" w:eastAsia="仿宋" w:cs="宋体"/>
                <w:snapToGrid/>
                <w:sz w:val="20"/>
                <w:lang w:eastAsia="zh-CN"/>
              </w:rPr>
              <w:t>千</w:t>
            </w:r>
            <w:r>
              <w:rPr>
                <w:rFonts w:hint="eastAsia" w:ascii="仿宋" w:hAnsi="仿宋" w:eastAsia="仿宋" w:cs="宋体"/>
                <w:snapToGrid/>
                <w:sz w:val="20"/>
              </w:rPr>
              <w:t>份以下的。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没收编制的行政区域界线详图和违法所得，并处2</w:t>
            </w:r>
            <w:r>
              <w:rPr>
                <w:rFonts w:hint="eastAsia" w:ascii="仿宋" w:hAnsi="仿宋" w:eastAsia="仿宋" w:cs="宋体"/>
                <w:snapToGrid/>
                <w:sz w:val="20"/>
                <w:lang w:eastAsia="zh-CN"/>
              </w:rPr>
              <w:t>千</w:t>
            </w:r>
            <w:r>
              <w:rPr>
                <w:rFonts w:hint="eastAsia" w:ascii="仿宋" w:hAnsi="仿宋" w:eastAsia="仿宋" w:cs="宋体"/>
                <w:snapToGrid/>
                <w:sz w:val="20"/>
              </w:rPr>
              <w:t>元以下罚款。</w:t>
            </w:r>
          </w:p>
        </w:tc>
      </w:tr>
      <w:tr>
        <w:tblPrEx>
          <w:tblCellMar>
            <w:top w:w="0" w:type="dxa"/>
            <w:left w:w="108" w:type="dxa"/>
            <w:bottom w:w="0" w:type="dxa"/>
            <w:right w:w="108" w:type="dxa"/>
          </w:tblCellMar>
        </w:tblPrEx>
        <w:trPr>
          <w:trHeight w:val="2608"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擅自编制行政区域界线详图，累计2</w:t>
            </w:r>
            <w:r>
              <w:rPr>
                <w:rFonts w:hint="eastAsia" w:ascii="仿宋" w:hAnsi="仿宋" w:eastAsia="仿宋" w:cs="宋体"/>
                <w:snapToGrid/>
                <w:sz w:val="20"/>
                <w:lang w:eastAsia="zh-CN"/>
              </w:rPr>
              <w:t>千</w:t>
            </w:r>
            <w:r>
              <w:rPr>
                <w:rFonts w:hint="eastAsia" w:ascii="仿宋" w:hAnsi="仿宋" w:eastAsia="仿宋" w:cs="宋体"/>
                <w:snapToGrid/>
                <w:sz w:val="20"/>
              </w:rPr>
              <w:t>份以上、5</w:t>
            </w:r>
            <w:r>
              <w:rPr>
                <w:rFonts w:hint="eastAsia" w:ascii="仿宋" w:hAnsi="仿宋" w:eastAsia="仿宋" w:cs="宋体"/>
                <w:snapToGrid/>
                <w:sz w:val="20"/>
                <w:lang w:eastAsia="zh-CN"/>
              </w:rPr>
              <w:t>千</w:t>
            </w:r>
            <w:r>
              <w:rPr>
                <w:rFonts w:hint="eastAsia" w:ascii="仿宋" w:hAnsi="仿宋" w:eastAsia="仿宋" w:cs="宋体"/>
                <w:snapToGrid/>
                <w:sz w:val="20"/>
              </w:rPr>
              <w:t>份以下的；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印制行政区域界线的画法与行政区域界线详图的画法不一致的地图，累计2</w:t>
            </w:r>
            <w:r>
              <w:rPr>
                <w:rFonts w:hint="eastAsia" w:ascii="仿宋" w:hAnsi="仿宋" w:eastAsia="仿宋" w:cs="宋体"/>
                <w:snapToGrid/>
                <w:sz w:val="20"/>
                <w:lang w:eastAsia="zh-CN"/>
              </w:rPr>
              <w:t>千</w:t>
            </w:r>
            <w:r>
              <w:rPr>
                <w:rFonts w:hint="eastAsia" w:ascii="仿宋" w:hAnsi="仿宋" w:eastAsia="仿宋" w:cs="宋体"/>
                <w:snapToGrid/>
                <w:sz w:val="20"/>
              </w:rPr>
              <w:t>份以上、5</w:t>
            </w:r>
            <w:r>
              <w:rPr>
                <w:rFonts w:hint="eastAsia" w:ascii="仿宋" w:hAnsi="仿宋" w:eastAsia="仿宋" w:cs="宋体"/>
                <w:snapToGrid/>
                <w:sz w:val="20"/>
                <w:lang w:eastAsia="zh-CN"/>
              </w:rPr>
              <w:t>千</w:t>
            </w:r>
            <w:r>
              <w:rPr>
                <w:rFonts w:hint="eastAsia" w:ascii="仿宋" w:hAnsi="仿宋" w:eastAsia="仿宋" w:cs="宋体"/>
                <w:snapToGrid/>
                <w:sz w:val="20"/>
              </w:rPr>
              <w:t>份以下的。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没收编制的行政区域界线详图和违法所得，并处2</w:t>
            </w:r>
            <w:r>
              <w:rPr>
                <w:rFonts w:hint="eastAsia" w:ascii="仿宋" w:hAnsi="仿宋" w:eastAsia="仿宋" w:cs="宋体"/>
                <w:snapToGrid/>
                <w:sz w:val="20"/>
                <w:lang w:eastAsia="zh-CN"/>
              </w:rPr>
              <w:t>千</w:t>
            </w:r>
            <w:r>
              <w:rPr>
                <w:rFonts w:hint="eastAsia" w:ascii="仿宋" w:hAnsi="仿宋" w:eastAsia="仿宋" w:cs="宋体"/>
                <w:snapToGrid/>
                <w:sz w:val="20"/>
              </w:rPr>
              <w:t>元以上5</w:t>
            </w:r>
            <w:r>
              <w:rPr>
                <w:rFonts w:hint="eastAsia" w:ascii="仿宋" w:hAnsi="仿宋" w:eastAsia="仿宋" w:cs="宋体"/>
                <w:snapToGrid/>
                <w:sz w:val="20"/>
                <w:lang w:eastAsia="zh-CN"/>
              </w:rPr>
              <w:t>千</w:t>
            </w:r>
            <w:r>
              <w:rPr>
                <w:rFonts w:hint="eastAsia" w:ascii="仿宋" w:hAnsi="仿宋" w:eastAsia="仿宋" w:cs="宋体"/>
                <w:snapToGrid/>
                <w:sz w:val="20"/>
              </w:rPr>
              <w:t>元以下罚款。</w:t>
            </w:r>
          </w:p>
        </w:tc>
      </w:tr>
      <w:tr>
        <w:tblPrEx>
          <w:tblCellMar>
            <w:top w:w="0" w:type="dxa"/>
            <w:left w:w="108" w:type="dxa"/>
            <w:bottom w:w="0" w:type="dxa"/>
            <w:right w:w="108" w:type="dxa"/>
          </w:tblCellMar>
        </w:tblPrEx>
        <w:trPr>
          <w:trHeight w:val="2608" w:hRule="atLeast"/>
          <w:jc w:val="center"/>
        </w:trPr>
        <w:tc>
          <w:tcPr>
            <w:tcW w:w="572"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3764" w:type="dxa"/>
            <w:vMerge w:val="continue"/>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擅自编制行政区域界线详图，累计5</w:t>
            </w:r>
            <w:r>
              <w:rPr>
                <w:rFonts w:hint="eastAsia" w:ascii="仿宋" w:hAnsi="仿宋" w:eastAsia="仿宋" w:cs="宋体"/>
                <w:snapToGrid/>
                <w:sz w:val="20"/>
                <w:lang w:eastAsia="zh-CN"/>
              </w:rPr>
              <w:t>千</w:t>
            </w:r>
            <w:r>
              <w:rPr>
                <w:rFonts w:hint="eastAsia" w:ascii="仿宋" w:hAnsi="仿宋" w:eastAsia="仿宋" w:cs="宋体"/>
                <w:snapToGrid/>
                <w:sz w:val="20"/>
              </w:rPr>
              <w:t>份以上的；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印制行政区域界线的画法与行政区域界线详图的画法不一致的地图，累计5</w:t>
            </w:r>
            <w:r>
              <w:rPr>
                <w:rFonts w:hint="eastAsia" w:ascii="仿宋" w:hAnsi="仿宋" w:eastAsia="仿宋" w:cs="宋体"/>
                <w:snapToGrid/>
                <w:sz w:val="20"/>
                <w:lang w:eastAsia="zh-CN"/>
              </w:rPr>
              <w:t>千</w:t>
            </w:r>
            <w:r>
              <w:rPr>
                <w:rFonts w:hint="eastAsia" w:ascii="仿宋" w:hAnsi="仿宋" w:eastAsia="仿宋" w:cs="宋体"/>
                <w:snapToGrid/>
                <w:sz w:val="20"/>
              </w:rPr>
              <w:t>份及以上的。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没收编制的行政区域界线详图和违法所得，并处以5</w:t>
            </w:r>
            <w:r>
              <w:rPr>
                <w:rFonts w:hint="eastAsia" w:ascii="仿宋" w:hAnsi="仿宋" w:eastAsia="仿宋" w:cs="宋体"/>
                <w:snapToGrid/>
                <w:sz w:val="20"/>
                <w:lang w:eastAsia="zh-CN"/>
              </w:rPr>
              <w:t>千</w:t>
            </w:r>
            <w:r>
              <w:rPr>
                <w:rFonts w:hint="eastAsia" w:ascii="仿宋" w:hAnsi="仿宋" w:eastAsia="仿宋" w:cs="宋体"/>
                <w:snapToGrid/>
                <w:sz w:val="20"/>
              </w:rPr>
              <w:t>元以上1万元以下罚款。</w:t>
            </w:r>
          </w:p>
        </w:tc>
      </w:tr>
      <w:tr>
        <w:tblPrEx>
          <w:tblCellMar>
            <w:top w:w="0" w:type="dxa"/>
            <w:left w:w="108" w:type="dxa"/>
            <w:bottom w:w="0" w:type="dxa"/>
            <w:right w:w="108" w:type="dxa"/>
          </w:tblCellMar>
        </w:tblPrEx>
        <w:trPr>
          <w:trHeight w:val="2608" w:hRule="atLeast"/>
          <w:jc w:val="center"/>
        </w:trPr>
        <w:tc>
          <w:tcPr>
            <w:tcW w:w="572"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100" w:firstLineChars="50"/>
              <w:jc w:val="left"/>
              <w:rPr>
                <w:rFonts w:hint="default" w:ascii="仿宋" w:hAnsi="仿宋" w:eastAsia="仿宋"/>
                <w:snapToGrid/>
                <w:sz w:val="20"/>
                <w:lang w:val="en-US" w:eastAsia="zh-CN"/>
              </w:rPr>
            </w:pPr>
            <w:r>
              <w:rPr>
                <w:rFonts w:hint="eastAsia" w:ascii="仿宋" w:hAnsi="仿宋" w:eastAsia="仿宋"/>
                <w:snapToGrid/>
                <w:sz w:val="20"/>
                <w:lang w:val="en-US" w:eastAsia="zh-CN"/>
              </w:rPr>
              <w:t>67</w:t>
            </w:r>
          </w:p>
        </w:tc>
        <w:tc>
          <w:tcPr>
            <w:tcW w:w="1691"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rPr>
                <w:rFonts w:ascii="仿宋" w:hAnsi="仿宋" w:eastAsia="仿宋" w:cs="宋体"/>
                <w:snapToGrid/>
                <w:sz w:val="20"/>
              </w:rPr>
            </w:pPr>
            <w:r>
              <w:rPr>
                <w:rFonts w:hint="eastAsia" w:ascii="仿宋" w:hAnsi="仿宋" w:eastAsia="仿宋" w:cs="宋体"/>
                <w:snapToGrid/>
                <w:sz w:val="20"/>
              </w:rPr>
              <w:t>擅自进行地名命名、更名</w:t>
            </w:r>
          </w:p>
        </w:tc>
        <w:tc>
          <w:tcPr>
            <w:tcW w:w="3764" w:type="dxa"/>
            <w:vMerge w:val="restart"/>
            <w:tcBorders>
              <w:top w:val="nil"/>
              <w:left w:val="single" w:color="auto" w:sz="4" w:space="0"/>
              <w:right w:val="single" w:color="auto" w:sz="4" w:space="0"/>
            </w:tcBorders>
            <w:noWrap w:val="0"/>
            <w:vAlign w:val="center"/>
          </w:tcPr>
          <w:p>
            <w:pPr>
              <w:widowControl/>
              <w:autoSpaceDE/>
              <w:autoSpaceDN/>
              <w:snapToGrid/>
              <w:spacing w:line="300" w:lineRule="exact"/>
              <w:ind w:firstLine="0"/>
              <w:rPr>
                <w:rFonts w:ascii="仿宋" w:hAnsi="仿宋" w:eastAsia="仿宋" w:cs="宋体"/>
                <w:snapToGrid/>
                <w:sz w:val="20"/>
              </w:rPr>
            </w:pPr>
            <w:r>
              <w:rPr>
                <w:rFonts w:hint="eastAsia" w:ascii="仿宋" w:hAnsi="仿宋" w:eastAsia="仿宋" w:cs="宋体"/>
                <w:snapToGrid/>
                <w:sz w:val="20"/>
              </w:rPr>
              <w:t>【规章】《地名管理</w:t>
            </w:r>
            <w:r>
              <w:rPr>
                <w:rFonts w:ascii="仿宋" w:hAnsi="仿宋" w:eastAsia="仿宋" w:cs="宋体"/>
                <w:snapToGrid/>
                <w:sz w:val="20"/>
              </w:rPr>
              <w:t>条例实施细则</w:t>
            </w:r>
            <w:r>
              <w:rPr>
                <w:rFonts w:hint="eastAsia" w:ascii="仿宋" w:hAnsi="仿宋" w:eastAsia="仿宋" w:cs="宋体"/>
                <w:snapToGrid/>
                <w:sz w:val="20"/>
              </w:rPr>
              <w:t>》（民</w:t>
            </w:r>
            <w:r>
              <w:rPr>
                <w:rFonts w:ascii="仿宋" w:hAnsi="仿宋" w:eastAsia="仿宋" w:cs="宋体"/>
                <w:snapToGrid/>
                <w:sz w:val="20"/>
              </w:rPr>
              <w:t>行发</w:t>
            </w:r>
            <w:r>
              <w:rPr>
                <w:rFonts w:hint="eastAsia" w:ascii="仿宋" w:hAnsi="仿宋" w:eastAsia="仿宋" w:cs="宋体"/>
                <w:snapToGrid/>
                <w:sz w:val="20"/>
              </w:rPr>
              <w:t>〔1996〕17号）</w:t>
            </w:r>
          </w:p>
          <w:p>
            <w:pPr>
              <w:widowControl/>
              <w:autoSpaceDE/>
              <w:autoSpaceDN/>
              <w:snapToGrid/>
              <w:spacing w:line="300" w:lineRule="exact"/>
              <w:ind w:firstLine="0"/>
              <w:rPr>
                <w:rFonts w:hint="eastAsia" w:ascii="仿宋" w:hAnsi="仿宋" w:eastAsia="仿宋" w:cs="宋体"/>
                <w:snapToGrid/>
                <w:sz w:val="20"/>
              </w:rPr>
            </w:pPr>
            <w:r>
              <w:rPr>
                <w:rFonts w:ascii="仿宋" w:hAnsi="仿宋" w:eastAsia="仿宋" w:cs="宋体"/>
                <w:snapToGrid/>
                <w:sz w:val="20"/>
              </w:rPr>
              <w:t xml:space="preserve">    </w:t>
            </w:r>
            <w:r>
              <w:rPr>
                <w:rFonts w:hint="eastAsia" w:ascii="仿宋" w:hAnsi="仿宋" w:eastAsia="仿宋" w:cs="宋体"/>
                <w:snapToGrid/>
                <w:sz w:val="20"/>
              </w:rPr>
              <w:t>第</w:t>
            </w:r>
            <w:r>
              <w:rPr>
                <w:rFonts w:ascii="仿宋" w:hAnsi="仿宋" w:eastAsia="仿宋" w:cs="宋体"/>
                <w:snapToGrid/>
                <w:sz w:val="20"/>
              </w:rPr>
              <w:t>三十二条</w:t>
            </w:r>
            <w:r>
              <w:rPr>
                <w:rFonts w:hint="eastAsia" w:ascii="仿宋" w:hAnsi="仿宋" w:eastAsia="仿宋" w:cs="宋体"/>
                <w:snapToGrid/>
                <w:sz w:val="20"/>
              </w:rPr>
              <w:t xml:space="preserve">  各级</w:t>
            </w:r>
            <w:r>
              <w:rPr>
                <w:rFonts w:ascii="仿宋" w:hAnsi="仿宋" w:eastAsia="仿宋" w:cs="宋体"/>
                <w:snapToGrid/>
                <w:sz w:val="20"/>
              </w:rPr>
              <w:t>地名管理部门应当加强地名工作的管理、监督和检查。对</w:t>
            </w:r>
            <w:r>
              <w:rPr>
                <w:rFonts w:hint="eastAsia" w:ascii="仿宋" w:hAnsi="仿宋" w:eastAsia="仿宋" w:cs="宋体"/>
                <w:snapToGrid/>
                <w:sz w:val="20"/>
              </w:rPr>
              <w:t>擅自</w:t>
            </w:r>
            <w:r>
              <w:rPr>
                <w:rFonts w:ascii="仿宋" w:hAnsi="仿宋" w:eastAsia="仿宋" w:cs="宋体"/>
                <w:snapToGrid/>
                <w:sz w:val="20"/>
              </w:rPr>
              <w:t>命名、更名或使用不规范地名的单位和个人，应发送违章使用地名通知书，限期纠正；对逾期不改或</w:t>
            </w:r>
            <w:r>
              <w:rPr>
                <w:rFonts w:hint="eastAsia" w:ascii="仿宋" w:hAnsi="仿宋" w:eastAsia="仿宋" w:cs="宋体"/>
                <w:snapToGrid/>
                <w:sz w:val="20"/>
              </w:rPr>
              <w:t>情节</w:t>
            </w:r>
            <w:r>
              <w:rPr>
                <w:rFonts w:ascii="仿宋" w:hAnsi="仿宋" w:eastAsia="仿宋" w:cs="宋体"/>
                <w:snapToGrid/>
                <w:sz w:val="20"/>
              </w:rPr>
              <w:t>严重、造成不良后果者，地名管理</w:t>
            </w:r>
            <w:r>
              <w:rPr>
                <w:rFonts w:hint="eastAsia" w:ascii="仿宋" w:hAnsi="仿宋" w:eastAsia="仿宋" w:cs="宋体"/>
                <w:snapToGrid/>
                <w:sz w:val="20"/>
              </w:rPr>
              <w:t>部门</w:t>
            </w:r>
            <w:r>
              <w:rPr>
                <w:rFonts w:ascii="仿宋" w:hAnsi="仿宋" w:eastAsia="仿宋" w:cs="宋体"/>
                <w:snapToGrid/>
                <w:sz w:val="20"/>
              </w:rPr>
              <w:t>应根据有关规定，对其进行处罚。</w:t>
            </w:r>
          </w:p>
          <w:p>
            <w:pPr>
              <w:widowControl/>
              <w:autoSpaceDE/>
              <w:autoSpaceDN/>
              <w:snapToGrid/>
              <w:spacing w:line="300" w:lineRule="exact"/>
              <w:ind w:firstLine="0"/>
              <w:rPr>
                <w:rFonts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 xml:space="preserve">擅自对地名命名、更名，但未通过媒体向社会宣传，社会影响程度较小的。 </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警告</w:t>
            </w:r>
            <w:r>
              <w:rPr>
                <w:rFonts w:ascii="仿宋" w:hAnsi="仿宋" w:eastAsia="仿宋" w:cs="宋体"/>
                <w:snapToGrid/>
                <w:sz w:val="20"/>
              </w:rPr>
              <w:t>，并</w:t>
            </w:r>
            <w:r>
              <w:rPr>
                <w:rFonts w:hint="eastAsia" w:ascii="仿宋" w:hAnsi="仿宋" w:eastAsia="仿宋" w:cs="宋体"/>
                <w:snapToGrid/>
                <w:sz w:val="20"/>
              </w:rPr>
              <w:t>处500元以上800元以下罚款。</w:t>
            </w:r>
          </w:p>
        </w:tc>
      </w:tr>
      <w:tr>
        <w:tblPrEx>
          <w:tblCellMar>
            <w:top w:w="0" w:type="dxa"/>
            <w:left w:w="108" w:type="dxa"/>
            <w:bottom w:w="0" w:type="dxa"/>
            <w:right w:w="108" w:type="dxa"/>
          </w:tblCellMar>
        </w:tblPrEx>
        <w:trPr>
          <w:trHeight w:val="2242"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3764"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hint="eastAsia" w:ascii="仿宋" w:hAnsi="仿宋" w:eastAsia="仿宋" w:cs="宋体"/>
                <w:snapToGrid/>
                <w:sz w:val="20"/>
              </w:rPr>
            </w:pPr>
            <w:r>
              <w:rPr>
                <w:rFonts w:hint="eastAsia" w:ascii="仿宋" w:hAnsi="仿宋" w:eastAsia="仿宋" w:cs="宋体"/>
                <w:snapToGrid/>
                <w:sz w:val="20"/>
              </w:rPr>
              <w:t>擅自对地名命名、更名，并通过媒体向社会宣传，产生不良影响并造成社会危害后果的。</w:t>
            </w:r>
          </w:p>
        </w:tc>
        <w:tc>
          <w:tcPr>
            <w:tcW w:w="1708" w:type="dxa"/>
            <w:tcBorders>
              <w:top w:val="single" w:color="auto" w:sz="4" w:space="0"/>
              <w:left w:val="nil"/>
              <w:bottom w:val="single" w:color="auto" w:sz="4" w:space="0"/>
              <w:right w:val="single" w:color="auto" w:sz="4" w:space="0"/>
            </w:tcBorders>
            <w:noWrap w:val="0"/>
            <w:vAlign w:val="center"/>
          </w:tcPr>
          <w:p>
            <w:pPr>
              <w:widowControl/>
              <w:autoSpaceDE/>
              <w:autoSpaceDN/>
              <w:snapToGrid/>
              <w:spacing w:line="280" w:lineRule="exact"/>
              <w:ind w:firstLine="0"/>
              <w:rPr>
                <w:rFonts w:hint="eastAsia" w:ascii="仿宋" w:hAnsi="仿宋" w:eastAsia="仿宋" w:cs="宋体"/>
                <w:snapToGrid/>
                <w:sz w:val="20"/>
              </w:rPr>
            </w:pPr>
            <w:r>
              <w:rPr>
                <w:rFonts w:hint="eastAsia" w:ascii="仿宋" w:hAnsi="仿宋" w:eastAsia="仿宋" w:cs="宋体"/>
                <w:snapToGrid/>
                <w:sz w:val="20"/>
              </w:rPr>
              <w:t>警告</w:t>
            </w:r>
            <w:r>
              <w:rPr>
                <w:rFonts w:ascii="仿宋" w:hAnsi="仿宋" w:eastAsia="仿宋" w:cs="宋体"/>
                <w:snapToGrid/>
                <w:sz w:val="20"/>
              </w:rPr>
              <w:t>，并</w:t>
            </w:r>
            <w:r>
              <w:rPr>
                <w:rFonts w:hint="eastAsia" w:ascii="仿宋" w:hAnsi="仿宋" w:eastAsia="仿宋" w:cs="宋体"/>
                <w:snapToGrid/>
                <w:sz w:val="20"/>
              </w:rPr>
              <w:t>处800元以上1</w:t>
            </w:r>
            <w:r>
              <w:rPr>
                <w:rFonts w:hint="eastAsia" w:ascii="仿宋" w:hAnsi="仿宋" w:eastAsia="仿宋" w:cs="宋体"/>
                <w:snapToGrid/>
                <w:sz w:val="20"/>
                <w:lang w:eastAsia="zh-CN"/>
              </w:rPr>
              <w:t>千</w:t>
            </w:r>
            <w:r>
              <w:rPr>
                <w:rFonts w:hint="eastAsia" w:ascii="仿宋" w:hAnsi="仿宋" w:eastAsia="仿宋" w:cs="宋体"/>
                <w:snapToGrid/>
                <w:sz w:val="20"/>
              </w:rPr>
              <w:t>元以下罚款。</w:t>
            </w:r>
          </w:p>
        </w:tc>
      </w:tr>
      <w:tr>
        <w:tblPrEx>
          <w:tblCellMar>
            <w:top w:w="0" w:type="dxa"/>
            <w:left w:w="108" w:type="dxa"/>
            <w:bottom w:w="0" w:type="dxa"/>
            <w:right w:w="108" w:type="dxa"/>
          </w:tblCellMar>
        </w:tblPrEx>
        <w:trPr>
          <w:trHeight w:val="397" w:hRule="atLeast"/>
          <w:jc w:val="center"/>
        </w:trPr>
        <w:tc>
          <w:tcPr>
            <w:tcW w:w="9639" w:type="dxa"/>
            <w:gridSpan w:val="5"/>
            <w:tcBorders>
              <w:top w:val="nil"/>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center"/>
              <w:rPr>
                <w:rFonts w:hint="eastAsia" w:ascii="黑体" w:hAnsi="黑体" w:eastAsia="黑体" w:cs="宋体"/>
                <w:snapToGrid/>
                <w:sz w:val="21"/>
              </w:rPr>
            </w:pPr>
            <w:r>
              <w:rPr>
                <w:rFonts w:hint="eastAsia" w:ascii="黑体" w:hAnsi="黑体" w:eastAsia="黑体" w:cs="宋体"/>
                <w:snapToGrid/>
                <w:sz w:val="21"/>
              </w:rPr>
              <w:t>八</w:t>
            </w:r>
            <w:r>
              <w:rPr>
                <w:rFonts w:ascii="黑体" w:hAnsi="黑体" w:eastAsia="黑体" w:cs="宋体"/>
                <w:snapToGrid/>
                <w:sz w:val="21"/>
              </w:rPr>
              <w:t>、</w:t>
            </w:r>
            <w:r>
              <w:rPr>
                <w:rFonts w:hint="eastAsia" w:ascii="黑体" w:hAnsi="黑体" w:eastAsia="黑体" w:cs="宋体"/>
                <w:snapToGrid/>
                <w:sz w:val="21"/>
                <w:lang w:val="en-US" w:eastAsia="zh-CN"/>
              </w:rPr>
              <w:t>彩票</w:t>
            </w:r>
            <w:r>
              <w:rPr>
                <w:rFonts w:ascii="黑体" w:hAnsi="黑体" w:eastAsia="黑体" w:cs="宋体"/>
                <w:snapToGrid/>
                <w:sz w:val="21"/>
              </w:rPr>
              <w:t>管理</w:t>
            </w:r>
          </w:p>
        </w:tc>
      </w:tr>
      <w:tr>
        <w:tblPrEx>
          <w:tblCellMar>
            <w:top w:w="0" w:type="dxa"/>
            <w:left w:w="108" w:type="dxa"/>
            <w:bottom w:w="0" w:type="dxa"/>
            <w:right w:w="108" w:type="dxa"/>
          </w:tblCellMar>
        </w:tblPrEx>
        <w:trPr>
          <w:trHeight w:val="1531" w:hRule="atLeast"/>
          <w:jc w:val="center"/>
        </w:trPr>
        <w:tc>
          <w:tcPr>
            <w:tcW w:w="572" w:type="dxa"/>
            <w:vMerge w:val="restart"/>
            <w:tcBorders>
              <w:top w:val="nil"/>
              <w:left w:val="single" w:color="auto" w:sz="4" w:space="0"/>
              <w:right w:val="single" w:color="auto" w:sz="4" w:space="0"/>
            </w:tcBorders>
            <w:noWrap w:val="0"/>
            <w:vAlign w:val="center"/>
          </w:tcPr>
          <w:p>
            <w:pPr>
              <w:widowControl/>
              <w:autoSpaceDE/>
              <w:autoSpaceDN/>
              <w:snapToGrid/>
              <w:spacing w:line="280" w:lineRule="exact"/>
              <w:ind w:firstLine="0"/>
              <w:jc w:val="left"/>
              <w:rPr>
                <w:rFonts w:hint="default" w:ascii="仿宋" w:hAnsi="仿宋" w:eastAsia="仿宋"/>
                <w:snapToGrid/>
                <w:sz w:val="20"/>
                <w:lang w:val="en-US" w:eastAsia="zh-CN"/>
              </w:rPr>
            </w:pPr>
            <w:r>
              <w:rPr>
                <w:rFonts w:hint="eastAsia" w:ascii="仿宋" w:hAnsi="仿宋" w:eastAsia="仿宋"/>
                <w:snapToGrid/>
                <w:sz w:val="20"/>
              </w:rPr>
              <w:t xml:space="preserve"> </w:t>
            </w:r>
            <w:r>
              <w:rPr>
                <w:rFonts w:hint="eastAsia" w:ascii="仿宋" w:hAnsi="仿宋" w:eastAsia="仿宋"/>
                <w:snapToGrid/>
                <w:sz w:val="20"/>
                <w:lang w:val="en-US" w:eastAsia="zh-CN"/>
              </w:rPr>
              <w:t>68</w:t>
            </w:r>
          </w:p>
        </w:tc>
        <w:tc>
          <w:tcPr>
            <w:tcW w:w="1691" w:type="dxa"/>
            <w:vMerge w:val="restart"/>
            <w:tcBorders>
              <w:top w:val="nil"/>
              <w:left w:val="single" w:color="auto" w:sz="4" w:space="0"/>
              <w:right w:val="single" w:color="auto" w:sz="4" w:space="0"/>
            </w:tcBorders>
            <w:noWrap w:val="0"/>
            <w:vAlign w:val="center"/>
          </w:tcPr>
          <w:p>
            <w:pPr>
              <w:widowControl/>
              <w:autoSpaceDE/>
              <w:autoSpaceDN/>
              <w:snapToGrid/>
              <w:spacing w:line="300" w:lineRule="exact"/>
              <w:ind w:firstLine="0"/>
              <w:rPr>
                <w:rFonts w:hint="default"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违规销售彩票行为</w:t>
            </w:r>
          </w:p>
          <w:p>
            <w:pPr>
              <w:widowControl/>
              <w:autoSpaceDE/>
              <w:autoSpaceDN/>
              <w:snapToGrid/>
              <w:spacing w:line="300" w:lineRule="exact"/>
              <w:ind w:firstLine="0"/>
              <w:rPr>
                <w:rFonts w:hint="eastAsia" w:ascii="仿宋" w:hAnsi="仿宋" w:eastAsia="仿宋" w:cs="宋体"/>
                <w:snapToGrid/>
                <w:sz w:val="20"/>
                <w:szCs w:val="22"/>
              </w:rPr>
            </w:pPr>
          </w:p>
        </w:tc>
        <w:tc>
          <w:tcPr>
            <w:tcW w:w="3764"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eastAsia="zh-CN"/>
              </w:rPr>
            </w:pPr>
            <w:r>
              <w:rPr>
                <w:rFonts w:hint="eastAsia" w:ascii="仿宋" w:hAnsi="仿宋" w:eastAsia="仿宋" w:cs="宋体"/>
                <w:snapToGrid/>
                <w:sz w:val="20"/>
              </w:rPr>
              <w:t>【行政法规】</w:t>
            </w:r>
            <w:r>
              <w:rPr>
                <w:rFonts w:hint="eastAsia" w:ascii="仿宋" w:hAnsi="仿宋" w:eastAsia="仿宋" w:cs="宋体"/>
                <w:snapToGrid/>
                <w:sz w:val="20"/>
                <w:szCs w:val="22"/>
              </w:rPr>
              <w:t>《彩票管理条例》</w:t>
            </w:r>
            <w:r>
              <w:rPr>
                <w:rFonts w:hint="eastAsia" w:ascii="仿宋" w:hAnsi="仿宋" w:eastAsia="仿宋" w:cs="宋体"/>
                <w:snapToGrid/>
                <w:sz w:val="20"/>
                <w:szCs w:val="22"/>
                <w:lang w:eastAsia="zh-CN"/>
              </w:rPr>
              <w:t>（</w:t>
            </w:r>
            <w:r>
              <w:rPr>
                <w:rFonts w:hint="eastAsia" w:ascii="仿宋" w:hAnsi="仿宋" w:eastAsia="仿宋" w:cs="宋体"/>
                <w:snapToGrid/>
                <w:sz w:val="20"/>
                <w:szCs w:val="22"/>
              </w:rPr>
              <w:t>国务院令第554号</w:t>
            </w:r>
            <w:r>
              <w:rPr>
                <w:rFonts w:hint="eastAsia" w:ascii="仿宋" w:hAnsi="仿宋" w:eastAsia="仿宋" w:cs="宋体"/>
                <w:snapToGrid/>
                <w:sz w:val="20"/>
                <w:szCs w:val="22"/>
                <w:lang w:eastAsia="zh-CN"/>
              </w:rPr>
              <w:t>）</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第四十一条：彩票代销者有下列行为之一的，由民政部门、体育行政部门责令改正，处2000元以上1万元以下罚款；有违法所得的，没收违法所得：（一）委托他人代销彩票或者转借、出租、出售彩票投注专用设备的；（二）进行虚假性、误导性宣传的；（三）以诋毁同业者等手段进行不正当竞争的；（四）向未成年人销售彩票的；（五）以赊销或者信用方式销售彩票的。</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造成较小社会危害的。</w:t>
            </w:r>
          </w:p>
        </w:tc>
        <w:tc>
          <w:tcPr>
            <w:tcW w:w="170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警告，没收违法所得，并处2000元以下罚款。</w:t>
            </w:r>
          </w:p>
        </w:tc>
      </w:tr>
      <w:tr>
        <w:tblPrEx>
          <w:tblCellMar>
            <w:top w:w="0" w:type="dxa"/>
            <w:left w:w="108" w:type="dxa"/>
            <w:bottom w:w="0" w:type="dxa"/>
            <w:right w:w="108" w:type="dxa"/>
          </w:tblCellMar>
        </w:tblPrEx>
        <w:trPr>
          <w:trHeight w:val="1531" w:hRule="atLeast"/>
          <w:jc w:val="center"/>
        </w:trPr>
        <w:tc>
          <w:tcPr>
            <w:tcW w:w="572"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right w:val="single" w:color="auto" w:sz="4" w:space="0"/>
            </w:tcBorders>
            <w:noWrap w:val="0"/>
            <w:vAlign w:val="center"/>
          </w:tcPr>
          <w:p>
            <w:pPr>
              <w:widowControl/>
              <w:autoSpaceDE/>
              <w:autoSpaceDN/>
              <w:snapToGrid/>
              <w:spacing w:line="300" w:lineRule="exact"/>
              <w:ind w:firstLine="0"/>
              <w:rPr>
                <w:rFonts w:hint="eastAsia" w:ascii="仿宋" w:hAnsi="仿宋" w:eastAsia="仿宋" w:cs="宋体"/>
                <w:snapToGrid/>
                <w:sz w:val="20"/>
                <w:szCs w:val="22"/>
              </w:rPr>
            </w:pPr>
          </w:p>
        </w:tc>
        <w:tc>
          <w:tcPr>
            <w:tcW w:w="376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造成较大社会危害的。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警告，没收违法所得，并处2000元以上5000元以下罚款。</w:t>
            </w:r>
          </w:p>
        </w:tc>
      </w:tr>
      <w:tr>
        <w:tblPrEx>
          <w:tblCellMar>
            <w:top w:w="0" w:type="dxa"/>
            <w:left w:w="108" w:type="dxa"/>
            <w:bottom w:w="0" w:type="dxa"/>
            <w:right w:w="108" w:type="dxa"/>
          </w:tblCellMar>
        </w:tblPrEx>
        <w:trPr>
          <w:trHeight w:val="1531"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300" w:lineRule="exact"/>
              <w:ind w:firstLine="0"/>
              <w:rPr>
                <w:rFonts w:hint="eastAsia" w:ascii="仿宋" w:hAnsi="仿宋" w:eastAsia="仿宋" w:cs="宋体"/>
                <w:snapToGrid/>
                <w:sz w:val="20"/>
                <w:szCs w:val="22"/>
              </w:rPr>
            </w:pPr>
          </w:p>
        </w:tc>
        <w:tc>
          <w:tcPr>
            <w:tcW w:w="3764"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rPr>
            </w:pPr>
          </w:p>
        </w:tc>
        <w:tc>
          <w:tcPr>
            <w:tcW w:w="1904"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造成严重社会危害的。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没收违法所得，处5000元以上10000元以下罚款，并建议彩票发行机构、彩票销售机构解除彩票代销合同。</w:t>
            </w:r>
          </w:p>
        </w:tc>
      </w:tr>
      <w:tr>
        <w:tblPrEx>
          <w:tblCellMar>
            <w:top w:w="0" w:type="dxa"/>
            <w:left w:w="108" w:type="dxa"/>
            <w:bottom w:w="0" w:type="dxa"/>
            <w:right w:w="108" w:type="dxa"/>
          </w:tblCellMar>
        </w:tblPrEx>
        <w:trPr>
          <w:trHeight w:val="343" w:hRule="atLeast"/>
          <w:jc w:val="center"/>
        </w:trPr>
        <w:tc>
          <w:tcPr>
            <w:tcW w:w="9639" w:type="dxa"/>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jc w:val="center"/>
              <w:textAlignment w:val="auto"/>
              <w:rPr>
                <w:rFonts w:ascii="仿宋" w:hAnsi="仿宋" w:eastAsia="仿宋" w:cs="宋体"/>
                <w:snapToGrid/>
                <w:sz w:val="20"/>
              </w:rPr>
            </w:pPr>
            <w:r>
              <w:rPr>
                <w:rFonts w:hint="eastAsia" w:ascii="黑体" w:hAnsi="黑体" w:eastAsia="黑体" w:cs="宋体"/>
                <w:snapToGrid/>
                <w:sz w:val="21"/>
                <w:lang w:val="en-US" w:eastAsia="zh-CN"/>
              </w:rPr>
              <w:t>九</w:t>
            </w:r>
            <w:r>
              <w:rPr>
                <w:rFonts w:ascii="黑体" w:hAnsi="黑体" w:eastAsia="黑体" w:cs="宋体"/>
                <w:snapToGrid/>
                <w:sz w:val="21"/>
              </w:rPr>
              <w:t>、殡葬管理</w:t>
            </w:r>
          </w:p>
        </w:tc>
      </w:tr>
      <w:tr>
        <w:tblPrEx>
          <w:tblCellMar>
            <w:top w:w="0" w:type="dxa"/>
            <w:left w:w="108" w:type="dxa"/>
            <w:bottom w:w="0" w:type="dxa"/>
            <w:right w:w="108" w:type="dxa"/>
          </w:tblCellMar>
        </w:tblPrEx>
        <w:trPr>
          <w:trHeight w:val="2381" w:hRule="atLeast"/>
          <w:jc w:val="center"/>
        </w:trPr>
        <w:tc>
          <w:tcPr>
            <w:tcW w:w="572" w:type="dxa"/>
            <w:vMerge w:val="restart"/>
            <w:tcBorders>
              <w:top w:val="single" w:color="auto" w:sz="4" w:space="0"/>
              <w:left w:val="single" w:color="auto" w:sz="4" w:space="0"/>
              <w:right w:val="single" w:color="auto" w:sz="4" w:space="0"/>
            </w:tcBorders>
            <w:noWrap w:val="0"/>
            <w:vAlign w:val="center"/>
          </w:tcPr>
          <w:p>
            <w:pPr>
              <w:widowControl/>
              <w:autoSpaceDE/>
              <w:autoSpaceDN/>
              <w:snapToGrid/>
              <w:spacing w:line="280" w:lineRule="exact"/>
              <w:ind w:firstLine="0"/>
              <w:jc w:val="left"/>
              <w:rPr>
                <w:rFonts w:hint="default" w:ascii="仿宋" w:hAnsi="仿宋" w:eastAsia="仿宋"/>
                <w:snapToGrid/>
                <w:sz w:val="20"/>
                <w:lang w:val="en-US" w:eastAsia="zh-CN"/>
              </w:rPr>
            </w:pPr>
            <w:r>
              <w:rPr>
                <w:rFonts w:hint="eastAsia" w:ascii="仿宋" w:hAnsi="仿宋" w:eastAsia="仿宋"/>
                <w:snapToGrid/>
                <w:sz w:val="20"/>
                <w:lang w:val="en-US" w:eastAsia="zh-CN"/>
              </w:rPr>
              <w:t>69</w:t>
            </w:r>
          </w:p>
        </w:tc>
        <w:tc>
          <w:tcPr>
            <w:tcW w:w="1691" w:type="dxa"/>
            <w:vMerge w:val="restart"/>
            <w:tcBorders>
              <w:top w:val="single" w:color="auto" w:sz="4" w:space="0"/>
              <w:left w:val="single" w:color="auto" w:sz="4" w:space="0"/>
              <w:right w:val="single" w:color="auto" w:sz="4" w:space="0"/>
            </w:tcBorders>
            <w:noWrap w:val="0"/>
            <w:vAlign w:val="center"/>
          </w:tcPr>
          <w:p>
            <w:pPr>
              <w:widowControl/>
              <w:autoSpaceDE/>
              <w:autoSpaceDN/>
              <w:snapToGrid/>
              <w:spacing w:line="300" w:lineRule="exact"/>
              <w:ind w:firstLine="0"/>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未经批准，擅自兴建殡葬设施</w:t>
            </w:r>
          </w:p>
        </w:tc>
        <w:tc>
          <w:tcPr>
            <w:tcW w:w="3764"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ascii="仿宋" w:hAnsi="仿宋" w:eastAsia="仿宋" w:cs="宋体"/>
                <w:snapToGrid/>
                <w:sz w:val="20"/>
              </w:rPr>
            </w:pPr>
            <w:r>
              <w:rPr>
                <w:rFonts w:hint="eastAsia" w:ascii="仿宋" w:hAnsi="仿宋" w:eastAsia="仿宋" w:cs="宋体"/>
                <w:snapToGrid/>
                <w:sz w:val="20"/>
              </w:rPr>
              <w:t>【行政法规】《殡葬</w:t>
            </w:r>
            <w:r>
              <w:rPr>
                <w:rFonts w:ascii="仿宋" w:hAnsi="仿宋" w:eastAsia="仿宋" w:cs="宋体"/>
                <w:snapToGrid/>
                <w:sz w:val="20"/>
              </w:rPr>
              <w:t>管理条例</w:t>
            </w:r>
            <w:r>
              <w:rPr>
                <w:rFonts w:hint="eastAsia" w:ascii="仿宋" w:hAnsi="仿宋" w:eastAsia="仿宋" w:cs="宋体"/>
                <w:snapToGrid/>
                <w:sz w:val="20"/>
              </w:rPr>
              <w:t>》</w:t>
            </w:r>
            <w:r>
              <w:rPr>
                <w:rFonts w:hint="eastAsia" w:ascii="仿宋" w:hAnsi="仿宋" w:eastAsia="仿宋" w:cs="宋体"/>
                <w:snapToGrid/>
                <w:sz w:val="20"/>
                <w:szCs w:val="22"/>
                <w:lang w:val="en-US" w:eastAsia="zh-CN"/>
              </w:rPr>
              <w:t>（1997年7月21日国务院令第225号发布，2012年11月9日国务院令第628号修正）</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eastAsia" w:ascii="仿宋" w:hAnsi="仿宋" w:eastAsia="仿宋" w:cs="宋体"/>
                <w:snapToGrid/>
                <w:sz w:val="20"/>
                <w:szCs w:val="22"/>
              </w:rPr>
            </w:pPr>
            <w:r>
              <w:rPr>
                <w:rFonts w:hint="eastAsia" w:ascii="仿宋" w:hAnsi="仿宋" w:eastAsia="仿宋" w:cs="宋体"/>
                <w:snapToGrid/>
                <w:sz w:val="20"/>
                <w:szCs w:val="22"/>
              </w:rPr>
              <w:t>第十八条未经批准，擅自兴建殡葬设施的，由民政部门会同建设、土地行政管理部门予以取缔，责令恢复原状，没收违法所得，可以并处违法所得1倍以上3倍以下罚款。</w:t>
            </w:r>
          </w:p>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rPr>
              <w:t>【地方政府</w:t>
            </w:r>
            <w:r>
              <w:rPr>
                <w:rFonts w:ascii="仿宋" w:hAnsi="仿宋" w:eastAsia="仿宋" w:cs="宋体"/>
                <w:snapToGrid/>
                <w:sz w:val="20"/>
              </w:rPr>
              <w:t>规章</w:t>
            </w:r>
            <w:r>
              <w:rPr>
                <w:rFonts w:hint="eastAsia" w:ascii="仿宋" w:hAnsi="仿宋" w:eastAsia="仿宋" w:cs="宋体"/>
                <w:snapToGrid/>
                <w:sz w:val="20"/>
              </w:rPr>
              <w:t>】</w:t>
            </w:r>
            <w:r>
              <w:rPr>
                <w:rFonts w:hint="eastAsia" w:ascii="仿宋" w:hAnsi="仿宋" w:eastAsia="仿宋" w:cs="宋体"/>
                <w:snapToGrid/>
                <w:sz w:val="20"/>
                <w:szCs w:val="22"/>
                <w:lang w:eastAsia="zh-CN"/>
              </w:rPr>
              <w:t>《</w:t>
            </w:r>
            <w:r>
              <w:rPr>
                <w:rFonts w:hint="eastAsia" w:ascii="仿宋" w:hAnsi="仿宋" w:eastAsia="仿宋" w:cs="宋体"/>
                <w:snapToGrid/>
                <w:sz w:val="20"/>
                <w:szCs w:val="22"/>
              </w:rPr>
              <w:t>湖南省实施&lt;殡葬管理条例&gt;办法</w:t>
            </w:r>
            <w:r>
              <w:rPr>
                <w:rFonts w:hint="eastAsia" w:ascii="仿宋" w:hAnsi="仿宋" w:eastAsia="仿宋" w:cs="宋体"/>
                <w:snapToGrid/>
                <w:sz w:val="20"/>
                <w:szCs w:val="22"/>
                <w:lang w:eastAsia="zh-CN"/>
              </w:rPr>
              <w:t>》（</w:t>
            </w:r>
            <w:r>
              <w:rPr>
                <w:rFonts w:hint="eastAsia" w:ascii="仿宋" w:hAnsi="仿宋" w:eastAsia="仿宋" w:cs="宋体"/>
                <w:snapToGrid/>
                <w:sz w:val="20"/>
                <w:szCs w:val="22"/>
                <w:lang w:val="en-US" w:eastAsia="zh-CN"/>
              </w:rPr>
              <w:t>2002年3月22日省人民政府令第154号发布，2017年12月28日省人民政府令第288号修改）</w:t>
            </w:r>
          </w:p>
          <w:p>
            <w:pPr>
              <w:keepNext w:val="0"/>
              <w:keepLines w:val="0"/>
              <w:pageBreakBefore w:val="0"/>
              <w:widowControl/>
              <w:kinsoku/>
              <w:wordWrap/>
              <w:overflowPunct/>
              <w:topLinePunct w:val="0"/>
              <w:autoSpaceDE/>
              <w:autoSpaceDN/>
              <w:bidi w:val="0"/>
              <w:adjustRightInd/>
              <w:snapToGrid/>
              <w:spacing w:line="240" w:lineRule="exact"/>
              <w:ind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第二十九条</w:t>
            </w:r>
            <w:r>
              <w:rPr>
                <w:rFonts w:hint="eastAsia" w:ascii="仿宋" w:hAnsi="仿宋" w:eastAsia="仿宋" w:cs="宋体"/>
                <w:snapToGrid/>
                <w:sz w:val="20"/>
                <w:szCs w:val="22"/>
                <w:lang w:val="en-US" w:eastAsia="zh-CN"/>
              </w:rPr>
              <w:t xml:space="preserve"> </w:t>
            </w:r>
            <w:r>
              <w:rPr>
                <w:rFonts w:hint="eastAsia" w:ascii="仿宋" w:hAnsi="仿宋" w:eastAsia="仿宋" w:cs="宋体"/>
                <w:snapToGrid/>
                <w:sz w:val="20"/>
                <w:szCs w:val="22"/>
              </w:rPr>
              <w:t>违反本办法，具有下列行为之一的，由民政部门会同有关部门责令限期改正，没收违法所得，可以并处违法所得一倍以上三倍以下罚款。（一）未经审批擅自开办经营性公墓、公益性公墓的；</w:t>
            </w: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未经批准的殡葬设施，对外销售额（营业额）在10万元（含10万元）以下的。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予以取缔，责令恢复原状，没收违法所得，并处违法所得1倍的罚款。</w:t>
            </w:r>
          </w:p>
        </w:tc>
      </w:tr>
      <w:tr>
        <w:tblPrEx>
          <w:tblCellMar>
            <w:top w:w="0" w:type="dxa"/>
            <w:left w:w="108" w:type="dxa"/>
            <w:bottom w:w="0" w:type="dxa"/>
            <w:right w:w="108" w:type="dxa"/>
          </w:tblCellMar>
        </w:tblPrEx>
        <w:trPr>
          <w:trHeight w:val="2381" w:hRule="atLeast"/>
          <w:jc w:val="center"/>
        </w:trPr>
        <w:tc>
          <w:tcPr>
            <w:tcW w:w="572"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right w:val="single" w:color="auto" w:sz="4" w:space="0"/>
            </w:tcBorders>
            <w:noWrap w:val="0"/>
            <w:vAlign w:val="center"/>
          </w:tcPr>
          <w:p>
            <w:pPr>
              <w:widowControl/>
              <w:autoSpaceDE/>
              <w:autoSpaceDN/>
              <w:snapToGrid/>
              <w:spacing w:line="300" w:lineRule="exact"/>
              <w:ind w:firstLine="0"/>
              <w:rPr>
                <w:rFonts w:hint="eastAsia" w:ascii="仿宋" w:hAnsi="仿宋" w:eastAsia="仿宋" w:cs="宋体"/>
                <w:snapToGrid/>
                <w:sz w:val="20"/>
                <w:szCs w:val="22"/>
              </w:rPr>
            </w:pPr>
          </w:p>
        </w:tc>
        <w:tc>
          <w:tcPr>
            <w:tcW w:w="376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rPr>
            </w:pP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未经批准的殡葬设施，对外销售额（营业额）在10万元以上50万元（含50万元）以下的。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4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予以取缔，责令恢复原状，没收违法所得，并处违法所得1倍以上2倍以下的罚款。</w:t>
            </w:r>
          </w:p>
        </w:tc>
      </w:tr>
      <w:tr>
        <w:tblPrEx>
          <w:tblCellMar>
            <w:top w:w="0" w:type="dxa"/>
            <w:left w:w="108" w:type="dxa"/>
            <w:bottom w:w="0" w:type="dxa"/>
            <w:right w:w="108" w:type="dxa"/>
          </w:tblCellMar>
        </w:tblPrEx>
        <w:trPr>
          <w:trHeight w:val="2381"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300" w:lineRule="exact"/>
              <w:ind w:firstLine="0"/>
              <w:rPr>
                <w:rFonts w:hint="eastAsia" w:ascii="仿宋" w:hAnsi="仿宋" w:eastAsia="仿宋" w:cs="宋体"/>
                <w:snapToGrid/>
                <w:sz w:val="20"/>
                <w:szCs w:val="22"/>
              </w:rPr>
            </w:pPr>
          </w:p>
        </w:tc>
        <w:tc>
          <w:tcPr>
            <w:tcW w:w="3764"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300" w:lineRule="exact"/>
              <w:ind w:firstLine="0"/>
              <w:rPr>
                <w:rFonts w:hint="eastAsia" w:ascii="仿宋" w:hAnsi="仿宋" w:eastAsia="仿宋" w:cs="宋体"/>
                <w:snapToGrid/>
                <w:sz w:val="20"/>
                <w:szCs w:val="22"/>
              </w:rPr>
            </w:pP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5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未经批准的殡葬设施，对外销售额（或营业额）在50万元以上的。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50" w:lineRule="exact"/>
              <w:ind w:firstLine="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rPr>
              <w:t>予以取缔，责令恢复原状，没收违法所得，并处违法所得2倍以上3倍以下的罚款。</w:t>
            </w:r>
          </w:p>
        </w:tc>
      </w:tr>
      <w:tr>
        <w:tblPrEx>
          <w:tblCellMar>
            <w:top w:w="0" w:type="dxa"/>
            <w:left w:w="108" w:type="dxa"/>
            <w:bottom w:w="0" w:type="dxa"/>
            <w:right w:w="108" w:type="dxa"/>
          </w:tblCellMar>
        </w:tblPrEx>
        <w:trPr>
          <w:trHeight w:val="1345" w:hRule="atLeast"/>
          <w:jc w:val="center"/>
        </w:trPr>
        <w:tc>
          <w:tcPr>
            <w:tcW w:w="572" w:type="dxa"/>
            <w:vMerge w:val="restart"/>
            <w:tcBorders>
              <w:top w:val="single" w:color="auto" w:sz="4" w:space="0"/>
              <w:left w:val="single" w:color="auto" w:sz="4" w:space="0"/>
              <w:right w:val="single" w:color="auto" w:sz="4" w:space="0"/>
            </w:tcBorders>
            <w:noWrap w:val="0"/>
            <w:vAlign w:val="center"/>
          </w:tcPr>
          <w:p>
            <w:pPr>
              <w:widowControl/>
              <w:autoSpaceDE/>
              <w:autoSpaceDN/>
              <w:snapToGrid/>
              <w:spacing w:line="280" w:lineRule="exact"/>
              <w:ind w:firstLine="0" w:firstLineChars="0"/>
              <w:jc w:val="left"/>
              <w:rPr>
                <w:rFonts w:hint="default" w:ascii="仿宋" w:hAnsi="仿宋" w:eastAsia="仿宋" w:cs="Times New Roman"/>
                <w:snapToGrid/>
                <w:sz w:val="20"/>
                <w:lang w:val="en-US" w:eastAsia="zh-CN" w:bidi="ar-SA"/>
              </w:rPr>
            </w:pPr>
            <w:r>
              <w:rPr>
                <w:rFonts w:hint="eastAsia" w:ascii="仿宋" w:hAnsi="仿宋" w:eastAsia="仿宋" w:cs="Times New Roman"/>
                <w:snapToGrid/>
                <w:sz w:val="20"/>
                <w:lang w:val="en-US" w:eastAsia="zh-CN" w:bidi="ar-SA"/>
              </w:rPr>
              <w:t>70</w:t>
            </w:r>
          </w:p>
        </w:tc>
        <w:tc>
          <w:tcPr>
            <w:tcW w:w="1691" w:type="dxa"/>
            <w:vMerge w:val="restart"/>
            <w:tcBorders>
              <w:top w:val="single" w:color="auto" w:sz="4" w:space="0"/>
              <w:left w:val="single" w:color="auto" w:sz="4" w:space="0"/>
              <w:right w:val="single" w:color="auto" w:sz="4" w:space="0"/>
            </w:tcBorders>
            <w:noWrap w:val="0"/>
            <w:vAlign w:val="center"/>
          </w:tcPr>
          <w:p>
            <w:pPr>
              <w:widowControl/>
              <w:autoSpaceDE/>
              <w:autoSpaceDN/>
              <w:snapToGrid/>
              <w:spacing w:line="280" w:lineRule="exact"/>
              <w:ind w:firstLine="0" w:firstLineChars="0"/>
              <w:rPr>
                <w:rFonts w:hint="eastAsia" w:ascii="仿宋" w:hAnsi="仿宋" w:eastAsia="仿宋" w:cs="宋体"/>
                <w:snapToGrid/>
                <w:sz w:val="20"/>
                <w:szCs w:val="22"/>
                <w:lang w:val="en-US" w:eastAsia="zh-CN"/>
              </w:rPr>
            </w:pPr>
            <w:r>
              <w:rPr>
                <w:rFonts w:ascii="仿宋" w:hAnsi="仿宋" w:eastAsia="仿宋" w:cs="宋体"/>
                <w:snapToGrid/>
                <w:sz w:val="20"/>
              </w:rPr>
              <w:t>墓穴占地面积超过政府规定标准</w:t>
            </w:r>
          </w:p>
        </w:tc>
        <w:tc>
          <w:tcPr>
            <w:tcW w:w="3764"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【行政法规】《殡葬管理条例》（1997年7月21日国务院令第225号发布，2012年11月9日国务院令第628号修正）</w:t>
            </w:r>
          </w:p>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第十九条 墓穴占地面积超过省、自治区、直辖市人民政府规定的标准的，由民政部门责令限期改正，没收违法所得，可以并处违法所得1倍以上3倍以下的罚款。</w:t>
            </w:r>
          </w:p>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【地方政府规章】《湖南省实施&lt;殡葬管理条例&gt;办法》（2002年3月22日省人民政府令第154号发布，2017年12月28日省人民政府令第288号修改）</w:t>
            </w:r>
          </w:p>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第二十九条 违反本办法，具有下列行为之一的，由民政部门会同有关部门责令限期改正，没收违法所得，可以并处违法所得一倍以上三倍以下罚款。（二）公墓内超面积建造墓穴或者超标准树立墓碑的；</w:t>
            </w: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40" w:lineRule="exact"/>
              <w:ind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rPr>
              <w:t>墓穴占地面积超过规定标准50%以下</w:t>
            </w:r>
            <w:r>
              <w:rPr>
                <w:rFonts w:ascii="仿宋" w:hAnsi="仿宋" w:eastAsia="仿宋" w:cs="宋体"/>
                <w:snapToGrid/>
                <w:sz w:val="20"/>
              </w:rPr>
              <w:t>。</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textAlignment w:val="auto"/>
              <w:rPr>
                <w:rFonts w:hint="eastAsia" w:ascii="仿宋" w:hAnsi="仿宋" w:eastAsia="仿宋" w:cs="宋体"/>
                <w:snapToGrid/>
                <w:sz w:val="20"/>
                <w:szCs w:val="22"/>
                <w:lang w:val="en-US" w:eastAsia="zh-CN"/>
              </w:rPr>
            </w:pPr>
            <w:r>
              <w:rPr>
                <w:rFonts w:ascii="仿宋" w:hAnsi="仿宋" w:eastAsia="仿宋" w:cs="宋体"/>
                <w:snapToGrid/>
                <w:sz w:val="20"/>
              </w:rPr>
              <w:t>责令限期改正，没收违法所得</w:t>
            </w:r>
            <w:r>
              <w:rPr>
                <w:rFonts w:hint="eastAsia" w:ascii="仿宋" w:hAnsi="仿宋" w:eastAsia="仿宋" w:cs="宋体"/>
                <w:snapToGrid/>
                <w:sz w:val="20"/>
              </w:rPr>
              <w:t>，</w:t>
            </w:r>
            <w:r>
              <w:rPr>
                <w:rFonts w:ascii="仿宋" w:hAnsi="仿宋" w:eastAsia="仿宋" w:cs="宋体"/>
                <w:snapToGrid/>
                <w:sz w:val="20"/>
              </w:rPr>
              <w:t>并</w:t>
            </w:r>
            <w:r>
              <w:rPr>
                <w:rFonts w:hint="eastAsia" w:ascii="仿宋_GB2312" w:eastAsia="仿宋_GB2312"/>
                <w:snapToGrid/>
                <w:kern w:val="2"/>
                <w:sz w:val="20"/>
              </w:rPr>
              <w:t>处违法所得1倍的罚款。</w:t>
            </w:r>
          </w:p>
        </w:tc>
      </w:tr>
      <w:tr>
        <w:tblPrEx>
          <w:tblCellMar>
            <w:top w:w="0" w:type="dxa"/>
            <w:left w:w="108" w:type="dxa"/>
            <w:bottom w:w="0" w:type="dxa"/>
            <w:right w:w="108" w:type="dxa"/>
          </w:tblCellMar>
        </w:tblPrEx>
        <w:trPr>
          <w:trHeight w:val="1355" w:hRule="atLeast"/>
          <w:jc w:val="center"/>
        </w:trPr>
        <w:tc>
          <w:tcPr>
            <w:tcW w:w="572"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right w:val="single" w:color="auto" w:sz="4" w:space="0"/>
            </w:tcBorders>
            <w:noWrap w:val="0"/>
            <w:vAlign w:val="center"/>
          </w:tcPr>
          <w:p>
            <w:pPr>
              <w:widowControl/>
              <w:autoSpaceDE/>
              <w:autoSpaceDN/>
              <w:snapToGrid/>
              <w:spacing w:line="280" w:lineRule="exact"/>
              <w:ind w:firstLine="0" w:firstLineChars="0"/>
              <w:rPr>
                <w:rFonts w:hint="eastAsia" w:ascii="仿宋" w:hAnsi="仿宋" w:eastAsia="仿宋" w:cs="宋体"/>
                <w:snapToGrid/>
                <w:sz w:val="20"/>
                <w:szCs w:val="22"/>
              </w:rPr>
            </w:pPr>
          </w:p>
        </w:tc>
        <w:tc>
          <w:tcPr>
            <w:tcW w:w="376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firstLineChars="0"/>
              <w:textAlignment w:val="auto"/>
              <w:rPr>
                <w:rFonts w:hint="eastAsia" w:ascii="仿宋" w:hAnsi="仿宋" w:eastAsia="仿宋" w:cs="宋体"/>
                <w:snapToGrid/>
                <w:sz w:val="20"/>
                <w:szCs w:val="22"/>
              </w:rPr>
            </w:pP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40" w:lineRule="exact"/>
              <w:ind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rPr>
              <w:t>墓穴占地面积超过规定标准50%以上</w:t>
            </w:r>
            <w:r>
              <w:rPr>
                <w:rFonts w:ascii="仿宋" w:hAnsi="仿宋" w:eastAsia="仿宋" w:cs="宋体"/>
                <w:snapToGrid/>
                <w:sz w:val="20"/>
              </w:rPr>
              <w:t>，</w:t>
            </w:r>
            <w:r>
              <w:rPr>
                <w:rFonts w:hint="eastAsia" w:ascii="仿宋" w:hAnsi="仿宋" w:eastAsia="仿宋" w:cs="宋体"/>
                <w:snapToGrid/>
                <w:sz w:val="20"/>
              </w:rPr>
              <w:t>100%以下</w:t>
            </w:r>
            <w:r>
              <w:rPr>
                <w:rFonts w:ascii="仿宋" w:hAnsi="仿宋" w:eastAsia="仿宋" w:cs="宋体"/>
                <w:snapToGrid/>
                <w:sz w:val="20"/>
              </w:rPr>
              <w:t>。</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textAlignment w:val="auto"/>
              <w:rPr>
                <w:rFonts w:hint="eastAsia" w:ascii="仿宋" w:hAnsi="仿宋" w:eastAsia="仿宋" w:cs="宋体"/>
                <w:snapToGrid/>
                <w:sz w:val="20"/>
                <w:szCs w:val="22"/>
                <w:lang w:val="en-US" w:eastAsia="zh-CN"/>
              </w:rPr>
            </w:pPr>
            <w:r>
              <w:rPr>
                <w:rFonts w:ascii="仿宋" w:hAnsi="仿宋" w:eastAsia="仿宋" w:cs="宋体"/>
                <w:snapToGrid/>
                <w:sz w:val="20"/>
              </w:rPr>
              <w:t>责令限期改正，没收违法所得</w:t>
            </w:r>
            <w:r>
              <w:rPr>
                <w:rFonts w:hint="eastAsia" w:ascii="仿宋" w:hAnsi="仿宋" w:eastAsia="仿宋" w:cs="宋体"/>
                <w:snapToGrid/>
                <w:sz w:val="20"/>
              </w:rPr>
              <w:t>，</w:t>
            </w:r>
            <w:r>
              <w:rPr>
                <w:rFonts w:ascii="仿宋" w:hAnsi="仿宋" w:eastAsia="仿宋" w:cs="宋体"/>
                <w:snapToGrid/>
                <w:sz w:val="20"/>
              </w:rPr>
              <w:t>并</w:t>
            </w:r>
            <w:r>
              <w:rPr>
                <w:rFonts w:hint="eastAsia" w:ascii="仿宋_GB2312" w:eastAsia="仿宋_GB2312"/>
                <w:snapToGrid/>
                <w:kern w:val="2"/>
                <w:sz w:val="20"/>
              </w:rPr>
              <w:t>处违法所得2倍的罚款。</w:t>
            </w:r>
          </w:p>
        </w:tc>
      </w:tr>
      <w:tr>
        <w:tblPrEx>
          <w:tblCellMar>
            <w:top w:w="0" w:type="dxa"/>
            <w:left w:w="108" w:type="dxa"/>
            <w:bottom w:w="0" w:type="dxa"/>
            <w:right w:w="108" w:type="dxa"/>
          </w:tblCellMar>
        </w:tblPrEx>
        <w:trPr>
          <w:trHeight w:val="655"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firstLineChars="0"/>
              <w:rPr>
                <w:rFonts w:hint="eastAsia" w:ascii="仿宋" w:hAnsi="仿宋" w:eastAsia="仿宋" w:cs="宋体"/>
                <w:snapToGrid/>
                <w:sz w:val="20"/>
                <w:szCs w:val="22"/>
              </w:rPr>
            </w:pPr>
          </w:p>
        </w:tc>
        <w:tc>
          <w:tcPr>
            <w:tcW w:w="3764"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firstLineChars="0"/>
              <w:textAlignment w:val="auto"/>
              <w:rPr>
                <w:rFonts w:hint="eastAsia" w:ascii="仿宋" w:hAnsi="仿宋" w:eastAsia="仿宋" w:cs="宋体"/>
                <w:snapToGrid/>
                <w:sz w:val="20"/>
                <w:szCs w:val="22"/>
              </w:rPr>
            </w:pP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40" w:lineRule="exact"/>
              <w:ind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rPr>
              <w:t>墓穴占地面积超过规定标准100%以上</w:t>
            </w:r>
            <w:r>
              <w:rPr>
                <w:rFonts w:ascii="仿宋" w:hAnsi="仿宋" w:eastAsia="仿宋" w:cs="宋体"/>
                <w:snapToGrid/>
                <w:sz w:val="20"/>
              </w:rPr>
              <w:t>。</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textAlignment w:val="auto"/>
              <w:rPr>
                <w:rFonts w:hint="eastAsia" w:ascii="仿宋" w:hAnsi="仿宋" w:eastAsia="仿宋" w:cs="宋体"/>
                <w:snapToGrid/>
                <w:sz w:val="20"/>
                <w:szCs w:val="22"/>
                <w:lang w:val="en-US" w:eastAsia="zh-CN"/>
              </w:rPr>
            </w:pPr>
            <w:r>
              <w:rPr>
                <w:rFonts w:ascii="仿宋" w:hAnsi="仿宋" w:eastAsia="仿宋" w:cs="宋体"/>
                <w:snapToGrid/>
                <w:sz w:val="20"/>
              </w:rPr>
              <w:t>责令限期改正，没收违法所得</w:t>
            </w:r>
            <w:r>
              <w:rPr>
                <w:rFonts w:hint="eastAsia" w:ascii="仿宋" w:hAnsi="仿宋" w:eastAsia="仿宋" w:cs="宋体"/>
                <w:snapToGrid/>
                <w:sz w:val="20"/>
              </w:rPr>
              <w:t>，</w:t>
            </w:r>
            <w:r>
              <w:rPr>
                <w:rFonts w:ascii="仿宋" w:hAnsi="仿宋" w:eastAsia="仿宋" w:cs="宋体"/>
                <w:snapToGrid/>
                <w:sz w:val="20"/>
              </w:rPr>
              <w:t>并</w:t>
            </w:r>
            <w:r>
              <w:rPr>
                <w:rFonts w:hint="eastAsia" w:ascii="仿宋_GB2312" w:eastAsia="仿宋_GB2312"/>
                <w:snapToGrid/>
                <w:kern w:val="2"/>
                <w:sz w:val="20"/>
              </w:rPr>
              <w:t>处违法所得3倍的罚款。</w:t>
            </w:r>
          </w:p>
        </w:tc>
      </w:tr>
      <w:tr>
        <w:tblPrEx>
          <w:tblCellMar>
            <w:top w:w="0" w:type="dxa"/>
            <w:left w:w="108" w:type="dxa"/>
            <w:bottom w:w="0" w:type="dxa"/>
            <w:right w:w="108" w:type="dxa"/>
          </w:tblCellMar>
        </w:tblPrEx>
        <w:trPr>
          <w:trHeight w:val="6837" w:hRule="atLeast"/>
          <w:jc w:val="center"/>
        </w:trPr>
        <w:tc>
          <w:tcPr>
            <w:tcW w:w="572" w:type="dxa"/>
            <w:tcBorders>
              <w:top w:val="single" w:color="auto" w:sz="4" w:space="0"/>
              <w:left w:val="single" w:color="auto" w:sz="4" w:space="0"/>
              <w:bottom w:val="single" w:color="auto" w:sz="4" w:space="0"/>
              <w:right w:val="single" w:color="auto" w:sz="4" w:space="0"/>
            </w:tcBorders>
            <w:noWrap w:val="0"/>
            <w:vAlign w:val="center"/>
          </w:tcPr>
          <w:p>
            <w:pPr>
              <w:widowControl/>
              <w:autoSpaceDE/>
              <w:autoSpaceDN/>
              <w:snapToGrid/>
              <w:spacing w:line="280" w:lineRule="exact"/>
              <w:ind w:firstLine="0"/>
              <w:jc w:val="left"/>
              <w:rPr>
                <w:rFonts w:hint="eastAsia" w:ascii="仿宋" w:hAnsi="仿宋" w:eastAsia="仿宋"/>
                <w:snapToGrid/>
                <w:sz w:val="20"/>
                <w:lang w:val="en-US" w:eastAsia="zh-CN"/>
              </w:rPr>
            </w:pPr>
            <w:r>
              <w:rPr>
                <w:rFonts w:hint="eastAsia" w:ascii="仿宋" w:hAnsi="仿宋" w:eastAsia="仿宋" w:cs="宋体"/>
                <w:snapToGrid/>
                <w:sz w:val="20"/>
                <w:szCs w:val="22"/>
                <w:lang w:val="en-US" w:eastAsia="zh-CN"/>
              </w:rPr>
              <w:t>71</w:t>
            </w:r>
          </w:p>
        </w:tc>
        <w:tc>
          <w:tcPr>
            <w:tcW w:w="1691"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办理丧事活动妨害公共秩序、危害公共安全、侵害他人合法权益</w:t>
            </w:r>
          </w:p>
        </w:tc>
        <w:tc>
          <w:tcPr>
            <w:tcW w:w="376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textAlignment w:val="auto"/>
              <w:rPr>
                <w:rFonts w:ascii="仿宋" w:hAnsi="仿宋" w:eastAsia="仿宋" w:cs="宋体"/>
                <w:snapToGrid/>
                <w:sz w:val="20"/>
              </w:rPr>
            </w:pPr>
            <w:r>
              <w:rPr>
                <w:rFonts w:hint="eastAsia" w:ascii="仿宋" w:hAnsi="仿宋" w:eastAsia="仿宋" w:cs="宋体"/>
                <w:snapToGrid/>
                <w:sz w:val="20"/>
                <w:szCs w:val="22"/>
                <w:lang w:val="en-US" w:eastAsia="zh-CN"/>
              </w:rPr>
              <w:t>【行政法规】《殡葬管理条例》（1997年7月21日国务院令第225号发布，2012年11月9日国务院令第628号修正）</w:t>
            </w:r>
          </w:p>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第二十一条 办理丧事活动妨害公共秩序、危害公共安全、侵害他人合法权益的，由民政部门予以制止；构成违反治安管理行为的，由公安机关依法给予治安管理处罚；构成犯罪的，依法追究刑事责任。</w:t>
            </w:r>
          </w:p>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【地方政府规章】《湖南省实施&lt;殡葬管理条例&gt;办法》（2002年3月22日省人民政府令第154号发布，2017年12月28日省人民政府令第288号修改）</w:t>
            </w:r>
          </w:p>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第三十条    在殡仪活动中妨碍公共秩序、危害公共安全、侵害他人合法权益，进行封建迷信活动或者破坏殡葬设施；从事非法经营性殡仪服务活动；倒卖炒卖、传销或变相传销墓穴和骨灰存放格位的，由民政、公安、工商行政管理等有关部门予以制止，并依照有关法律、法规、规章处理。</w:t>
            </w: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4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办理丧事活动妨害公共秩序、危害公共安全、侵害他人合法权益</w:t>
            </w:r>
            <w:r>
              <w:rPr>
                <w:rFonts w:hint="eastAsia" w:ascii="仿宋" w:hAnsi="仿宋" w:eastAsia="仿宋" w:cs="宋体"/>
                <w:snapToGrid/>
                <w:sz w:val="20"/>
                <w:lang w:eastAsia="zh-CN"/>
              </w:rPr>
              <w:t>。</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40" w:lineRule="exact"/>
              <w:ind w:left="0" w:leftChars="0" w:firstLine="0" w:firstLineChars="0"/>
              <w:textAlignment w:val="auto"/>
              <w:rPr>
                <w:rFonts w:hint="default"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依照有关法律、法规、规章处理。</w:t>
            </w:r>
          </w:p>
        </w:tc>
      </w:tr>
      <w:tr>
        <w:tblPrEx>
          <w:tblCellMar>
            <w:top w:w="0" w:type="dxa"/>
            <w:left w:w="108" w:type="dxa"/>
            <w:bottom w:w="0" w:type="dxa"/>
            <w:right w:w="108" w:type="dxa"/>
          </w:tblCellMar>
        </w:tblPrEx>
        <w:trPr>
          <w:trHeight w:val="1531" w:hRule="atLeast"/>
          <w:jc w:val="center"/>
        </w:trPr>
        <w:tc>
          <w:tcPr>
            <w:tcW w:w="572" w:type="dxa"/>
            <w:vMerge w:val="restart"/>
            <w:tcBorders>
              <w:top w:val="single" w:color="auto" w:sz="4" w:space="0"/>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default"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72</w:t>
            </w:r>
          </w:p>
        </w:tc>
        <w:tc>
          <w:tcPr>
            <w:tcW w:w="1691" w:type="dxa"/>
            <w:vMerge w:val="restart"/>
            <w:tcBorders>
              <w:top w:val="single" w:color="auto" w:sz="4" w:space="0"/>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从事非法经营性殡仪服务活动</w:t>
            </w:r>
          </w:p>
        </w:tc>
        <w:tc>
          <w:tcPr>
            <w:tcW w:w="3764"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【地方政府规章】《湖南省实施&lt;殡葬管理条例&gt;办法》（2002年3月22日省人民政府令第154号发布，2017年12月28日省人民政府令第288号修改）</w:t>
            </w:r>
          </w:p>
          <w:p>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第三十条    在殡仪活动中妨碍公共秩序、危害公共安全、侵害他人合法权益，进行封建迷信活动或者破坏殡葬设施；从事非法经营性殡仪服务活动；倒卖炒卖、传销或变相传销墓穴和骨灰存放格位的，由民政、公安、工商行政管理等有关部门予以制止，并依照有关法律、法规、规章处理。</w:t>
            </w:r>
          </w:p>
        </w:tc>
        <w:tc>
          <w:tcPr>
            <w:tcW w:w="1904" w:type="dxa"/>
            <w:vMerge w:val="restart"/>
            <w:tcBorders>
              <w:top w:val="single" w:color="auto" w:sz="4" w:space="0"/>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firstLineChars="0"/>
              <w:textAlignment w:val="auto"/>
              <w:rPr>
                <w:rFonts w:hint="eastAsia" w:ascii="仿宋" w:hAnsi="仿宋" w:eastAsia="仿宋" w:cs="宋体"/>
                <w:snapToGrid/>
                <w:sz w:val="20"/>
                <w:szCs w:val="22"/>
                <w:lang w:eastAsia="zh-CN"/>
              </w:rPr>
            </w:pPr>
            <w:r>
              <w:rPr>
                <w:rFonts w:hint="eastAsia" w:ascii="仿宋" w:hAnsi="仿宋" w:eastAsia="仿宋" w:cs="宋体"/>
                <w:snapToGrid/>
                <w:sz w:val="20"/>
              </w:rPr>
              <w:t>违法</w:t>
            </w:r>
            <w:r>
              <w:rPr>
                <w:rFonts w:hint="eastAsia" w:ascii="仿宋" w:hAnsi="仿宋" w:eastAsia="仿宋" w:cs="宋体"/>
                <w:snapToGrid/>
                <w:sz w:val="20"/>
                <w:lang w:val="en-US" w:eastAsia="zh-CN"/>
              </w:rPr>
              <w:t>所得</w:t>
            </w:r>
            <w:r>
              <w:rPr>
                <w:rFonts w:hint="eastAsia" w:ascii="仿宋" w:hAnsi="仿宋" w:eastAsia="仿宋" w:cs="宋体"/>
                <w:snapToGrid/>
                <w:sz w:val="20"/>
              </w:rPr>
              <w:t>数额较小</w:t>
            </w:r>
            <w:r>
              <w:rPr>
                <w:rFonts w:hint="eastAsia" w:ascii="仿宋" w:hAnsi="仿宋" w:eastAsia="仿宋" w:cs="宋体"/>
                <w:snapToGrid/>
                <w:sz w:val="20"/>
                <w:szCs w:val="22"/>
                <w:lang w:eastAsia="zh-CN"/>
              </w:rPr>
              <w:t>；</w:t>
            </w:r>
          </w:p>
          <w:p>
            <w:pPr>
              <w:keepNext w:val="0"/>
              <w:keepLines w:val="0"/>
              <w:pageBreakBefore w:val="0"/>
              <w:widowControl/>
              <w:kinsoku/>
              <w:wordWrap/>
              <w:overflowPunct/>
              <w:topLinePunct w:val="0"/>
              <w:autoSpaceDE/>
              <w:autoSpaceDN/>
              <w:bidi w:val="0"/>
              <w:adjustRightInd/>
              <w:snapToGrid/>
              <w:spacing w:line="320" w:lineRule="exact"/>
              <w:ind w:firstLine="0" w:firstLineChars="0"/>
              <w:textAlignment w:val="auto"/>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rPr>
              <w:t>造成较小社会危害的。</w:t>
            </w:r>
          </w:p>
        </w:tc>
        <w:tc>
          <w:tcPr>
            <w:tcW w:w="1708" w:type="dxa"/>
            <w:vMerge w:val="restart"/>
            <w:tcBorders>
              <w:top w:val="single" w:color="auto" w:sz="4" w:space="0"/>
              <w:left w:val="nil"/>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依照有关法律、法规、规章处理。</w:t>
            </w:r>
          </w:p>
        </w:tc>
      </w:tr>
      <w:tr>
        <w:tblPrEx>
          <w:tblCellMar>
            <w:top w:w="0" w:type="dxa"/>
            <w:left w:w="108" w:type="dxa"/>
            <w:bottom w:w="0" w:type="dxa"/>
            <w:right w:w="108" w:type="dxa"/>
          </w:tblCellMar>
        </w:tblPrEx>
        <w:trPr>
          <w:trHeight w:val="1531"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default" w:ascii="仿宋" w:hAnsi="仿宋" w:eastAsia="仿宋" w:cs="宋体"/>
                <w:snapToGrid/>
                <w:sz w:val="20"/>
                <w:szCs w:val="22"/>
                <w:lang w:val="en-US" w:eastAsia="zh-CN"/>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3764" w:type="dxa"/>
            <w:vMerge w:val="continue"/>
            <w:tcBorders>
              <w:left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0" w:firstLineChars="0"/>
              <w:textAlignment w:val="auto"/>
              <w:rPr>
                <w:rFonts w:hint="eastAsia" w:ascii="仿宋" w:hAnsi="仿宋" w:eastAsia="仿宋" w:cs="宋体"/>
                <w:snapToGrid/>
                <w:sz w:val="20"/>
                <w:szCs w:val="22"/>
                <w:lang w:val="en-US" w:eastAsia="zh-CN"/>
              </w:rPr>
            </w:pPr>
          </w:p>
        </w:tc>
        <w:tc>
          <w:tcPr>
            <w:tcW w:w="1904" w:type="dxa"/>
            <w:vMerge w:val="restart"/>
            <w:tcBorders>
              <w:top w:val="single" w:color="auto" w:sz="4" w:space="0"/>
              <w:left w:val="nil"/>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firstLineChars="0"/>
              <w:textAlignment w:val="auto"/>
              <w:rPr>
                <w:rFonts w:hint="eastAsia" w:ascii="仿宋" w:hAnsi="仿宋" w:eastAsia="仿宋" w:cs="宋体"/>
                <w:snapToGrid/>
                <w:sz w:val="20"/>
                <w:szCs w:val="22"/>
                <w:lang w:eastAsia="zh-CN"/>
              </w:rPr>
            </w:pPr>
            <w:r>
              <w:rPr>
                <w:rFonts w:hint="eastAsia" w:ascii="仿宋" w:hAnsi="仿宋" w:eastAsia="仿宋" w:cs="宋体"/>
                <w:snapToGrid/>
                <w:sz w:val="20"/>
              </w:rPr>
              <w:t>违法</w:t>
            </w:r>
            <w:r>
              <w:rPr>
                <w:rFonts w:hint="eastAsia" w:ascii="仿宋" w:hAnsi="仿宋" w:eastAsia="仿宋" w:cs="宋体"/>
                <w:snapToGrid/>
                <w:sz w:val="20"/>
                <w:lang w:val="en-US" w:eastAsia="zh-CN"/>
              </w:rPr>
              <w:t>所得</w:t>
            </w:r>
            <w:r>
              <w:rPr>
                <w:rFonts w:hint="eastAsia" w:ascii="仿宋" w:hAnsi="仿宋" w:eastAsia="仿宋" w:cs="宋体"/>
                <w:snapToGrid/>
                <w:sz w:val="20"/>
              </w:rPr>
              <w:t>数额较</w:t>
            </w:r>
            <w:r>
              <w:rPr>
                <w:rFonts w:hint="eastAsia" w:ascii="仿宋" w:hAnsi="仿宋" w:eastAsia="仿宋" w:cs="宋体"/>
                <w:snapToGrid/>
                <w:sz w:val="20"/>
                <w:lang w:val="en-US" w:eastAsia="zh-CN"/>
              </w:rPr>
              <w:t>大</w:t>
            </w:r>
            <w:r>
              <w:rPr>
                <w:rFonts w:hint="eastAsia" w:ascii="仿宋" w:hAnsi="仿宋" w:eastAsia="仿宋" w:cs="宋体"/>
                <w:snapToGrid/>
                <w:sz w:val="20"/>
                <w:szCs w:val="22"/>
                <w:lang w:eastAsia="zh-CN"/>
              </w:rPr>
              <w:t>；</w:t>
            </w:r>
          </w:p>
          <w:p>
            <w:pPr>
              <w:keepNext w:val="0"/>
              <w:keepLines w:val="0"/>
              <w:pageBreakBefore w:val="0"/>
              <w:widowControl/>
              <w:kinsoku/>
              <w:wordWrap/>
              <w:overflowPunct/>
              <w:topLinePunct w:val="0"/>
              <w:autoSpaceDE/>
              <w:autoSpaceDN/>
              <w:bidi w:val="0"/>
              <w:adjustRightInd/>
              <w:snapToGrid/>
              <w:spacing w:line="320" w:lineRule="exact"/>
              <w:ind w:firstLine="0" w:firstLineChars="0"/>
              <w:textAlignment w:val="auto"/>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rPr>
              <w:t>造成较大社会危害的。</w:t>
            </w:r>
          </w:p>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textAlignment w:val="auto"/>
              <w:rPr>
                <w:rFonts w:hint="eastAsia" w:ascii="仿宋" w:hAnsi="仿宋" w:eastAsia="仿宋" w:cs="宋体"/>
                <w:snapToGrid/>
                <w:sz w:val="20"/>
                <w:szCs w:val="22"/>
                <w:lang w:val="en-US" w:eastAsia="zh-CN"/>
              </w:rPr>
            </w:pPr>
          </w:p>
        </w:tc>
        <w:tc>
          <w:tcPr>
            <w:tcW w:w="1708" w:type="dxa"/>
            <w:vMerge w:val="continue"/>
            <w:tcBorders>
              <w:left w:val="nil"/>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r>
      <w:tr>
        <w:tblPrEx>
          <w:tblCellMar>
            <w:top w:w="0" w:type="dxa"/>
            <w:left w:w="108" w:type="dxa"/>
            <w:bottom w:w="0" w:type="dxa"/>
            <w:right w:w="108" w:type="dxa"/>
          </w:tblCellMar>
        </w:tblPrEx>
        <w:trPr>
          <w:trHeight w:val="1531" w:hRule="atLeast"/>
          <w:jc w:val="center"/>
        </w:trPr>
        <w:tc>
          <w:tcPr>
            <w:tcW w:w="572" w:type="dxa"/>
            <w:vMerge w:val="restart"/>
            <w:tcBorders>
              <w:top w:val="single" w:color="auto" w:sz="4" w:space="0"/>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default"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73</w:t>
            </w:r>
          </w:p>
        </w:tc>
        <w:tc>
          <w:tcPr>
            <w:tcW w:w="1691" w:type="dxa"/>
            <w:vMerge w:val="restart"/>
            <w:tcBorders>
              <w:top w:val="single" w:color="auto" w:sz="4" w:space="0"/>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倒卖炒卖、传销或变相传销墓穴和骨灰存放格位</w:t>
            </w:r>
          </w:p>
        </w:tc>
        <w:tc>
          <w:tcPr>
            <w:tcW w:w="3764" w:type="dxa"/>
            <w:vMerge w:val="continue"/>
            <w:tcBorders>
              <w:left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0" w:firstLineChars="0"/>
              <w:textAlignment w:val="auto"/>
              <w:rPr>
                <w:rFonts w:hint="eastAsia" w:ascii="仿宋" w:hAnsi="仿宋" w:eastAsia="仿宋" w:cs="宋体"/>
                <w:snapToGrid/>
                <w:sz w:val="20"/>
                <w:szCs w:val="22"/>
                <w:lang w:val="en-US" w:eastAsia="zh-CN"/>
              </w:rPr>
            </w:pPr>
          </w:p>
        </w:tc>
        <w:tc>
          <w:tcPr>
            <w:tcW w:w="1904" w:type="dxa"/>
            <w:vMerge w:val="continue"/>
            <w:tcBorders>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20" w:lineRule="exact"/>
              <w:ind w:firstLine="0" w:firstLineChars="0"/>
              <w:textAlignment w:val="auto"/>
              <w:rPr>
                <w:rFonts w:hint="eastAsia" w:ascii="仿宋" w:hAnsi="仿宋" w:eastAsia="仿宋" w:cs="宋体"/>
                <w:snapToGrid/>
                <w:sz w:val="20"/>
                <w:szCs w:val="22"/>
                <w:lang w:val="en-US" w:eastAsia="zh-CN" w:bidi="ar-SA"/>
              </w:rPr>
            </w:pPr>
          </w:p>
        </w:tc>
        <w:tc>
          <w:tcPr>
            <w:tcW w:w="1708" w:type="dxa"/>
            <w:vMerge w:val="continue"/>
            <w:tcBorders>
              <w:left w:val="nil"/>
              <w:right w:val="single" w:color="auto" w:sz="4" w:space="0"/>
            </w:tcBorders>
            <w:noWrap w:val="0"/>
            <w:vAlign w:val="center"/>
          </w:tcPr>
          <w:p>
            <w:pPr>
              <w:widowControl/>
              <w:autoSpaceDE/>
              <w:autoSpaceDN/>
              <w:snapToGrid/>
              <w:spacing w:line="280" w:lineRule="exact"/>
              <w:ind w:firstLine="0" w:firstLineChars="0"/>
              <w:rPr>
                <w:rFonts w:hint="eastAsia" w:ascii="仿宋" w:hAnsi="仿宋" w:eastAsia="仿宋" w:cs="宋体"/>
                <w:snapToGrid/>
                <w:sz w:val="20"/>
                <w:szCs w:val="22"/>
                <w:lang w:val="en-US" w:eastAsia="zh-CN" w:bidi="ar-SA"/>
              </w:rPr>
            </w:pPr>
          </w:p>
        </w:tc>
      </w:tr>
      <w:tr>
        <w:tblPrEx>
          <w:tblCellMar>
            <w:top w:w="0" w:type="dxa"/>
            <w:left w:w="108" w:type="dxa"/>
            <w:bottom w:w="0" w:type="dxa"/>
            <w:right w:w="108" w:type="dxa"/>
          </w:tblCellMar>
        </w:tblPrEx>
        <w:trPr>
          <w:trHeight w:val="1531"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3764"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0" w:firstLineChars="0"/>
              <w:textAlignment w:val="auto"/>
              <w:rPr>
                <w:rFonts w:hint="eastAsia" w:ascii="仿宋" w:hAnsi="仿宋" w:eastAsia="仿宋" w:cs="宋体"/>
                <w:snapToGrid/>
                <w:sz w:val="20"/>
                <w:szCs w:val="22"/>
                <w:lang w:val="en-US" w:eastAsia="zh-CN"/>
              </w:rPr>
            </w:pP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textAlignment w:val="auto"/>
              <w:rPr>
                <w:rFonts w:hint="eastAsia" w:ascii="仿宋" w:hAnsi="仿宋" w:eastAsia="仿宋" w:cs="宋体"/>
                <w:snapToGrid/>
                <w:sz w:val="20"/>
                <w:lang w:val="en-US" w:eastAsia="zh-CN"/>
              </w:rPr>
            </w:pPr>
            <w:r>
              <w:rPr>
                <w:rFonts w:hint="eastAsia" w:ascii="仿宋" w:hAnsi="仿宋" w:eastAsia="仿宋" w:cs="宋体"/>
                <w:snapToGrid/>
                <w:sz w:val="20"/>
              </w:rPr>
              <w:t>违法</w:t>
            </w:r>
            <w:r>
              <w:rPr>
                <w:rFonts w:hint="eastAsia" w:ascii="仿宋" w:hAnsi="仿宋" w:eastAsia="仿宋" w:cs="宋体"/>
                <w:snapToGrid/>
                <w:sz w:val="20"/>
                <w:lang w:val="en-US" w:eastAsia="zh-CN"/>
              </w:rPr>
              <w:t>所得</w:t>
            </w:r>
            <w:r>
              <w:rPr>
                <w:rFonts w:hint="eastAsia" w:ascii="仿宋" w:hAnsi="仿宋" w:eastAsia="仿宋" w:cs="宋体"/>
                <w:snapToGrid/>
                <w:sz w:val="20"/>
              </w:rPr>
              <w:t>数额</w:t>
            </w:r>
            <w:r>
              <w:rPr>
                <w:rFonts w:hint="eastAsia" w:ascii="仿宋" w:hAnsi="仿宋" w:eastAsia="仿宋" w:cs="宋体"/>
                <w:snapToGrid/>
                <w:sz w:val="20"/>
                <w:lang w:val="en-US" w:eastAsia="zh-CN"/>
              </w:rPr>
              <w:t>巨大；</w:t>
            </w:r>
          </w:p>
          <w:p>
            <w:pPr>
              <w:keepNext w:val="0"/>
              <w:keepLines w:val="0"/>
              <w:pageBreakBefore w:val="0"/>
              <w:widowControl/>
              <w:numPr>
                <w:ilvl w:val="0"/>
                <w:numId w:val="0"/>
              </w:numPr>
              <w:kinsoku/>
              <w:wordWrap/>
              <w:overflowPunct/>
              <w:topLinePunct w:val="0"/>
              <w:autoSpaceDE/>
              <w:autoSpaceDN/>
              <w:bidi w:val="0"/>
              <w:adjustRightInd/>
              <w:snapToGrid/>
              <w:spacing w:line="32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lang w:val="en-US" w:eastAsia="zh-CN"/>
              </w:rPr>
              <w:t>造</w:t>
            </w:r>
            <w:r>
              <w:rPr>
                <w:rFonts w:hint="eastAsia" w:ascii="仿宋" w:hAnsi="仿宋" w:eastAsia="仿宋" w:cs="宋体"/>
                <w:snapToGrid/>
                <w:sz w:val="20"/>
                <w:szCs w:val="22"/>
              </w:rPr>
              <w:t>成严重社会危害的。</w:t>
            </w:r>
          </w:p>
        </w:tc>
        <w:tc>
          <w:tcPr>
            <w:tcW w:w="1708" w:type="dxa"/>
            <w:vMerge w:val="continue"/>
            <w:tcBorders>
              <w:left w:val="nil"/>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r>
      <w:tr>
        <w:tblPrEx>
          <w:tblCellMar>
            <w:top w:w="0" w:type="dxa"/>
            <w:left w:w="108" w:type="dxa"/>
            <w:bottom w:w="0" w:type="dxa"/>
            <w:right w:w="108" w:type="dxa"/>
          </w:tblCellMar>
        </w:tblPrEx>
        <w:trPr>
          <w:trHeight w:val="1531" w:hRule="atLeast"/>
          <w:jc w:val="center"/>
        </w:trPr>
        <w:tc>
          <w:tcPr>
            <w:tcW w:w="572" w:type="dxa"/>
            <w:vMerge w:val="restart"/>
            <w:tcBorders>
              <w:top w:val="single" w:color="auto" w:sz="4" w:space="0"/>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default"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74</w:t>
            </w:r>
          </w:p>
        </w:tc>
        <w:tc>
          <w:tcPr>
            <w:tcW w:w="1691" w:type="dxa"/>
            <w:vMerge w:val="restart"/>
            <w:tcBorders>
              <w:top w:val="single" w:color="auto" w:sz="4" w:space="0"/>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制造、销售不符合国家技术标准的殡葬设备行为</w:t>
            </w:r>
          </w:p>
        </w:tc>
        <w:tc>
          <w:tcPr>
            <w:tcW w:w="3764"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textAlignment w:val="auto"/>
              <w:rPr>
                <w:rFonts w:ascii="仿宋" w:hAnsi="仿宋" w:eastAsia="仿宋" w:cs="宋体"/>
                <w:snapToGrid/>
                <w:sz w:val="20"/>
              </w:rPr>
            </w:pPr>
            <w:r>
              <w:rPr>
                <w:rFonts w:hint="eastAsia" w:ascii="仿宋" w:hAnsi="仿宋" w:eastAsia="仿宋" w:cs="宋体"/>
                <w:snapToGrid/>
                <w:sz w:val="20"/>
              </w:rPr>
              <w:t>【行政法规】《殡葬</w:t>
            </w:r>
            <w:r>
              <w:rPr>
                <w:rFonts w:ascii="仿宋" w:hAnsi="仿宋" w:eastAsia="仿宋" w:cs="宋体"/>
                <w:snapToGrid/>
                <w:sz w:val="20"/>
              </w:rPr>
              <w:t>管理条例</w:t>
            </w:r>
            <w:r>
              <w:rPr>
                <w:rFonts w:hint="eastAsia" w:ascii="仿宋" w:hAnsi="仿宋" w:eastAsia="仿宋" w:cs="宋体"/>
                <w:snapToGrid/>
                <w:sz w:val="20"/>
              </w:rPr>
              <w:t>》</w:t>
            </w:r>
            <w:r>
              <w:rPr>
                <w:rFonts w:hint="eastAsia" w:ascii="仿宋" w:hAnsi="仿宋" w:eastAsia="仿宋" w:cs="宋体"/>
                <w:snapToGrid/>
                <w:sz w:val="20"/>
                <w:szCs w:val="22"/>
                <w:lang w:val="en-US" w:eastAsia="zh-CN"/>
              </w:rPr>
              <w:t>（1997年7月21日国务院令第225号发布，2012年11月9日国务院令第628号修正）</w:t>
            </w:r>
          </w:p>
          <w:p>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第二十二条 制造、销售不符合国家技术标准的殡葬设备的，由民政部门会同工商行政管理部门责令停止制造、销售，可以并处制造、销售金额1倍以上3倍以下的罚款。制造、销售封建迷信殡葬用品的，由民政部门会同工商行政管理部门予以没收，可以并处制造、销售金额1倍以上3倍以下的罚款。</w:t>
            </w:r>
          </w:p>
          <w:p>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rPr>
              <w:t>【地方政府</w:t>
            </w:r>
            <w:r>
              <w:rPr>
                <w:rFonts w:ascii="仿宋" w:hAnsi="仿宋" w:eastAsia="仿宋" w:cs="宋体"/>
                <w:snapToGrid/>
                <w:sz w:val="20"/>
              </w:rPr>
              <w:t>规章</w:t>
            </w:r>
            <w:r>
              <w:rPr>
                <w:rFonts w:hint="eastAsia" w:ascii="仿宋" w:hAnsi="仿宋" w:eastAsia="仿宋" w:cs="宋体"/>
                <w:snapToGrid/>
                <w:sz w:val="20"/>
              </w:rPr>
              <w:t>】</w:t>
            </w:r>
            <w:r>
              <w:rPr>
                <w:rFonts w:hint="eastAsia" w:ascii="仿宋" w:hAnsi="仿宋" w:eastAsia="仿宋" w:cs="宋体"/>
                <w:snapToGrid/>
                <w:sz w:val="20"/>
                <w:szCs w:val="22"/>
                <w:lang w:val="en-US" w:eastAsia="zh-CN"/>
              </w:rPr>
              <w:t>《湖南省实施&lt;殡葬管理条例&gt;办法》（2002年3月22日省人民政府令第154号发布，2017年12月28日省人民政府令第288号修改）</w:t>
            </w:r>
          </w:p>
          <w:p>
            <w:pPr>
              <w:keepNext w:val="0"/>
              <w:keepLines w:val="0"/>
              <w:pageBreakBefore w:val="0"/>
              <w:widowControl/>
              <w:numPr>
                <w:ilvl w:val="0"/>
                <w:numId w:val="0"/>
              </w:numPr>
              <w:kinsoku/>
              <w:wordWrap/>
              <w:overflowPunct/>
              <w:topLinePunct w:val="0"/>
              <w:autoSpaceDE/>
              <w:autoSpaceDN/>
              <w:bidi w:val="0"/>
              <w:adjustRightInd/>
              <w:snapToGrid/>
              <w:spacing w:line="300" w:lineRule="exact"/>
              <w:ind w:left="0" w:leftChars="0" w:firstLine="400" w:firstLineChars="200"/>
              <w:textAlignment w:val="auto"/>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第二十九条 违反本办法，具有下列行为之一的，由民政部门会同有关部门责令限期改正，没收违法所得，可以并处违法所得一倍以上三倍以下罚款。（三）制造、销售封建迷信丧葬用品或者在火葬区区域内制造、销售土葬用品的。</w:t>
            </w:r>
          </w:p>
        </w:tc>
        <w:tc>
          <w:tcPr>
            <w:tcW w:w="1904" w:type="dxa"/>
            <w:tcBorders>
              <w:top w:val="single" w:color="auto" w:sz="4" w:space="0"/>
              <w:left w:val="nil"/>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对收到处罚决定后立即停止制造、销售的。</w:t>
            </w:r>
          </w:p>
        </w:tc>
        <w:tc>
          <w:tcPr>
            <w:tcW w:w="1708" w:type="dxa"/>
            <w:tcBorders>
              <w:top w:val="single" w:color="auto" w:sz="4" w:space="0"/>
              <w:left w:val="nil"/>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责令停止制造、销售，并处制造、销售金额 1 倍罚款。</w:t>
            </w:r>
          </w:p>
        </w:tc>
      </w:tr>
      <w:tr>
        <w:tblPrEx>
          <w:tblCellMar>
            <w:top w:w="0" w:type="dxa"/>
            <w:left w:w="108" w:type="dxa"/>
            <w:bottom w:w="0" w:type="dxa"/>
            <w:right w:w="108" w:type="dxa"/>
          </w:tblCellMar>
        </w:tblPrEx>
        <w:trPr>
          <w:trHeight w:val="1138"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3764" w:type="dxa"/>
            <w:vMerge w:val="continue"/>
            <w:tcBorders>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1904" w:type="dxa"/>
            <w:vMerge w:val="restart"/>
            <w:tcBorders>
              <w:top w:val="single" w:color="auto" w:sz="4" w:space="0"/>
              <w:left w:val="nil"/>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违法单位或个人拒不改正违法行为的。</w:t>
            </w:r>
          </w:p>
        </w:tc>
        <w:tc>
          <w:tcPr>
            <w:tcW w:w="1708" w:type="dxa"/>
            <w:vMerge w:val="restart"/>
            <w:tcBorders>
              <w:top w:val="single" w:color="auto" w:sz="4" w:space="0"/>
              <w:left w:val="nil"/>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责令停止制造、销售，并处制造、销售金额 2 倍罚款。</w:t>
            </w:r>
          </w:p>
        </w:tc>
      </w:tr>
      <w:tr>
        <w:tblPrEx>
          <w:tblCellMar>
            <w:top w:w="0" w:type="dxa"/>
            <w:left w:w="108" w:type="dxa"/>
            <w:bottom w:w="0" w:type="dxa"/>
            <w:right w:w="108" w:type="dxa"/>
          </w:tblCellMar>
        </w:tblPrEx>
        <w:trPr>
          <w:trHeight w:val="843" w:hRule="atLeast"/>
          <w:jc w:val="center"/>
        </w:trPr>
        <w:tc>
          <w:tcPr>
            <w:tcW w:w="572" w:type="dxa"/>
            <w:vMerge w:val="restart"/>
            <w:tcBorders>
              <w:top w:val="single" w:color="auto" w:sz="4" w:space="0"/>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default"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75</w:t>
            </w:r>
          </w:p>
        </w:tc>
        <w:tc>
          <w:tcPr>
            <w:tcW w:w="1691" w:type="dxa"/>
            <w:vMerge w:val="restart"/>
            <w:tcBorders>
              <w:top w:val="single" w:color="auto" w:sz="4" w:space="0"/>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制造、销售封建迷信殡葬用品</w:t>
            </w:r>
          </w:p>
        </w:tc>
        <w:tc>
          <w:tcPr>
            <w:tcW w:w="3764" w:type="dxa"/>
            <w:vMerge w:val="continue"/>
            <w:tcBorders>
              <w:left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1904" w:type="dxa"/>
            <w:vMerge w:val="continue"/>
            <w:tcBorders>
              <w:left w:val="nil"/>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1708" w:type="dxa"/>
            <w:vMerge w:val="continue"/>
            <w:tcBorders>
              <w:left w:val="nil"/>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r>
      <w:tr>
        <w:tblPrEx>
          <w:tblCellMar>
            <w:top w:w="0" w:type="dxa"/>
            <w:left w:w="108" w:type="dxa"/>
            <w:bottom w:w="0" w:type="dxa"/>
            <w:right w:w="108" w:type="dxa"/>
          </w:tblCellMar>
        </w:tblPrEx>
        <w:trPr>
          <w:trHeight w:val="2921" w:hRule="atLeast"/>
          <w:jc w:val="center"/>
        </w:trPr>
        <w:tc>
          <w:tcPr>
            <w:tcW w:w="572" w:type="dxa"/>
            <w:vMerge w:val="continue"/>
            <w:tcBorders>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default" w:ascii="仿宋" w:hAnsi="仿宋" w:eastAsia="仿宋" w:cs="宋体"/>
                <w:snapToGrid/>
                <w:sz w:val="20"/>
                <w:szCs w:val="22"/>
                <w:lang w:val="en-US" w:eastAsia="zh-CN" w:bidi="ar-SA"/>
              </w:rPr>
            </w:pPr>
          </w:p>
        </w:tc>
        <w:tc>
          <w:tcPr>
            <w:tcW w:w="1691" w:type="dxa"/>
            <w:vMerge w:val="continue"/>
            <w:tcBorders>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p>
        </w:tc>
        <w:tc>
          <w:tcPr>
            <w:tcW w:w="3764" w:type="dxa"/>
            <w:vMerge w:val="continue"/>
            <w:tcBorders>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1904" w:type="dxa"/>
            <w:tcBorders>
              <w:top w:val="single" w:color="auto" w:sz="4" w:space="0"/>
              <w:left w:val="nil"/>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违法单位或个人主观上有违法故意，拒不改正违法行为的，情节严重的。</w:t>
            </w:r>
          </w:p>
        </w:tc>
        <w:tc>
          <w:tcPr>
            <w:tcW w:w="1708" w:type="dxa"/>
            <w:tcBorders>
              <w:top w:val="single" w:color="auto" w:sz="4" w:space="0"/>
              <w:left w:val="nil"/>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责令停止制造、销售，并处制造、销售金额 3 倍的罚款。</w:t>
            </w:r>
          </w:p>
        </w:tc>
      </w:tr>
      <w:tr>
        <w:tblPrEx>
          <w:tblCellMar>
            <w:top w:w="0" w:type="dxa"/>
            <w:left w:w="108" w:type="dxa"/>
            <w:bottom w:w="0" w:type="dxa"/>
            <w:right w:w="108" w:type="dxa"/>
          </w:tblCellMar>
        </w:tblPrEx>
        <w:trPr>
          <w:trHeight w:val="420" w:hRule="atLeast"/>
          <w:jc w:val="center"/>
        </w:trPr>
        <w:tc>
          <w:tcPr>
            <w:tcW w:w="9639" w:type="dxa"/>
            <w:gridSpan w:val="5"/>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jc w:val="center"/>
              <w:rPr>
                <w:rFonts w:hint="default" w:ascii="仿宋" w:hAnsi="仿宋" w:eastAsia="仿宋" w:cs="宋体"/>
                <w:snapToGrid/>
                <w:sz w:val="20"/>
                <w:szCs w:val="22"/>
                <w:lang w:val="en-US" w:eastAsia="zh-CN"/>
              </w:rPr>
            </w:pPr>
            <w:r>
              <w:rPr>
                <w:rFonts w:hint="eastAsia" w:ascii="黑体" w:hAnsi="黑体" w:eastAsia="黑体" w:cs="黑体"/>
                <w:snapToGrid/>
                <w:sz w:val="20"/>
                <w:szCs w:val="22"/>
                <w:lang w:val="en-US" w:eastAsia="zh-CN"/>
              </w:rPr>
              <w:t>十、社会救助管理领域</w:t>
            </w:r>
          </w:p>
        </w:tc>
      </w:tr>
      <w:tr>
        <w:tblPrEx>
          <w:tblCellMar>
            <w:top w:w="0" w:type="dxa"/>
            <w:left w:w="108" w:type="dxa"/>
            <w:bottom w:w="0" w:type="dxa"/>
            <w:right w:w="108" w:type="dxa"/>
          </w:tblCellMar>
        </w:tblPrEx>
        <w:trPr>
          <w:trHeight w:val="5953" w:hRule="atLeast"/>
          <w:jc w:val="center"/>
        </w:trPr>
        <w:tc>
          <w:tcPr>
            <w:tcW w:w="572"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default"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76</w:t>
            </w:r>
          </w:p>
        </w:tc>
        <w:tc>
          <w:tcPr>
            <w:tcW w:w="1691"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采取虚报、隐瞒、伪造等手段，骗取社会救助资金、物资或者服务</w:t>
            </w:r>
          </w:p>
        </w:tc>
        <w:tc>
          <w:tcPr>
            <w:tcW w:w="3764"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rPr>
              <w:t>【行政法规】</w:t>
            </w:r>
            <w:r>
              <w:rPr>
                <w:rFonts w:hint="eastAsia" w:ascii="仿宋" w:hAnsi="仿宋" w:eastAsia="仿宋" w:cs="宋体"/>
                <w:snapToGrid/>
                <w:sz w:val="20"/>
                <w:szCs w:val="22"/>
                <w:lang w:val="en-US" w:eastAsia="zh-CN"/>
              </w:rPr>
              <w:t>《社会救助暂行办法》（国务院令第649号）</w:t>
            </w:r>
          </w:p>
          <w:p>
            <w:pPr>
              <w:keepNext w:val="0"/>
              <w:keepLines w:val="0"/>
              <w:pageBreakBefore w:val="0"/>
              <w:widowControl/>
              <w:numPr>
                <w:ilvl w:val="0"/>
                <w:numId w:val="0"/>
              </w:numPr>
              <w:kinsoku/>
              <w:wordWrap/>
              <w:overflowPunct/>
              <w:topLinePunct w:val="0"/>
              <w:autoSpaceDE/>
              <w:autoSpaceDN/>
              <w:bidi w:val="0"/>
              <w:adjustRightInd/>
              <w:snapToGrid/>
              <w:spacing w:line="440" w:lineRule="exact"/>
              <w:ind w:left="0" w:leftChars="0"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第六十八条 采取虚报、隐瞒、伪造等手段，骗取社会救助资金、物资或者服务的，由有关部门决定停止社会救助，责令退回非法获取的救助资金、物资，可以处非法获取的救助款额或者物资价值1倍以上3倍以下的罚款；构成违反治安管理行为的，依法给予治安管理处罚。</w:t>
            </w:r>
          </w:p>
          <w:p>
            <w:pPr>
              <w:keepNext w:val="0"/>
              <w:keepLines w:val="0"/>
              <w:pageBreakBefore w:val="0"/>
              <w:widowControl/>
              <w:numPr>
                <w:ilvl w:val="0"/>
                <w:numId w:val="0"/>
              </w:numPr>
              <w:kinsoku/>
              <w:wordWrap/>
              <w:overflowPunct/>
              <w:topLinePunct w:val="0"/>
              <w:autoSpaceDE/>
              <w:autoSpaceDN/>
              <w:bidi w:val="0"/>
              <w:adjustRightInd/>
              <w:snapToGrid/>
              <w:spacing w:line="44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rPr>
              <w:t>【行政法规】</w:t>
            </w:r>
            <w:r>
              <w:rPr>
                <w:rFonts w:hint="eastAsia" w:ascii="仿宋" w:hAnsi="仿宋" w:eastAsia="仿宋" w:cs="宋体"/>
                <w:snapToGrid/>
                <w:sz w:val="20"/>
                <w:szCs w:val="22"/>
                <w:lang w:val="en-US" w:eastAsia="zh-CN"/>
              </w:rPr>
              <w:t>《城市居民最低生活保障条例》（国务院令第271号）</w:t>
            </w:r>
          </w:p>
          <w:p>
            <w:pPr>
              <w:keepNext w:val="0"/>
              <w:keepLines w:val="0"/>
              <w:pageBreakBefore w:val="0"/>
              <w:widowControl/>
              <w:numPr>
                <w:ilvl w:val="0"/>
                <w:numId w:val="0"/>
              </w:numPr>
              <w:kinsoku/>
              <w:wordWrap/>
              <w:overflowPunct/>
              <w:topLinePunct w:val="0"/>
              <w:autoSpaceDE/>
              <w:autoSpaceDN/>
              <w:bidi w:val="0"/>
              <w:adjustRightInd/>
              <w:snapToGrid/>
              <w:spacing w:line="440" w:lineRule="exact"/>
              <w:ind w:left="0" w:leftChars="0" w:firstLine="400" w:firstLineChars="20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第十四条 享受城市居民最低生活保障待遇的城市居民有下列行为之一的，由县级人民政府民政部门给予批评教育或者警告，追回其冒领的城市居民最低生活保障款物；情节恶劣的，处冒领金额１倍以上３倍以下的罚款： （一）采取虚报、隐瞒、伪造等手段，骗取享受城市居民最低生活保障待遇的；（二）在享受城市居民最低生活保障待遇期间家庭收入情况好转，不按规定告知管理审批机关，继续享受城市居民最低生活保障待遇的。</w:t>
            </w:r>
          </w:p>
          <w:p>
            <w:pPr>
              <w:keepNext w:val="0"/>
              <w:keepLines w:val="0"/>
              <w:pageBreakBefore w:val="0"/>
              <w:widowControl/>
              <w:numPr>
                <w:ilvl w:val="0"/>
                <w:numId w:val="0"/>
              </w:numPr>
              <w:kinsoku/>
              <w:wordWrap/>
              <w:overflowPunct/>
              <w:topLinePunct w:val="0"/>
              <w:autoSpaceDE/>
              <w:autoSpaceDN/>
              <w:bidi w:val="0"/>
              <w:adjustRightInd/>
              <w:snapToGrid/>
              <w:spacing w:line="440" w:lineRule="exact"/>
              <w:ind w:left="0" w:leftChars="0" w:firstLine="400" w:firstLineChars="200"/>
              <w:textAlignment w:val="auto"/>
              <w:rPr>
                <w:rFonts w:hint="eastAsia" w:ascii="仿宋" w:hAnsi="仿宋" w:eastAsia="仿宋" w:cs="宋体"/>
                <w:snapToGrid/>
                <w:sz w:val="20"/>
                <w:szCs w:val="22"/>
                <w:lang w:val="en-US" w:eastAsia="zh-CN"/>
              </w:rPr>
            </w:pPr>
          </w:p>
        </w:tc>
        <w:tc>
          <w:tcPr>
            <w:tcW w:w="1904" w:type="dxa"/>
            <w:tcBorders>
              <w:top w:val="single" w:color="auto" w:sz="4" w:space="0"/>
              <w:left w:val="nil"/>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情节严重的。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宋体"/>
                <w:snapToGrid/>
                <w:sz w:val="20"/>
                <w:szCs w:val="22"/>
                <w:lang w:val="en-US" w:eastAsia="zh-CN" w:bidi="ar-SA"/>
              </w:rPr>
            </w:pPr>
            <w:r>
              <w:rPr>
                <w:rFonts w:hint="eastAsia" w:ascii="仿宋" w:hAnsi="仿宋" w:eastAsia="仿宋" w:cs="宋体"/>
                <w:snapToGrid/>
                <w:sz w:val="20"/>
                <w:szCs w:val="22"/>
                <w:lang w:val="en-US" w:eastAsia="zh-CN"/>
              </w:rPr>
              <w:t>责令退回非法获取的救助资金、物资，并处非法获取的救助款额或者物资价值1倍以上2倍以下的罚款。</w:t>
            </w:r>
          </w:p>
        </w:tc>
      </w:tr>
      <w:tr>
        <w:tblPrEx>
          <w:tblCellMar>
            <w:top w:w="0" w:type="dxa"/>
            <w:left w:w="108" w:type="dxa"/>
            <w:bottom w:w="0" w:type="dxa"/>
            <w:right w:w="108" w:type="dxa"/>
          </w:tblCellMar>
        </w:tblPrEx>
        <w:trPr>
          <w:trHeight w:val="5953" w:hRule="atLeast"/>
          <w:jc w:val="center"/>
        </w:trPr>
        <w:tc>
          <w:tcPr>
            <w:tcW w:w="57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1691"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autoSpaceDE/>
              <w:autoSpaceDN/>
              <w:snapToGrid/>
              <w:spacing w:line="280" w:lineRule="exact"/>
              <w:ind w:left="0" w:leftChars="0" w:firstLine="0" w:firstLineChars="0"/>
              <w:rPr>
                <w:rFonts w:hint="eastAsia" w:ascii="仿宋" w:hAnsi="仿宋" w:eastAsia="仿宋" w:cs="宋体"/>
                <w:snapToGrid/>
                <w:sz w:val="20"/>
                <w:szCs w:val="22"/>
                <w:lang w:val="en-US" w:eastAsia="zh-CN"/>
              </w:rPr>
            </w:pPr>
          </w:p>
        </w:tc>
        <w:tc>
          <w:tcPr>
            <w:tcW w:w="3764"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宋体"/>
                <w:snapToGrid/>
                <w:sz w:val="20"/>
                <w:szCs w:val="22"/>
                <w:lang w:val="en-US" w:eastAsia="zh-CN"/>
              </w:rPr>
            </w:pPr>
          </w:p>
        </w:tc>
        <w:tc>
          <w:tcPr>
            <w:tcW w:w="1904"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60" w:lineRule="exact"/>
              <w:ind w:left="0" w:leftChars="0" w:firstLine="0" w:firstLineChars="0"/>
              <w:textAlignment w:val="auto"/>
              <w:rPr>
                <w:rFonts w:hint="default"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情节特别严重的。</w:t>
            </w:r>
          </w:p>
        </w:tc>
        <w:tc>
          <w:tcPr>
            <w:tcW w:w="170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numPr>
                <w:ilvl w:val="0"/>
                <w:numId w:val="0"/>
              </w:numPr>
              <w:kinsoku/>
              <w:wordWrap/>
              <w:overflowPunct/>
              <w:topLinePunct w:val="0"/>
              <w:autoSpaceDE/>
              <w:autoSpaceDN/>
              <w:bidi w:val="0"/>
              <w:adjustRightInd/>
              <w:snapToGrid/>
              <w:spacing w:line="360" w:lineRule="exact"/>
              <w:ind w:left="0" w:leftChars="0" w:firstLine="0" w:firstLineChars="0"/>
              <w:textAlignment w:val="auto"/>
              <w:rPr>
                <w:rFonts w:hint="eastAsia" w:ascii="仿宋" w:hAnsi="仿宋" w:eastAsia="仿宋" w:cs="宋体"/>
                <w:snapToGrid/>
                <w:sz w:val="20"/>
                <w:szCs w:val="22"/>
                <w:lang w:val="en-US" w:eastAsia="zh-CN"/>
              </w:rPr>
            </w:pPr>
            <w:r>
              <w:rPr>
                <w:rFonts w:hint="eastAsia" w:ascii="仿宋" w:hAnsi="仿宋" w:eastAsia="仿宋" w:cs="宋体"/>
                <w:snapToGrid/>
                <w:sz w:val="20"/>
                <w:szCs w:val="22"/>
                <w:lang w:val="en-US" w:eastAsia="zh-CN"/>
              </w:rPr>
              <w:t>责令退回非法获取的救助资金、物资，并处非法获取的救助款额或者物资价值2倍以上3倍以下的罚款。</w:t>
            </w:r>
          </w:p>
        </w:tc>
      </w:tr>
    </w:tbl>
    <w:p/>
    <w:p/>
    <w:p/>
    <w:p/>
    <w:p/>
    <w:p/>
    <w:p/>
    <w:p/>
    <w:p/>
    <w:p/>
    <w:p/>
    <w:p/>
    <w:p/>
    <w:p/>
    <w:p/>
    <w:p/>
    <w:p/>
    <w:p/>
    <w:p/>
    <w:p/>
    <w:p/>
    <w:p/>
    <w:p/>
    <w:p/>
    <w:p/>
    <w:p/>
    <w:p/>
    <w:p/>
    <w:p/>
    <w:p/>
    <w:p/>
    <w:p/>
    <w:p/>
    <w:p/>
    <w:p/>
    <w:p/>
    <w:p/>
    <w:tbl>
      <w:tblPr>
        <w:tblStyle w:val="7"/>
        <w:tblpPr w:leftFromText="180" w:rightFromText="180" w:vertAnchor="text" w:horzAnchor="page" w:tblpXSpec="center" w:tblpY="1044"/>
        <w:tblOverlap w:val="never"/>
        <w:tblW w:w="8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0"/>
      </w:tblGrid>
      <w:tr>
        <w:tblPrEx>
          <w:tblCellMar>
            <w:top w:w="0" w:type="dxa"/>
            <w:left w:w="108" w:type="dxa"/>
            <w:bottom w:w="0" w:type="dxa"/>
            <w:right w:w="108" w:type="dxa"/>
          </w:tblCellMar>
        </w:tblPrEx>
        <w:trPr>
          <w:trHeight w:val="618" w:hRule="atLeast"/>
          <w:jc w:val="center"/>
        </w:trPr>
        <w:tc>
          <w:tcPr>
            <w:tcW w:w="8460" w:type="dxa"/>
            <w:tcBorders>
              <w:left w:val="nil"/>
              <w:right w:val="nil"/>
            </w:tcBorders>
            <w:noWrap w:val="0"/>
            <w:vAlign w:val="center"/>
          </w:tcPr>
          <w:p>
            <w:pPr>
              <w:pStyle w:val="6"/>
              <w:keepNext w:val="0"/>
              <w:keepLines w:val="0"/>
              <w:pageBreakBefore w:val="0"/>
              <w:widowControl w:val="0"/>
              <w:kinsoku/>
              <w:wordWrap/>
              <w:overflowPunct/>
              <w:topLinePunct w:val="0"/>
              <w:autoSpaceDE/>
              <w:autoSpaceDN/>
              <w:bidi w:val="0"/>
              <w:adjustRightInd/>
              <w:spacing w:before="0" w:beforeAutospacing="0" w:after="0" w:afterAutospacing="0" w:line="600" w:lineRule="exact"/>
              <w:ind w:left="0" w:leftChars="0"/>
              <w:jc w:val="both"/>
              <w:textAlignment w:val="auto"/>
              <w:rPr>
                <w:rFonts w:hint="eastAsia" w:ascii="仿宋_GB2312" w:eastAsia="仿宋_GB2312"/>
                <w:sz w:val="32"/>
                <w:szCs w:val="32"/>
              </w:rPr>
            </w:pPr>
            <w:r>
              <w:rPr>
                <w:rFonts w:hint="eastAsia" w:ascii="仿宋_GB2312" w:eastAsia="仿宋_GB2312"/>
                <w:sz w:val="32"/>
                <w:szCs w:val="32"/>
              </w:rPr>
              <w:t>衡南县民政局办公室              20</w:t>
            </w:r>
            <w:r>
              <w:rPr>
                <w:rFonts w:hint="eastAsia" w:ascii="仿宋_GB2312" w:eastAsia="仿宋_GB2312"/>
                <w:sz w:val="32"/>
                <w:szCs w:val="32"/>
                <w:lang w:val="en-US" w:eastAsia="zh-CN"/>
              </w:rPr>
              <w:t>20</w:t>
            </w:r>
            <w:r>
              <w:rPr>
                <w:rFonts w:hint="eastAsia" w:ascii="仿宋_GB2312" w:eastAsia="仿宋_GB2312"/>
                <w:sz w:val="32"/>
                <w:szCs w:val="32"/>
              </w:rPr>
              <w:t>年</w:t>
            </w:r>
            <w:r>
              <w:rPr>
                <w:rFonts w:hint="eastAsia" w:ascii="仿宋_GB2312" w:eastAsia="仿宋_GB2312"/>
                <w:sz w:val="32"/>
                <w:szCs w:val="32"/>
                <w:lang w:val="en-US" w:eastAsia="zh-CN"/>
              </w:rPr>
              <w:t>9</w:t>
            </w:r>
            <w:r>
              <w:rPr>
                <w:rFonts w:hint="eastAsia" w:ascii="仿宋_GB2312" w:eastAsia="仿宋_GB2312"/>
                <w:sz w:val="32"/>
                <w:szCs w:val="32"/>
              </w:rPr>
              <w:t>月</w:t>
            </w:r>
            <w:r>
              <w:rPr>
                <w:rFonts w:hint="eastAsia" w:ascii="仿宋_GB2312" w:eastAsia="仿宋_GB2312"/>
                <w:sz w:val="32"/>
                <w:szCs w:val="32"/>
                <w:lang w:val="en-US" w:eastAsia="zh-CN"/>
              </w:rPr>
              <w:t>23</w:t>
            </w:r>
            <w:r>
              <w:rPr>
                <w:rFonts w:hint="eastAsia" w:ascii="仿宋_GB2312" w:eastAsia="仿宋_GB2312"/>
                <w:sz w:val="32"/>
                <w:szCs w:val="32"/>
              </w:rPr>
              <w:t>日印发</w:t>
            </w:r>
          </w:p>
        </w:tc>
      </w:tr>
    </w:tbl>
    <w:p/>
    <w:p/>
    <w:p/>
    <w:sectPr>
      <w:footerReference r:id="rId3" w:type="default"/>
      <w:pgSz w:w="11906" w:h="16838"/>
      <w:pgMar w:top="1701" w:right="1701" w:bottom="1701" w:left="1701" w:header="851" w:footer="1247"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03BBC5"/>
    <w:multiLevelType w:val="singleLevel"/>
    <w:tmpl w:val="5A03BBC5"/>
    <w:lvl w:ilvl="0" w:tentative="0">
      <w:start w:val="1"/>
      <w:numFmt w:val="chineseCounting"/>
      <w:suff w:val="nothing"/>
      <w:lvlText w:val="%1、"/>
      <w:lvlJc w:val="left"/>
      <w:rPr>
        <w:rFonts w:ascii="黑体" w:hAnsi="黑体" w:eastAsia="黑体"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E77489"/>
    <w:rsid w:val="02197A71"/>
    <w:rsid w:val="02C77FB7"/>
    <w:rsid w:val="02E73F23"/>
    <w:rsid w:val="040F495F"/>
    <w:rsid w:val="044A4F4E"/>
    <w:rsid w:val="05916323"/>
    <w:rsid w:val="076A7CC3"/>
    <w:rsid w:val="07CF422A"/>
    <w:rsid w:val="08C64FF9"/>
    <w:rsid w:val="0B9A016A"/>
    <w:rsid w:val="0BB22196"/>
    <w:rsid w:val="0BDF4C8E"/>
    <w:rsid w:val="0D2004CB"/>
    <w:rsid w:val="0D9F4A7E"/>
    <w:rsid w:val="0EF01974"/>
    <w:rsid w:val="11406D3A"/>
    <w:rsid w:val="151C0677"/>
    <w:rsid w:val="15B434AF"/>
    <w:rsid w:val="16435A2F"/>
    <w:rsid w:val="16BC5D2E"/>
    <w:rsid w:val="18931328"/>
    <w:rsid w:val="193E4C21"/>
    <w:rsid w:val="1C214E80"/>
    <w:rsid w:val="1C256EF1"/>
    <w:rsid w:val="1E355499"/>
    <w:rsid w:val="229C5DBC"/>
    <w:rsid w:val="22A0473E"/>
    <w:rsid w:val="22A6754D"/>
    <w:rsid w:val="22C97F11"/>
    <w:rsid w:val="233D34BD"/>
    <w:rsid w:val="23C174EE"/>
    <w:rsid w:val="27836997"/>
    <w:rsid w:val="283B4677"/>
    <w:rsid w:val="28BC17D1"/>
    <w:rsid w:val="2F4217BE"/>
    <w:rsid w:val="2FFA542F"/>
    <w:rsid w:val="300E5974"/>
    <w:rsid w:val="310B3D6B"/>
    <w:rsid w:val="31140EBF"/>
    <w:rsid w:val="314A60F5"/>
    <w:rsid w:val="324D49DF"/>
    <w:rsid w:val="32984EAE"/>
    <w:rsid w:val="334C7528"/>
    <w:rsid w:val="34AF3C07"/>
    <w:rsid w:val="352019BC"/>
    <w:rsid w:val="36452272"/>
    <w:rsid w:val="36A33432"/>
    <w:rsid w:val="36BE519E"/>
    <w:rsid w:val="370230A5"/>
    <w:rsid w:val="37AF72B6"/>
    <w:rsid w:val="37DF475F"/>
    <w:rsid w:val="37E77489"/>
    <w:rsid w:val="393F58C2"/>
    <w:rsid w:val="39F7771D"/>
    <w:rsid w:val="3B8F798A"/>
    <w:rsid w:val="3CF87B51"/>
    <w:rsid w:val="3DC27BFA"/>
    <w:rsid w:val="3DEC293C"/>
    <w:rsid w:val="3E0F5B22"/>
    <w:rsid w:val="3ECE35B4"/>
    <w:rsid w:val="41182571"/>
    <w:rsid w:val="42182080"/>
    <w:rsid w:val="42407F7D"/>
    <w:rsid w:val="426450AE"/>
    <w:rsid w:val="4310649E"/>
    <w:rsid w:val="435C4E59"/>
    <w:rsid w:val="45557D96"/>
    <w:rsid w:val="4610617D"/>
    <w:rsid w:val="47EE1D33"/>
    <w:rsid w:val="48331614"/>
    <w:rsid w:val="495D18A4"/>
    <w:rsid w:val="4A35751B"/>
    <w:rsid w:val="4A5D2502"/>
    <w:rsid w:val="4BBB36CC"/>
    <w:rsid w:val="4D1C3A79"/>
    <w:rsid w:val="4D875CB8"/>
    <w:rsid w:val="4E01701A"/>
    <w:rsid w:val="4E901D89"/>
    <w:rsid w:val="4F6319BF"/>
    <w:rsid w:val="5081101F"/>
    <w:rsid w:val="51357211"/>
    <w:rsid w:val="53657117"/>
    <w:rsid w:val="539D18B0"/>
    <w:rsid w:val="53E0174B"/>
    <w:rsid w:val="54336BBA"/>
    <w:rsid w:val="57570FCD"/>
    <w:rsid w:val="57C86BB8"/>
    <w:rsid w:val="58A57497"/>
    <w:rsid w:val="5A616985"/>
    <w:rsid w:val="5A906C06"/>
    <w:rsid w:val="5CC2738D"/>
    <w:rsid w:val="5D92646B"/>
    <w:rsid w:val="5DD73EF8"/>
    <w:rsid w:val="5EB229F7"/>
    <w:rsid w:val="5F5E46CA"/>
    <w:rsid w:val="5FFC39EE"/>
    <w:rsid w:val="61D332B3"/>
    <w:rsid w:val="61EA0436"/>
    <w:rsid w:val="64D12A7E"/>
    <w:rsid w:val="65664CEB"/>
    <w:rsid w:val="659975AC"/>
    <w:rsid w:val="67D74E88"/>
    <w:rsid w:val="6C2C2FF0"/>
    <w:rsid w:val="6CD179C2"/>
    <w:rsid w:val="6CD37116"/>
    <w:rsid w:val="6CF82883"/>
    <w:rsid w:val="700F5935"/>
    <w:rsid w:val="72256DA5"/>
    <w:rsid w:val="73C73C3B"/>
    <w:rsid w:val="73D979D5"/>
    <w:rsid w:val="73DA21E1"/>
    <w:rsid w:val="73E67EC4"/>
    <w:rsid w:val="7685723F"/>
    <w:rsid w:val="7690463D"/>
    <w:rsid w:val="779E0767"/>
    <w:rsid w:val="7B3A4717"/>
    <w:rsid w:val="7CCA7675"/>
    <w:rsid w:val="7D4E6508"/>
    <w:rsid w:val="7D800707"/>
    <w:rsid w:val="7EC15F0F"/>
    <w:rsid w:val="7FC56D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8" w:lineRule="atLeast"/>
      <w:outlineLvl w:val="0"/>
    </w:pPr>
    <w:rPr>
      <w:b/>
      <w:kern w:val="44"/>
      <w:sz w:val="44"/>
    </w:rPr>
  </w:style>
  <w:style w:type="paragraph" w:styleId="3">
    <w:name w:val="heading 2"/>
    <w:basedOn w:val="1"/>
    <w:next w:val="1"/>
    <w:semiHidden/>
    <w:unhideWhenUsed/>
    <w:qFormat/>
    <w:uiPriority w:val="0"/>
    <w:pPr>
      <w:spacing w:before="450" w:beforeAutospacing="0" w:after="225" w:afterAutospacing="0"/>
      <w:ind w:left="0" w:right="0"/>
      <w:jc w:val="center"/>
    </w:pPr>
    <w:rPr>
      <w:rFonts w:hint="eastAsia" w:ascii="宋体" w:hAnsi="宋体" w:eastAsia="宋体" w:cs="宋体"/>
      <w:b/>
      <w:kern w:val="0"/>
      <w:sz w:val="27"/>
      <w:szCs w:val="27"/>
      <w:lang w:val="en-US" w:eastAsia="zh-CN" w:bidi="ar"/>
    </w:rPr>
  </w:style>
  <w:style w:type="character" w:default="1" w:styleId="8">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2020-09-08T00:43:00Z</dcterms:created>
  <dc:creator>Lenovo</dc:creator>
  <cp:lastModifiedBy>Lenovo</cp:lastModifiedBy>
  <cp:lastPrinted>2020-09-08T03:30:00Z</cp:lastPrinted>
  <dcterms:modified xsi:type="dcterms:W3CDTF">2020-10-26T02:02:22Z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