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94" w:lineRule="atLeast"/>
        <w:jc w:val="center"/>
        <w:rPr>
          <w:rFonts w:hint="eastAsia" w:asciiTheme="majorEastAsia" w:hAnsiTheme="majorEastAsia" w:eastAsiaTheme="majorEastAsia" w:cstheme="majorEastAsia"/>
          <w:b/>
          <w:bCs/>
          <w:color w:val="000000"/>
          <w:kern w:val="0"/>
          <w:sz w:val="48"/>
          <w:szCs w:val="48"/>
          <w:lang w:eastAsia="zh-CN"/>
        </w:rPr>
      </w:pPr>
      <w:bookmarkStart w:id="0" w:name="部门决算填报说明（预算单位编写格式）"/>
      <w:r>
        <w:rPr>
          <w:rFonts w:hint="eastAsia" w:asciiTheme="majorEastAsia" w:hAnsiTheme="majorEastAsia" w:eastAsiaTheme="majorEastAsia" w:cstheme="majorEastAsia"/>
          <w:b/>
          <w:bCs/>
          <w:color w:val="000000"/>
          <w:kern w:val="0"/>
          <w:sz w:val="48"/>
          <w:szCs w:val="48"/>
          <w:lang w:eastAsia="zh-CN"/>
        </w:rPr>
        <w:t>衡南县交通运输和旅游局</w:t>
      </w:r>
    </w:p>
    <w:p>
      <w:pPr>
        <w:widowControl/>
        <w:spacing w:line="294" w:lineRule="atLeast"/>
        <w:jc w:val="center"/>
        <w:rPr>
          <w:rFonts w:hint="eastAsia" w:asciiTheme="majorEastAsia" w:hAnsiTheme="majorEastAsia" w:eastAsiaTheme="majorEastAsia" w:cstheme="majorEastAsia"/>
          <w:b/>
          <w:bCs/>
          <w:color w:val="000000"/>
          <w:kern w:val="0"/>
          <w:sz w:val="48"/>
          <w:szCs w:val="48"/>
        </w:rPr>
      </w:pPr>
      <w:r>
        <w:rPr>
          <w:rFonts w:hint="eastAsia" w:asciiTheme="majorEastAsia" w:hAnsiTheme="majorEastAsia" w:eastAsiaTheme="majorEastAsia" w:cstheme="majorEastAsia"/>
          <w:b/>
          <w:bCs/>
          <w:color w:val="000000"/>
          <w:kern w:val="0"/>
          <w:sz w:val="48"/>
          <w:szCs w:val="48"/>
          <w:lang w:val="en-US" w:eastAsia="zh-CN"/>
        </w:rPr>
        <w:t>2018年</w:t>
      </w:r>
      <w:r>
        <w:rPr>
          <w:rFonts w:hint="eastAsia" w:asciiTheme="majorEastAsia" w:hAnsiTheme="majorEastAsia" w:eastAsiaTheme="majorEastAsia" w:cstheme="majorEastAsia"/>
          <w:b/>
          <w:bCs/>
          <w:color w:val="000000"/>
          <w:kern w:val="0"/>
          <w:sz w:val="48"/>
          <w:szCs w:val="48"/>
        </w:rPr>
        <w:t>决算</w:t>
      </w:r>
      <w:r>
        <w:rPr>
          <w:rFonts w:hint="eastAsia" w:asciiTheme="majorEastAsia" w:hAnsiTheme="majorEastAsia" w:eastAsiaTheme="majorEastAsia" w:cstheme="majorEastAsia"/>
          <w:b/>
          <w:bCs/>
          <w:color w:val="000000"/>
          <w:kern w:val="0"/>
          <w:sz w:val="48"/>
          <w:szCs w:val="48"/>
          <w:lang w:eastAsia="zh-CN"/>
        </w:rPr>
        <w:t>编</w:t>
      </w:r>
      <w:r>
        <w:rPr>
          <w:rFonts w:hint="eastAsia" w:asciiTheme="majorEastAsia" w:hAnsiTheme="majorEastAsia" w:eastAsiaTheme="majorEastAsia" w:cstheme="majorEastAsia"/>
          <w:b/>
          <w:bCs/>
          <w:color w:val="000000"/>
          <w:kern w:val="0"/>
          <w:sz w:val="48"/>
          <w:szCs w:val="48"/>
        </w:rPr>
        <w:t>报说明</w:t>
      </w:r>
      <w:bookmarkEnd w:id="0"/>
    </w:p>
    <w:p>
      <w:pPr>
        <w:widowControl/>
        <w:spacing w:line="294" w:lineRule="atLeast"/>
        <w:jc w:val="center"/>
        <w:rPr>
          <w:rFonts w:hint="eastAsia" w:asciiTheme="majorEastAsia" w:hAnsiTheme="majorEastAsia" w:eastAsiaTheme="majorEastAsia" w:cstheme="majorEastAsia"/>
          <w:b/>
          <w:bCs/>
          <w:color w:val="000000"/>
          <w:kern w:val="0"/>
          <w:sz w:val="48"/>
          <w:szCs w:val="48"/>
        </w:rPr>
      </w:pPr>
    </w:p>
    <w:p>
      <w:pPr>
        <w:widowControl/>
        <w:spacing w:line="294" w:lineRule="atLeast"/>
        <w:jc w:val="center"/>
        <w:rPr>
          <w:rFonts w:hint="eastAsia" w:ascii="华文中宋" w:hAnsi="华文中宋" w:eastAsia="华文中宋" w:cs="华文中宋"/>
          <w:b w:val="0"/>
          <w:bCs w:val="0"/>
          <w:color w:val="000000"/>
          <w:kern w:val="0"/>
          <w:sz w:val="36"/>
          <w:szCs w:val="36"/>
          <w:lang w:eastAsia="zh-CN"/>
        </w:rPr>
      </w:pPr>
      <w:r>
        <w:rPr>
          <w:rFonts w:hint="eastAsia" w:ascii="华文中宋" w:hAnsi="华文中宋" w:eastAsia="华文中宋" w:cs="华文中宋"/>
          <w:b w:val="0"/>
          <w:bCs w:val="0"/>
          <w:color w:val="000000"/>
          <w:kern w:val="0"/>
          <w:sz w:val="36"/>
          <w:szCs w:val="36"/>
          <w:lang w:eastAsia="zh-CN"/>
        </w:rPr>
        <w:t>目录</w:t>
      </w:r>
    </w:p>
    <w:p>
      <w:pPr>
        <w:widowControl/>
        <w:spacing w:line="294" w:lineRule="atLeast"/>
        <w:jc w:val="both"/>
        <w:rPr>
          <w:rFonts w:hint="eastAsia" w:ascii="华文仿宋" w:hAnsi="华文仿宋" w:eastAsia="华文仿宋" w:cs="华文仿宋"/>
          <w:color w:val="000000"/>
          <w:kern w:val="0"/>
          <w:sz w:val="30"/>
          <w:szCs w:val="30"/>
          <w:lang w:val="en-US" w:eastAsia="zh-CN"/>
        </w:rPr>
      </w:pPr>
      <w:r>
        <w:rPr>
          <w:rFonts w:hint="eastAsia" w:ascii="华文仿宋" w:hAnsi="华文仿宋" w:eastAsia="华文仿宋" w:cs="华文仿宋"/>
          <w:b/>
          <w:bCs/>
          <w:color w:val="000000"/>
          <w:kern w:val="0"/>
          <w:sz w:val="30"/>
          <w:szCs w:val="30"/>
          <w:lang w:val="en-US" w:eastAsia="zh-CN"/>
        </w:rPr>
        <w:t>一、衡南县交通运输和旅游局概况</w:t>
      </w:r>
    </w:p>
    <w:p>
      <w:pPr>
        <w:widowControl/>
        <w:numPr>
          <w:ilvl w:val="0"/>
          <w:numId w:val="0"/>
        </w:numPr>
        <w:spacing w:line="294" w:lineRule="atLeast"/>
        <w:ind w:firstLine="600" w:firstLineChars="200"/>
        <w:rPr>
          <w:rFonts w:hint="eastAsia" w:ascii="华文仿宋" w:hAnsi="华文仿宋" w:eastAsia="华文仿宋" w:cs="华文仿宋"/>
          <w:color w:val="000000"/>
          <w:kern w:val="0"/>
          <w:sz w:val="30"/>
          <w:szCs w:val="30"/>
          <w:lang w:val="en-US" w:eastAsia="zh-CN"/>
        </w:rPr>
      </w:pPr>
      <w:r>
        <w:rPr>
          <w:rFonts w:hint="eastAsia" w:ascii="华文仿宋" w:hAnsi="华文仿宋" w:eastAsia="华文仿宋" w:cs="华文仿宋"/>
          <w:color w:val="000000"/>
          <w:kern w:val="0"/>
          <w:sz w:val="30"/>
          <w:szCs w:val="30"/>
          <w:lang w:val="en-US" w:eastAsia="zh-CN"/>
        </w:rPr>
        <w:t>（一）部门职责</w:t>
      </w:r>
    </w:p>
    <w:p>
      <w:pPr>
        <w:widowControl/>
        <w:numPr>
          <w:ilvl w:val="0"/>
          <w:numId w:val="1"/>
        </w:numPr>
        <w:spacing w:line="294" w:lineRule="atLeast"/>
        <w:ind w:firstLine="600" w:firstLineChars="200"/>
        <w:rPr>
          <w:rFonts w:hint="eastAsia" w:ascii="华文仿宋" w:hAnsi="华文仿宋" w:eastAsia="华文仿宋" w:cs="华文仿宋"/>
          <w:color w:val="000000"/>
          <w:kern w:val="0"/>
          <w:sz w:val="30"/>
          <w:szCs w:val="30"/>
          <w:lang w:eastAsia="zh-CN"/>
        </w:rPr>
      </w:pPr>
      <w:r>
        <w:rPr>
          <w:rFonts w:hint="eastAsia" w:ascii="华文仿宋" w:hAnsi="华文仿宋" w:eastAsia="华文仿宋" w:cs="华文仿宋"/>
          <w:color w:val="000000"/>
          <w:kern w:val="0"/>
          <w:sz w:val="30"/>
          <w:szCs w:val="30"/>
          <w:lang w:eastAsia="zh-CN"/>
        </w:rPr>
        <w:t>机构设置</w:t>
      </w:r>
    </w:p>
    <w:p>
      <w:pPr>
        <w:widowControl/>
        <w:spacing w:line="294" w:lineRule="atLeast"/>
        <w:rPr>
          <w:rFonts w:hint="eastAsia" w:ascii="华文仿宋" w:hAnsi="华文仿宋" w:eastAsia="华文仿宋" w:cs="华文仿宋"/>
          <w:b/>
          <w:bCs/>
          <w:color w:val="000000"/>
          <w:kern w:val="0"/>
          <w:sz w:val="30"/>
          <w:szCs w:val="30"/>
        </w:rPr>
      </w:pPr>
      <w:r>
        <w:rPr>
          <w:rFonts w:hint="eastAsia" w:ascii="华文仿宋" w:hAnsi="华文仿宋" w:eastAsia="华文仿宋" w:cs="华文仿宋"/>
          <w:b/>
          <w:bCs/>
          <w:color w:val="000000"/>
          <w:kern w:val="0"/>
          <w:sz w:val="30"/>
          <w:szCs w:val="30"/>
          <w:lang w:eastAsia="zh-CN"/>
        </w:rPr>
        <w:t>二</w:t>
      </w:r>
      <w:r>
        <w:rPr>
          <w:rFonts w:hint="eastAsia" w:ascii="华文仿宋" w:hAnsi="华文仿宋" w:eastAsia="华文仿宋" w:cs="华文仿宋"/>
          <w:b/>
          <w:bCs/>
          <w:color w:val="000000"/>
          <w:kern w:val="0"/>
          <w:sz w:val="30"/>
          <w:szCs w:val="30"/>
        </w:rPr>
        <w:t>、决算信息来源说明</w:t>
      </w:r>
    </w:p>
    <w:p>
      <w:pPr>
        <w:pStyle w:val="2"/>
        <w:keepNext w:val="0"/>
        <w:keepLines w:val="0"/>
        <w:widowControl/>
        <w:suppressLineNumbers w:val="0"/>
        <w:spacing w:before="0" w:beforeAutospacing="0" w:after="0" w:afterAutospacing="0" w:line="30" w:lineRule="atLeast"/>
        <w:ind w:left="0" w:right="0"/>
        <w:jc w:val="both"/>
        <w:rPr>
          <w:rFonts w:hint="eastAsia" w:ascii="华文仿宋" w:hAnsi="华文仿宋" w:eastAsia="华文仿宋" w:cs="华文仿宋"/>
          <w:b/>
          <w:bCs/>
          <w:sz w:val="30"/>
          <w:szCs w:val="30"/>
        </w:rPr>
      </w:pPr>
      <w:r>
        <w:rPr>
          <w:rFonts w:hint="eastAsia" w:ascii="华文仿宋" w:hAnsi="华文仿宋" w:eastAsia="华文仿宋" w:cs="华文仿宋"/>
          <w:b/>
          <w:bCs/>
          <w:sz w:val="30"/>
          <w:szCs w:val="30"/>
          <w:shd w:val="clear" w:fill="FFFFFF"/>
          <w:lang w:eastAsia="zh-CN"/>
        </w:rPr>
        <w:t>三</w:t>
      </w:r>
      <w:r>
        <w:rPr>
          <w:rFonts w:hint="eastAsia" w:ascii="华文仿宋" w:hAnsi="华文仿宋" w:eastAsia="华文仿宋" w:cs="华文仿宋"/>
          <w:b/>
          <w:bCs/>
          <w:sz w:val="30"/>
          <w:szCs w:val="30"/>
          <w:shd w:val="clear" w:fill="FFFFFF"/>
        </w:rPr>
        <w:t>、预算执行情况分析</w:t>
      </w:r>
    </w:p>
    <w:p>
      <w:pPr>
        <w:pStyle w:val="2"/>
        <w:keepNext w:val="0"/>
        <w:keepLines w:val="0"/>
        <w:widowControl/>
        <w:suppressLineNumbers w:val="0"/>
        <w:spacing w:before="0" w:beforeAutospacing="0" w:after="0" w:afterAutospacing="0" w:line="30" w:lineRule="atLeast"/>
        <w:ind w:left="0" w:right="0" w:firstLine="600"/>
        <w:jc w:val="both"/>
        <w:rPr>
          <w:rFonts w:hint="eastAsia" w:ascii="华文仿宋" w:hAnsi="华文仿宋" w:eastAsia="华文仿宋" w:cs="华文仿宋"/>
          <w:sz w:val="30"/>
          <w:szCs w:val="30"/>
          <w:shd w:val="clear" w:fill="FFFFFF"/>
        </w:rPr>
      </w:pPr>
      <w:r>
        <w:rPr>
          <w:rFonts w:hint="eastAsia" w:ascii="华文仿宋" w:hAnsi="华文仿宋" w:eastAsia="华文仿宋" w:cs="华文仿宋"/>
          <w:sz w:val="30"/>
          <w:szCs w:val="30"/>
          <w:shd w:val="clear" w:fill="FFFFFF"/>
          <w:lang w:eastAsia="zh-CN"/>
        </w:rPr>
        <w:t>（一）</w:t>
      </w:r>
      <w:r>
        <w:rPr>
          <w:rFonts w:hint="eastAsia" w:ascii="华文仿宋" w:hAnsi="华文仿宋" w:eastAsia="华文仿宋" w:cs="华文仿宋"/>
          <w:sz w:val="30"/>
          <w:szCs w:val="30"/>
          <w:shd w:val="clear" w:fill="FFFFFF"/>
        </w:rPr>
        <w:t>收支决算情况</w:t>
      </w:r>
    </w:p>
    <w:p>
      <w:pPr>
        <w:pStyle w:val="2"/>
        <w:keepNext w:val="0"/>
        <w:keepLines w:val="0"/>
        <w:widowControl/>
        <w:numPr>
          <w:ilvl w:val="0"/>
          <w:numId w:val="2"/>
        </w:numPr>
        <w:suppressLineNumbers w:val="0"/>
        <w:spacing w:before="0" w:beforeAutospacing="0" w:after="0" w:afterAutospacing="0" w:line="30" w:lineRule="atLeast"/>
        <w:ind w:left="600" w:leftChars="0" w:right="0" w:firstLine="0" w:firstLineChars="0"/>
        <w:jc w:val="both"/>
        <w:rPr>
          <w:rFonts w:hint="eastAsia" w:ascii="华文仿宋" w:hAnsi="华文仿宋" w:eastAsia="华文仿宋" w:cs="华文仿宋"/>
          <w:sz w:val="30"/>
          <w:szCs w:val="30"/>
          <w:shd w:val="clear" w:fill="FFFFFF"/>
        </w:rPr>
      </w:pPr>
      <w:r>
        <w:rPr>
          <w:rFonts w:hint="eastAsia" w:ascii="华文仿宋" w:hAnsi="华文仿宋" w:eastAsia="华文仿宋" w:cs="华文仿宋"/>
          <w:sz w:val="30"/>
          <w:szCs w:val="30"/>
          <w:shd w:val="clear" w:fill="FFFFFF"/>
        </w:rPr>
        <w:t>一般公共预算财政拨款支出情况</w:t>
      </w:r>
    </w:p>
    <w:p>
      <w:pPr>
        <w:pStyle w:val="2"/>
        <w:keepNext w:val="0"/>
        <w:keepLines w:val="0"/>
        <w:widowControl/>
        <w:numPr>
          <w:ilvl w:val="0"/>
          <w:numId w:val="2"/>
        </w:numPr>
        <w:suppressLineNumbers w:val="0"/>
        <w:spacing w:before="0" w:beforeAutospacing="0" w:after="0" w:afterAutospacing="0" w:line="30" w:lineRule="atLeast"/>
        <w:ind w:left="600" w:leftChars="0" w:right="0" w:firstLine="0" w:firstLineChars="0"/>
        <w:jc w:val="both"/>
        <w:rPr>
          <w:rFonts w:hint="eastAsia" w:ascii="华文仿宋" w:hAnsi="华文仿宋" w:eastAsia="华文仿宋" w:cs="华文仿宋"/>
          <w:b/>
          <w:bCs/>
          <w:sz w:val="30"/>
          <w:szCs w:val="30"/>
          <w:shd w:val="clear" w:fill="FFFFFF"/>
          <w:lang w:eastAsia="zh-CN"/>
        </w:rPr>
      </w:pPr>
      <w:r>
        <w:rPr>
          <w:rFonts w:hint="eastAsia" w:ascii="华文仿宋" w:hAnsi="华文仿宋" w:eastAsia="华文仿宋" w:cs="华文仿宋"/>
          <w:sz w:val="30"/>
          <w:szCs w:val="30"/>
          <w:shd w:val="clear" w:fill="FFFFFF"/>
        </w:rPr>
        <w:t>“三公”经费决算情况</w:t>
      </w:r>
    </w:p>
    <w:p>
      <w:pPr>
        <w:pStyle w:val="2"/>
        <w:keepNext w:val="0"/>
        <w:keepLines w:val="0"/>
        <w:widowControl/>
        <w:numPr>
          <w:ilvl w:val="0"/>
          <w:numId w:val="0"/>
        </w:numPr>
        <w:suppressLineNumbers w:val="0"/>
        <w:spacing w:before="0" w:beforeAutospacing="0" w:after="0" w:afterAutospacing="0" w:line="30" w:lineRule="atLeast"/>
        <w:ind w:right="0" w:rightChars="0"/>
        <w:jc w:val="both"/>
        <w:rPr>
          <w:rFonts w:hint="eastAsia" w:ascii="华文仿宋" w:hAnsi="华文仿宋" w:eastAsia="华文仿宋" w:cs="华文仿宋"/>
          <w:b/>
          <w:bCs/>
          <w:sz w:val="30"/>
          <w:szCs w:val="30"/>
          <w:shd w:val="clear" w:fill="FFFFFF"/>
          <w:lang w:eastAsia="zh-CN"/>
        </w:rPr>
      </w:pPr>
      <w:r>
        <w:rPr>
          <w:rFonts w:hint="eastAsia" w:ascii="华文仿宋" w:hAnsi="华文仿宋" w:eastAsia="华文仿宋" w:cs="华文仿宋"/>
          <w:b/>
          <w:bCs/>
          <w:sz w:val="30"/>
          <w:szCs w:val="30"/>
          <w:shd w:val="clear" w:fill="FFFFFF"/>
          <w:lang w:eastAsia="zh-CN"/>
        </w:rPr>
        <w:t>四、其他重要事项</w:t>
      </w:r>
    </w:p>
    <w:p>
      <w:pPr>
        <w:pStyle w:val="2"/>
        <w:keepNext w:val="0"/>
        <w:keepLines w:val="0"/>
        <w:widowControl/>
        <w:numPr>
          <w:ilvl w:val="0"/>
          <w:numId w:val="3"/>
        </w:numPr>
        <w:suppressLineNumbers w:val="0"/>
        <w:spacing w:before="0" w:beforeAutospacing="0" w:after="0" w:afterAutospacing="0" w:line="30" w:lineRule="atLeast"/>
        <w:ind w:left="600" w:leftChars="0" w:right="0" w:rightChars="0" w:firstLine="0" w:firstLineChars="0"/>
        <w:jc w:val="both"/>
        <w:rPr>
          <w:rFonts w:hint="eastAsia"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机关运行经费支出情况</w:t>
      </w:r>
    </w:p>
    <w:p>
      <w:pPr>
        <w:pStyle w:val="2"/>
        <w:keepNext w:val="0"/>
        <w:keepLines w:val="0"/>
        <w:widowControl/>
        <w:numPr>
          <w:ilvl w:val="0"/>
          <w:numId w:val="3"/>
        </w:numPr>
        <w:suppressLineNumbers w:val="0"/>
        <w:spacing w:before="0" w:beforeAutospacing="0" w:after="0" w:afterAutospacing="0" w:line="30" w:lineRule="atLeast"/>
        <w:ind w:left="600" w:leftChars="0" w:right="0" w:rightChars="0" w:firstLine="0" w:firstLineChars="0"/>
        <w:jc w:val="both"/>
        <w:rPr>
          <w:rFonts w:hint="default"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政府采购支出情况</w:t>
      </w:r>
    </w:p>
    <w:p>
      <w:pPr>
        <w:keepNext w:val="0"/>
        <w:keepLines w:val="0"/>
        <w:pageBreakBefore w:val="0"/>
        <w:widowControl/>
        <w:numPr>
          <w:ilvl w:val="0"/>
          <w:numId w:val="3"/>
        </w:numPr>
        <w:shd w:val="clear" w:color="auto" w:fill="FFFFFF"/>
        <w:kinsoku/>
        <w:wordWrap/>
        <w:overflowPunct/>
        <w:topLinePunct w:val="0"/>
        <w:autoSpaceDE/>
        <w:autoSpaceDN/>
        <w:bidi w:val="0"/>
        <w:adjustRightInd/>
        <w:snapToGrid/>
        <w:spacing w:line="600" w:lineRule="exact"/>
        <w:ind w:left="600" w:leftChars="0" w:firstLine="0" w:firstLineChars="0"/>
        <w:jc w:val="left"/>
        <w:textAlignment w:val="auto"/>
        <w:rPr>
          <w:rFonts w:hint="eastAsia"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国有资产占用情况</w:t>
      </w:r>
    </w:p>
    <w:p>
      <w:pPr>
        <w:pStyle w:val="2"/>
        <w:keepNext w:val="0"/>
        <w:keepLines w:val="0"/>
        <w:widowControl/>
        <w:numPr>
          <w:ilvl w:val="0"/>
          <w:numId w:val="4"/>
        </w:numPr>
        <w:suppressLineNumbers w:val="0"/>
        <w:spacing w:before="0" w:beforeAutospacing="0" w:after="0" w:afterAutospacing="0" w:line="30" w:lineRule="atLeast"/>
        <w:ind w:leftChars="0" w:right="0" w:rightChars="0"/>
        <w:jc w:val="both"/>
        <w:rPr>
          <w:rFonts w:hint="eastAsia" w:ascii="华文仿宋" w:hAnsi="华文仿宋" w:eastAsia="华文仿宋" w:cs="华文仿宋"/>
          <w:b/>
          <w:bCs/>
          <w:color w:val="000000"/>
          <w:kern w:val="0"/>
          <w:sz w:val="30"/>
          <w:szCs w:val="30"/>
          <w:lang w:val="en-US" w:eastAsia="zh-CN" w:bidi="ar-SA"/>
        </w:rPr>
      </w:pPr>
      <w:r>
        <w:rPr>
          <w:rFonts w:hint="eastAsia" w:ascii="华文仿宋" w:hAnsi="华文仿宋" w:eastAsia="华文仿宋" w:cs="华文仿宋"/>
          <w:b/>
          <w:bCs/>
          <w:color w:val="000000"/>
          <w:kern w:val="0"/>
          <w:sz w:val="30"/>
          <w:szCs w:val="30"/>
          <w:lang w:val="en-US" w:eastAsia="zh-CN" w:bidi="ar-SA"/>
        </w:rPr>
        <w:t>预算绩效目标说明</w:t>
      </w:r>
    </w:p>
    <w:p>
      <w:pPr>
        <w:pStyle w:val="2"/>
        <w:keepNext w:val="0"/>
        <w:keepLines w:val="0"/>
        <w:widowControl/>
        <w:numPr>
          <w:ilvl w:val="0"/>
          <w:numId w:val="4"/>
        </w:numPr>
        <w:suppressLineNumbers w:val="0"/>
        <w:spacing w:before="0" w:beforeAutospacing="0" w:after="0" w:afterAutospacing="0" w:line="30" w:lineRule="atLeast"/>
        <w:ind w:leftChars="0" w:right="0" w:rightChars="0"/>
        <w:jc w:val="both"/>
        <w:rPr>
          <w:rFonts w:hint="eastAsia" w:ascii="华文仿宋" w:hAnsi="华文仿宋" w:eastAsia="华文仿宋" w:cs="华文仿宋"/>
          <w:b/>
          <w:bCs/>
          <w:color w:val="000000"/>
          <w:kern w:val="0"/>
          <w:sz w:val="30"/>
          <w:szCs w:val="30"/>
        </w:rPr>
      </w:pPr>
      <w:r>
        <w:rPr>
          <w:rFonts w:hint="eastAsia" w:ascii="华文仿宋" w:hAnsi="华文仿宋" w:eastAsia="华文仿宋" w:cs="华文仿宋"/>
          <w:b/>
          <w:bCs/>
          <w:color w:val="000000"/>
          <w:kern w:val="0"/>
          <w:sz w:val="30"/>
          <w:szCs w:val="30"/>
        </w:rPr>
        <w:t>报表审核情况</w:t>
      </w:r>
    </w:p>
    <w:p>
      <w:pPr>
        <w:widowControl/>
        <w:numPr>
          <w:ilvl w:val="0"/>
          <w:numId w:val="5"/>
        </w:numPr>
        <w:spacing w:line="294" w:lineRule="atLeast"/>
        <w:ind w:firstLine="600" w:firstLineChars="200"/>
        <w:rPr>
          <w:rFonts w:hint="eastAsia" w:ascii="华文仿宋" w:hAnsi="华文仿宋" w:eastAsia="华文仿宋" w:cs="华文仿宋"/>
          <w:color w:val="000000"/>
          <w:kern w:val="0"/>
          <w:sz w:val="30"/>
          <w:szCs w:val="30"/>
          <w:lang w:val="en-US" w:eastAsia="zh-CN"/>
        </w:rPr>
      </w:pPr>
      <w:r>
        <w:rPr>
          <w:rFonts w:hint="eastAsia" w:ascii="华文仿宋" w:hAnsi="华文仿宋" w:eastAsia="华文仿宋" w:cs="华文仿宋"/>
          <w:color w:val="000000"/>
          <w:kern w:val="0"/>
          <w:sz w:val="30"/>
          <w:szCs w:val="30"/>
        </w:rPr>
        <w:t>审核情况</w:t>
      </w:r>
    </w:p>
    <w:p>
      <w:pPr>
        <w:widowControl/>
        <w:spacing w:line="294" w:lineRule="atLeast"/>
        <w:ind w:firstLine="600" w:firstLineChars="200"/>
        <w:rPr>
          <w:rFonts w:hint="eastAsia" w:ascii="华文仿宋" w:hAnsi="华文仿宋" w:eastAsia="华文仿宋" w:cs="华文仿宋"/>
          <w:color w:val="000000"/>
          <w:kern w:val="0"/>
          <w:sz w:val="30"/>
          <w:szCs w:val="30"/>
          <w:lang w:val="en-US" w:eastAsia="zh-CN"/>
        </w:rPr>
      </w:pPr>
      <w:r>
        <w:rPr>
          <w:rFonts w:hint="eastAsia" w:ascii="华文仿宋" w:hAnsi="华文仿宋" w:eastAsia="华文仿宋" w:cs="华文仿宋"/>
          <w:color w:val="000000"/>
          <w:kern w:val="0"/>
          <w:sz w:val="30"/>
          <w:szCs w:val="30"/>
          <w:lang w:eastAsia="zh-CN"/>
        </w:rPr>
        <w:t>（二）</w:t>
      </w:r>
      <w:r>
        <w:rPr>
          <w:rFonts w:hint="eastAsia" w:ascii="华文仿宋" w:hAnsi="华文仿宋" w:eastAsia="华文仿宋" w:cs="华文仿宋"/>
          <w:color w:val="000000"/>
          <w:kern w:val="0"/>
          <w:sz w:val="30"/>
          <w:szCs w:val="30"/>
        </w:rPr>
        <w:t>对报表指标、审核公式和审核模板的设置建议</w:t>
      </w:r>
    </w:p>
    <w:p>
      <w:pPr>
        <w:widowControl/>
        <w:numPr>
          <w:ilvl w:val="0"/>
          <w:numId w:val="0"/>
        </w:numPr>
        <w:spacing w:line="294" w:lineRule="atLeast"/>
        <w:rPr>
          <w:rFonts w:hint="eastAsia" w:ascii="华文仿宋" w:hAnsi="华文仿宋" w:eastAsia="华文仿宋" w:cs="华文仿宋"/>
          <w:color w:val="000000"/>
          <w:kern w:val="0"/>
          <w:sz w:val="30"/>
          <w:szCs w:val="30"/>
          <w:lang w:val="en-US" w:eastAsia="zh-CN"/>
        </w:rPr>
      </w:pPr>
    </w:p>
    <w:p>
      <w:pPr>
        <w:widowControl/>
        <w:numPr>
          <w:ilvl w:val="0"/>
          <w:numId w:val="0"/>
        </w:numPr>
        <w:spacing w:line="294" w:lineRule="atLeast"/>
        <w:rPr>
          <w:rFonts w:hint="default" w:ascii="华文仿宋" w:hAnsi="华文仿宋" w:eastAsia="华文仿宋" w:cs="华文仿宋"/>
          <w:color w:val="000000"/>
          <w:kern w:val="0"/>
          <w:sz w:val="30"/>
          <w:szCs w:val="30"/>
          <w:lang w:val="en-US" w:eastAsia="zh-CN"/>
        </w:rPr>
      </w:pPr>
    </w:p>
    <w:p>
      <w:pPr>
        <w:widowControl/>
        <w:numPr>
          <w:ilvl w:val="0"/>
          <w:numId w:val="0"/>
        </w:numPr>
        <w:spacing w:line="294" w:lineRule="atLeast"/>
        <w:rPr>
          <w:rFonts w:hint="eastAsia" w:ascii="华文仿宋" w:hAnsi="华文仿宋" w:eastAsia="华文仿宋" w:cs="华文仿宋"/>
          <w:b/>
          <w:bCs/>
          <w:color w:val="000000"/>
          <w:kern w:val="0"/>
          <w:sz w:val="30"/>
          <w:szCs w:val="30"/>
        </w:rPr>
      </w:pPr>
      <w:r>
        <w:rPr>
          <w:rFonts w:hint="eastAsia" w:ascii="华文仿宋" w:hAnsi="华文仿宋" w:eastAsia="华文仿宋" w:cs="华文仿宋"/>
          <w:b/>
          <w:bCs/>
          <w:color w:val="000000"/>
          <w:kern w:val="0"/>
          <w:sz w:val="30"/>
          <w:szCs w:val="30"/>
          <w:lang w:val="en-US" w:eastAsia="zh-CN"/>
        </w:rPr>
        <w:t>一、衡南县交通运输和旅游局概况</w:t>
      </w:r>
      <w:r>
        <w:rPr>
          <w:rFonts w:hint="eastAsia" w:ascii="华文仿宋" w:hAnsi="华文仿宋" w:eastAsia="华文仿宋" w:cs="华文仿宋"/>
          <w:b/>
          <w:bCs/>
          <w:color w:val="000000"/>
          <w:kern w:val="0"/>
          <w:sz w:val="30"/>
          <w:szCs w:val="30"/>
        </w:rPr>
        <w:t> </w:t>
      </w:r>
    </w:p>
    <w:p>
      <w:pPr>
        <w:widowControl/>
        <w:numPr>
          <w:ilvl w:val="0"/>
          <w:numId w:val="0"/>
        </w:numPr>
        <w:spacing w:line="294" w:lineRule="atLeast"/>
        <w:ind w:firstLine="600" w:firstLineChars="200"/>
        <w:rPr>
          <w:rFonts w:hint="eastAsia" w:ascii="华文仿宋" w:hAnsi="华文仿宋" w:eastAsia="华文仿宋" w:cs="华文仿宋"/>
          <w:color w:val="000000"/>
          <w:kern w:val="0"/>
          <w:sz w:val="30"/>
          <w:szCs w:val="30"/>
          <w:lang w:val="en-US" w:eastAsia="zh-CN"/>
        </w:rPr>
      </w:pPr>
      <w:r>
        <w:rPr>
          <w:rFonts w:hint="eastAsia" w:ascii="华文仿宋" w:hAnsi="华文仿宋" w:eastAsia="华文仿宋" w:cs="华文仿宋"/>
          <w:color w:val="000000"/>
          <w:kern w:val="0"/>
          <w:sz w:val="30"/>
          <w:szCs w:val="30"/>
          <w:lang w:val="en-US" w:eastAsia="zh-CN"/>
        </w:rPr>
        <w:t>（一）部门职责</w:t>
      </w:r>
    </w:p>
    <w:p>
      <w:pPr>
        <w:widowControl/>
        <w:numPr>
          <w:ilvl w:val="0"/>
          <w:numId w:val="0"/>
        </w:numPr>
        <w:spacing w:line="294" w:lineRule="atLeast"/>
        <w:ind w:firstLine="600" w:firstLineChars="200"/>
        <w:rPr>
          <w:rFonts w:hint="eastAsia" w:ascii="华文仿宋" w:hAnsi="华文仿宋" w:eastAsia="华文仿宋" w:cs="华文仿宋"/>
          <w:color w:val="000000"/>
          <w:kern w:val="0"/>
          <w:sz w:val="30"/>
          <w:szCs w:val="30"/>
        </w:rPr>
      </w:pPr>
      <w:r>
        <w:rPr>
          <w:rFonts w:hint="eastAsia" w:ascii="华文仿宋" w:hAnsi="华文仿宋" w:eastAsia="华文仿宋" w:cs="华文仿宋"/>
          <w:color w:val="000000"/>
          <w:kern w:val="0"/>
          <w:sz w:val="30"/>
          <w:szCs w:val="30"/>
        </w:rPr>
        <w:t>为贯彻执行国家有关交通的政策、法规，拟定全县交通工作方针、政策和规章；负责交通行政执法的检查、监督。组织拟定全县公路、水路交通行业发展规划和年度计划并监督实施；负责交通行业统计和信息引导工作；负责管协助理和指导交通战备工作。指导交通行业体制改革；负责对公路、水路交通运输市场和建设市场实施监督管理，维护公路、水路交通行业的平等竞争秩序；引导交通运输行业优化结构，协调发展。负责本县城乡客运及有关设施规划和管理工作；负责本县出租车行业管理工作；负责县管道运输有关管理工作；协助管理民航机场有关工作等。</w:t>
      </w:r>
    </w:p>
    <w:p>
      <w:pPr>
        <w:widowControl/>
        <w:numPr>
          <w:ilvl w:val="0"/>
          <w:numId w:val="1"/>
        </w:numPr>
        <w:spacing w:line="294" w:lineRule="atLeast"/>
        <w:ind w:firstLine="600" w:firstLineChars="200"/>
        <w:rPr>
          <w:rFonts w:hint="eastAsia" w:ascii="华文仿宋" w:hAnsi="华文仿宋" w:eastAsia="华文仿宋" w:cs="华文仿宋"/>
          <w:color w:val="000000"/>
          <w:kern w:val="0"/>
          <w:sz w:val="30"/>
          <w:szCs w:val="30"/>
          <w:lang w:eastAsia="zh-CN"/>
        </w:rPr>
      </w:pPr>
      <w:r>
        <w:rPr>
          <w:rFonts w:hint="eastAsia" w:ascii="华文仿宋" w:hAnsi="华文仿宋" w:eastAsia="华文仿宋" w:cs="华文仿宋"/>
          <w:color w:val="000000"/>
          <w:kern w:val="0"/>
          <w:sz w:val="30"/>
          <w:szCs w:val="30"/>
          <w:lang w:eastAsia="zh-CN"/>
        </w:rPr>
        <w:t>机构设置及决算单位构成</w:t>
      </w:r>
    </w:p>
    <w:p>
      <w:pPr>
        <w:widowControl/>
        <w:numPr>
          <w:ilvl w:val="0"/>
          <w:numId w:val="0"/>
        </w:numPr>
        <w:spacing w:line="294" w:lineRule="atLeast"/>
        <w:ind w:firstLine="600" w:firstLineChars="200"/>
        <w:rPr>
          <w:rFonts w:hint="eastAsia" w:ascii="华文仿宋" w:hAnsi="华文仿宋" w:eastAsia="华文仿宋" w:cs="华文仿宋"/>
          <w:b/>
          <w:bCs/>
          <w:color w:val="000000"/>
          <w:kern w:val="0"/>
          <w:sz w:val="30"/>
          <w:szCs w:val="30"/>
          <w:lang w:eastAsia="zh-CN"/>
        </w:rPr>
      </w:pPr>
      <w:r>
        <w:rPr>
          <w:rFonts w:hint="eastAsia" w:ascii="华文仿宋" w:hAnsi="华文仿宋" w:eastAsia="华文仿宋" w:cs="华文仿宋"/>
          <w:color w:val="000000"/>
          <w:kern w:val="0"/>
          <w:sz w:val="30"/>
          <w:szCs w:val="30"/>
          <w:lang w:eastAsia="zh-CN"/>
        </w:rPr>
        <w:t>衡南县交通运输和旅游局</w:t>
      </w:r>
      <w:r>
        <w:rPr>
          <w:rFonts w:hint="eastAsia" w:ascii="华文仿宋" w:hAnsi="华文仿宋" w:eastAsia="华文仿宋" w:cs="华文仿宋"/>
          <w:color w:val="000000"/>
          <w:kern w:val="0"/>
          <w:sz w:val="30"/>
          <w:szCs w:val="30"/>
        </w:rPr>
        <w:t>下设了</w:t>
      </w:r>
      <w:r>
        <w:rPr>
          <w:rFonts w:hint="eastAsia" w:ascii="华文仿宋" w:hAnsi="华文仿宋" w:eastAsia="华文仿宋" w:cs="华文仿宋"/>
          <w:color w:val="000000"/>
          <w:kern w:val="0"/>
          <w:sz w:val="30"/>
          <w:szCs w:val="30"/>
          <w:lang w:eastAsia="zh-CN"/>
        </w:rPr>
        <w:t>县农村公路管</w:t>
      </w:r>
      <w:r>
        <w:rPr>
          <w:rFonts w:hint="eastAsia" w:ascii="华文仿宋" w:hAnsi="华文仿宋" w:eastAsia="华文仿宋" w:cs="华文仿宋"/>
          <w:sz w:val="30"/>
          <w:szCs w:val="30"/>
          <w:lang w:eastAsia="zh-CN"/>
        </w:rPr>
        <w:t>理所、县交通工程质量与安全监督管理所、县道路运输管理所、县地方海事处</w:t>
      </w:r>
      <w:r>
        <w:rPr>
          <w:rFonts w:hint="eastAsia" w:ascii="华文仿宋" w:hAnsi="华文仿宋" w:eastAsia="华文仿宋" w:cs="华文仿宋"/>
          <w:sz w:val="30"/>
          <w:szCs w:val="30"/>
        </w:rPr>
        <w:t>四个二级机构</w:t>
      </w:r>
      <w:r>
        <w:rPr>
          <w:rFonts w:hint="eastAsia" w:ascii="华文仿宋" w:hAnsi="华文仿宋" w:eastAsia="华文仿宋" w:cs="华文仿宋"/>
          <w:sz w:val="30"/>
          <w:szCs w:val="30"/>
          <w:lang w:eastAsia="zh-CN"/>
        </w:rPr>
        <w:t>；县交通局</w:t>
      </w:r>
      <w:r>
        <w:rPr>
          <w:rFonts w:hint="eastAsia" w:ascii="华文仿宋" w:hAnsi="华文仿宋" w:eastAsia="华文仿宋" w:cs="华文仿宋"/>
          <w:sz w:val="30"/>
          <w:szCs w:val="30"/>
        </w:rPr>
        <w:t>按有关规定和章程设置</w:t>
      </w:r>
      <w:r>
        <w:rPr>
          <w:rFonts w:hint="eastAsia" w:ascii="华文仿宋" w:hAnsi="华文仿宋" w:eastAsia="华文仿宋" w:cs="华文仿宋"/>
          <w:sz w:val="30"/>
          <w:szCs w:val="30"/>
          <w:lang w:eastAsia="zh-CN"/>
        </w:rPr>
        <w:t>内设</w:t>
      </w:r>
      <w:r>
        <w:rPr>
          <w:rFonts w:hint="eastAsia" w:ascii="华文仿宋" w:hAnsi="华文仿宋" w:eastAsia="华文仿宋" w:cs="华文仿宋"/>
          <w:sz w:val="30"/>
          <w:szCs w:val="30"/>
        </w:rPr>
        <w:t>办公室、人事股、安全法规股、计划基建股、财务统计股、工会等机构。</w:t>
      </w:r>
    </w:p>
    <w:p>
      <w:pPr>
        <w:widowControl/>
        <w:spacing w:line="294" w:lineRule="atLeast"/>
        <w:rPr>
          <w:rFonts w:hint="eastAsia" w:ascii="华文仿宋" w:hAnsi="华文仿宋" w:eastAsia="华文仿宋" w:cs="华文仿宋"/>
          <w:b/>
          <w:bCs/>
          <w:color w:val="000000"/>
          <w:kern w:val="0"/>
          <w:sz w:val="30"/>
          <w:szCs w:val="30"/>
        </w:rPr>
      </w:pPr>
      <w:r>
        <w:rPr>
          <w:rFonts w:hint="eastAsia" w:ascii="华文仿宋" w:hAnsi="华文仿宋" w:eastAsia="华文仿宋" w:cs="华文仿宋"/>
          <w:b/>
          <w:bCs/>
          <w:color w:val="000000"/>
          <w:kern w:val="0"/>
          <w:sz w:val="30"/>
          <w:szCs w:val="30"/>
          <w:lang w:eastAsia="zh-CN"/>
        </w:rPr>
        <w:t>二</w:t>
      </w:r>
      <w:r>
        <w:rPr>
          <w:rFonts w:hint="eastAsia" w:ascii="华文仿宋" w:hAnsi="华文仿宋" w:eastAsia="华文仿宋" w:cs="华文仿宋"/>
          <w:b/>
          <w:bCs/>
          <w:color w:val="000000"/>
          <w:kern w:val="0"/>
          <w:sz w:val="30"/>
          <w:szCs w:val="30"/>
        </w:rPr>
        <w:t>、决算信息来源说明</w:t>
      </w:r>
    </w:p>
    <w:p>
      <w:pPr>
        <w:widowControl/>
        <w:spacing w:line="294" w:lineRule="atLeast"/>
        <w:ind w:firstLine="480"/>
        <w:rPr>
          <w:rFonts w:hint="eastAsia" w:ascii="华文仿宋" w:hAnsi="华文仿宋" w:eastAsia="华文仿宋" w:cs="华文仿宋"/>
          <w:color w:val="000000"/>
          <w:kern w:val="0"/>
          <w:sz w:val="30"/>
          <w:szCs w:val="30"/>
        </w:rPr>
      </w:pPr>
      <w:r>
        <w:rPr>
          <w:rFonts w:hint="eastAsia" w:ascii="华文仿宋" w:hAnsi="华文仿宋" w:eastAsia="华文仿宋" w:cs="华文仿宋"/>
          <w:color w:val="000000"/>
          <w:kern w:val="0"/>
          <w:sz w:val="30"/>
          <w:szCs w:val="30"/>
        </w:rPr>
        <w:t>（一）本套决算主表决算数据主要依据本单位会计账簿总账及明细账数据填列，预算数据依据本单位预、决算批复文件及预算调整文件填列。</w:t>
      </w:r>
    </w:p>
    <w:p>
      <w:pPr>
        <w:widowControl/>
        <w:spacing w:line="294" w:lineRule="atLeast"/>
        <w:ind w:firstLine="480"/>
        <w:rPr>
          <w:rFonts w:hint="eastAsia" w:ascii="华文仿宋" w:hAnsi="华文仿宋" w:eastAsia="华文仿宋" w:cs="华文仿宋"/>
          <w:color w:val="000000"/>
          <w:kern w:val="0"/>
          <w:sz w:val="30"/>
          <w:szCs w:val="30"/>
        </w:rPr>
      </w:pPr>
      <w:r>
        <w:rPr>
          <w:rFonts w:hint="eastAsia" w:ascii="华文仿宋" w:hAnsi="华文仿宋" w:eastAsia="华文仿宋" w:cs="华文仿宋"/>
          <w:color w:val="000000"/>
          <w:kern w:val="0"/>
          <w:sz w:val="30"/>
          <w:szCs w:val="30"/>
        </w:rPr>
        <w:t>（二）本套决算附表数据主要依据本单位资产、人事台账及相关统计资料填列，其中：“资产情况表”“国有资产收益征缴情况表”依据本单位资产相关会计账簿数据及统计资料填列；“基本数据表”“机构人员情况表”依据本单位人事台账相关资料填列</w:t>
      </w:r>
      <w:r>
        <w:rPr>
          <w:rFonts w:hint="eastAsia" w:ascii="华文仿宋" w:hAnsi="华文仿宋" w:eastAsia="华文仿宋" w:cs="华文仿宋"/>
          <w:color w:val="000000"/>
          <w:kern w:val="0"/>
          <w:sz w:val="30"/>
          <w:szCs w:val="30"/>
          <w:lang w:eastAsia="zh-CN"/>
        </w:rPr>
        <w:t>。</w:t>
      </w:r>
    </w:p>
    <w:p>
      <w:pPr>
        <w:widowControl/>
        <w:spacing w:line="294" w:lineRule="atLeast"/>
        <w:ind w:firstLine="480"/>
        <w:rPr>
          <w:rFonts w:hint="eastAsia" w:ascii="华文仿宋" w:hAnsi="华文仿宋" w:eastAsia="华文仿宋" w:cs="华文仿宋"/>
          <w:color w:val="000000"/>
          <w:kern w:val="0"/>
          <w:sz w:val="30"/>
          <w:szCs w:val="30"/>
        </w:rPr>
      </w:pPr>
      <w:r>
        <w:rPr>
          <w:rFonts w:hint="eastAsia" w:ascii="华文仿宋" w:hAnsi="华文仿宋" w:eastAsia="华文仿宋" w:cs="华文仿宋"/>
          <w:color w:val="000000"/>
          <w:kern w:val="0"/>
          <w:sz w:val="30"/>
          <w:szCs w:val="30"/>
        </w:rPr>
        <w:t>（三）本套决算填报说明附表数据主要依据本单位会计账簿及相关统计资料填列。其中：“政府采购情况表”数据取自政府采购信息统计报表中“政府采购资金情况表</w:t>
      </w:r>
      <w:r>
        <w:rPr>
          <w:rFonts w:hint="eastAsia" w:ascii="华文仿宋" w:hAnsi="华文仿宋" w:eastAsia="华文仿宋" w:cs="华文仿宋"/>
          <w:color w:val="000000"/>
          <w:kern w:val="0"/>
          <w:sz w:val="30"/>
          <w:szCs w:val="30"/>
          <w:lang w:val="en-US" w:eastAsia="zh-CN"/>
        </w:rPr>
        <w:t>”。</w:t>
      </w:r>
    </w:p>
    <w:p>
      <w:pPr>
        <w:pStyle w:val="2"/>
        <w:keepNext w:val="0"/>
        <w:keepLines w:val="0"/>
        <w:widowControl/>
        <w:suppressLineNumbers w:val="0"/>
        <w:spacing w:before="0" w:beforeAutospacing="0" w:after="0" w:afterAutospacing="0" w:line="30" w:lineRule="atLeast"/>
        <w:ind w:left="0" w:right="0"/>
        <w:jc w:val="both"/>
        <w:rPr>
          <w:rFonts w:hint="eastAsia" w:ascii="华文仿宋" w:hAnsi="华文仿宋" w:eastAsia="华文仿宋" w:cs="华文仿宋"/>
          <w:sz w:val="30"/>
          <w:szCs w:val="30"/>
        </w:rPr>
      </w:pPr>
      <w:r>
        <w:rPr>
          <w:rFonts w:hint="eastAsia" w:ascii="华文仿宋" w:hAnsi="华文仿宋" w:eastAsia="华文仿宋" w:cs="华文仿宋"/>
          <w:b/>
          <w:bCs/>
          <w:sz w:val="30"/>
          <w:szCs w:val="30"/>
          <w:shd w:val="clear" w:fill="FFFFFF"/>
          <w:lang w:eastAsia="zh-CN"/>
        </w:rPr>
        <w:t>三</w:t>
      </w:r>
      <w:r>
        <w:rPr>
          <w:rFonts w:hint="eastAsia" w:ascii="华文仿宋" w:hAnsi="华文仿宋" w:eastAsia="华文仿宋" w:cs="华文仿宋"/>
          <w:b/>
          <w:bCs/>
          <w:sz w:val="30"/>
          <w:szCs w:val="30"/>
          <w:shd w:val="clear" w:fill="FFFFFF"/>
        </w:rPr>
        <w:t>、预算执行情况分析</w:t>
      </w:r>
    </w:p>
    <w:p>
      <w:pPr>
        <w:pStyle w:val="2"/>
        <w:keepNext w:val="0"/>
        <w:keepLines w:val="0"/>
        <w:widowControl/>
        <w:suppressLineNumbers w:val="0"/>
        <w:spacing w:before="0" w:beforeAutospacing="0" w:after="0" w:afterAutospacing="0" w:line="30" w:lineRule="atLeast"/>
        <w:ind w:left="0" w:right="0" w:firstLine="600"/>
        <w:jc w:val="both"/>
        <w:rPr>
          <w:rFonts w:hint="eastAsia" w:ascii="华文仿宋" w:hAnsi="华文仿宋" w:eastAsia="华文仿宋" w:cs="华文仿宋"/>
          <w:sz w:val="30"/>
          <w:szCs w:val="30"/>
          <w:shd w:val="clear" w:fill="FFFFFF"/>
        </w:rPr>
      </w:pPr>
      <w:r>
        <w:rPr>
          <w:rFonts w:hint="eastAsia" w:ascii="华文仿宋" w:hAnsi="华文仿宋" w:eastAsia="华文仿宋" w:cs="华文仿宋"/>
          <w:sz w:val="30"/>
          <w:szCs w:val="30"/>
          <w:shd w:val="clear" w:fill="FFFFFF"/>
          <w:lang w:eastAsia="zh-CN"/>
        </w:rPr>
        <w:t>（一）</w:t>
      </w:r>
      <w:r>
        <w:rPr>
          <w:rFonts w:hint="eastAsia" w:ascii="华文仿宋" w:hAnsi="华文仿宋" w:eastAsia="华文仿宋" w:cs="华文仿宋"/>
          <w:sz w:val="30"/>
          <w:szCs w:val="30"/>
          <w:shd w:val="clear" w:fill="FFFFFF"/>
        </w:rPr>
        <w:t>收支决算情况</w:t>
      </w:r>
    </w:p>
    <w:p>
      <w:pPr>
        <w:pStyle w:val="2"/>
        <w:keepNext w:val="0"/>
        <w:keepLines w:val="0"/>
        <w:widowControl/>
        <w:suppressLineNumbers w:val="0"/>
        <w:spacing w:before="0" w:beforeAutospacing="0" w:after="0" w:afterAutospacing="0" w:line="30" w:lineRule="atLeast"/>
        <w:ind w:left="0" w:right="0" w:firstLine="600"/>
        <w:jc w:val="both"/>
        <w:rPr>
          <w:rFonts w:hint="eastAsia" w:ascii="华文仿宋" w:hAnsi="华文仿宋" w:eastAsia="华文仿宋" w:cs="华文仿宋"/>
          <w:sz w:val="30"/>
          <w:szCs w:val="30"/>
          <w:shd w:val="clear" w:fill="FFFFFF"/>
          <w:lang w:eastAsia="zh-CN"/>
        </w:rPr>
      </w:pPr>
      <w:r>
        <w:rPr>
          <w:rFonts w:hint="eastAsia" w:ascii="华文仿宋" w:hAnsi="华文仿宋" w:eastAsia="华文仿宋" w:cs="华文仿宋"/>
          <w:sz w:val="30"/>
          <w:szCs w:val="30"/>
          <w:shd w:val="clear" w:fill="FFFFFF"/>
        </w:rPr>
        <w:t>201</w:t>
      </w:r>
      <w:r>
        <w:rPr>
          <w:rFonts w:hint="eastAsia" w:ascii="华文仿宋" w:hAnsi="华文仿宋" w:eastAsia="华文仿宋" w:cs="华文仿宋"/>
          <w:sz w:val="30"/>
          <w:szCs w:val="30"/>
          <w:shd w:val="clear" w:fill="FFFFFF"/>
          <w:lang w:val="en-US" w:eastAsia="zh-CN"/>
        </w:rPr>
        <w:t>8</w:t>
      </w:r>
      <w:r>
        <w:rPr>
          <w:rFonts w:hint="eastAsia" w:ascii="华文仿宋" w:hAnsi="华文仿宋" w:eastAsia="华文仿宋" w:cs="华文仿宋"/>
          <w:sz w:val="30"/>
          <w:szCs w:val="30"/>
          <w:shd w:val="clear" w:fill="FFFFFF"/>
        </w:rPr>
        <w:t xml:space="preserve">年度收入决算数 </w:t>
      </w:r>
      <w:r>
        <w:rPr>
          <w:rFonts w:hint="eastAsia" w:ascii="华文仿宋" w:hAnsi="华文仿宋" w:eastAsia="华文仿宋" w:cs="华文仿宋"/>
          <w:color w:val="000000"/>
          <w:kern w:val="0"/>
          <w:sz w:val="30"/>
          <w:szCs w:val="30"/>
          <w:lang w:val="en-US" w:eastAsia="zh-CN"/>
        </w:rPr>
        <w:t>6347.9</w:t>
      </w:r>
      <w:r>
        <w:rPr>
          <w:rFonts w:hint="eastAsia" w:ascii="华文仿宋" w:hAnsi="华文仿宋" w:eastAsia="华文仿宋" w:cs="华文仿宋"/>
          <w:sz w:val="30"/>
          <w:szCs w:val="30"/>
          <w:shd w:val="clear" w:fill="FFFFFF"/>
        </w:rPr>
        <w:t xml:space="preserve">万元，其中：一般公共预算财政拨款 </w:t>
      </w:r>
      <w:r>
        <w:rPr>
          <w:rFonts w:hint="eastAsia" w:ascii="华文仿宋" w:hAnsi="华文仿宋" w:eastAsia="华文仿宋" w:cs="华文仿宋"/>
          <w:sz w:val="30"/>
          <w:szCs w:val="30"/>
          <w:shd w:val="clear" w:fill="FFFFFF"/>
          <w:lang w:val="en-US" w:eastAsia="zh-CN"/>
        </w:rPr>
        <w:t>5421.02</w:t>
      </w:r>
      <w:r>
        <w:rPr>
          <w:rFonts w:hint="eastAsia" w:ascii="华文仿宋" w:hAnsi="华文仿宋" w:eastAsia="华文仿宋" w:cs="华文仿宋"/>
          <w:sz w:val="30"/>
          <w:szCs w:val="30"/>
          <w:shd w:val="clear" w:fill="FFFFFF"/>
        </w:rPr>
        <w:t xml:space="preserve"> 万元</w:t>
      </w:r>
      <w:r>
        <w:rPr>
          <w:rFonts w:hint="eastAsia" w:ascii="华文仿宋" w:hAnsi="华文仿宋" w:eastAsia="华文仿宋" w:cs="华文仿宋"/>
          <w:sz w:val="30"/>
          <w:szCs w:val="30"/>
          <w:shd w:val="clear" w:fill="FFFFFF"/>
          <w:lang w:val="en-US" w:eastAsia="zh-CN"/>
        </w:rPr>
        <w:t>,</w:t>
      </w:r>
      <w:r>
        <w:rPr>
          <w:rFonts w:hint="eastAsia" w:ascii="华文仿宋" w:hAnsi="华文仿宋" w:eastAsia="华文仿宋" w:cs="华文仿宋"/>
          <w:sz w:val="30"/>
          <w:szCs w:val="30"/>
          <w:shd w:val="clear" w:fill="FFFFFF"/>
        </w:rPr>
        <w:t xml:space="preserve">上年结转和结余 </w:t>
      </w:r>
      <w:r>
        <w:rPr>
          <w:rFonts w:hint="eastAsia" w:ascii="华文仿宋" w:hAnsi="华文仿宋" w:eastAsia="华文仿宋" w:cs="华文仿宋"/>
          <w:sz w:val="30"/>
          <w:szCs w:val="30"/>
          <w:shd w:val="clear" w:fill="FFFFFF"/>
          <w:lang w:val="en-US" w:eastAsia="zh-CN"/>
        </w:rPr>
        <w:t>936.88</w:t>
      </w:r>
      <w:r>
        <w:rPr>
          <w:rFonts w:hint="eastAsia" w:ascii="华文仿宋" w:hAnsi="华文仿宋" w:eastAsia="华文仿宋" w:cs="华文仿宋"/>
          <w:sz w:val="30"/>
          <w:szCs w:val="30"/>
          <w:shd w:val="clear" w:fill="FFFFFF"/>
        </w:rPr>
        <w:t>万元。较2017年增加</w:t>
      </w:r>
      <w:r>
        <w:rPr>
          <w:rFonts w:hint="eastAsia" w:ascii="华文仿宋" w:hAnsi="华文仿宋" w:eastAsia="华文仿宋" w:cs="华文仿宋"/>
          <w:sz w:val="30"/>
          <w:szCs w:val="30"/>
          <w:shd w:val="clear" w:fill="FFFFFF"/>
          <w:lang w:val="en-US" w:eastAsia="zh-CN"/>
        </w:rPr>
        <w:t>1674.85</w:t>
      </w:r>
      <w:r>
        <w:rPr>
          <w:rFonts w:hint="eastAsia" w:ascii="华文仿宋" w:hAnsi="华文仿宋" w:eastAsia="华文仿宋" w:cs="华文仿宋"/>
          <w:sz w:val="30"/>
          <w:szCs w:val="30"/>
          <w:shd w:val="clear" w:fill="FFFFFF"/>
        </w:rPr>
        <w:t>万元</w:t>
      </w:r>
      <w:r>
        <w:rPr>
          <w:rFonts w:hint="eastAsia" w:ascii="华文仿宋" w:hAnsi="华文仿宋" w:eastAsia="华文仿宋" w:cs="华文仿宋"/>
          <w:sz w:val="30"/>
          <w:szCs w:val="30"/>
          <w:shd w:val="clear" w:fill="FFFFFF"/>
          <w:lang w:eastAsia="zh-CN"/>
        </w:rPr>
        <w:t>，</w:t>
      </w:r>
      <w:r>
        <w:rPr>
          <w:rFonts w:hint="eastAsia" w:ascii="华文仿宋" w:hAnsi="华文仿宋" w:eastAsia="华文仿宋" w:cs="华文仿宋"/>
          <w:sz w:val="30"/>
          <w:szCs w:val="30"/>
          <w:shd w:val="clear" w:fill="FFFFFF"/>
        </w:rPr>
        <w:t>增长</w:t>
      </w:r>
      <w:r>
        <w:rPr>
          <w:rFonts w:hint="eastAsia" w:ascii="华文仿宋" w:hAnsi="华文仿宋" w:eastAsia="华文仿宋" w:cs="华文仿宋"/>
          <w:sz w:val="30"/>
          <w:szCs w:val="30"/>
          <w:shd w:val="clear" w:fill="FFFFFF"/>
          <w:lang w:val="en-US" w:eastAsia="zh-CN"/>
        </w:rPr>
        <w:t>44.71</w:t>
      </w:r>
      <w:r>
        <w:rPr>
          <w:rFonts w:hint="eastAsia" w:ascii="华文仿宋" w:hAnsi="华文仿宋" w:eastAsia="华文仿宋" w:cs="华文仿宋"/>
          <w:sz w:val="30"/>
          <w:szCs w:val="30"/>
          <w:shd w:val="clear" w:fill="FFFFFF"/>
        </w:rPr>
        <w:t>%</w:t>
      </w:r>
      <w:r>
        <w:rPr>
          <w:rFonts w:hint="eastAsia" w:ascii="华文仿宋" w:hAnsi="华文仿宋" w:eastAsia="华文仿宋" w:cs="华文仿宋"/>
          <w:sz w:val="30"/>
          <w:szCs w:val="30"/>
          <w:shd w:val="clear" w:fill="FFFFFF"/>
          <w:lang w:eastAsia="zh-CN"/>
        </w:rPr>
        <w:t>，</w:t>
      </w:r>
      <w:r>
        <w:rPr>
          <w:rFonts w:hint="eastAsia" w:ascii="华文仿宋" w:hAnsi="华文仿宋" w:eastAsia="华文仿宋" w:cs="华文仿宋"/>
          <w:sz w:val="30"/>
          <w:szCs w:val="30"/>
          <w:shd w:val="clear" w:fill="FFFFFF"/>
        </w:rPr>
        <w:t>增加的主要原因是</w:t>
      </w:r>
      <w:r>
        <w:rPr>
          <w:rFonts w:hint="eastAsia" w:ascii="仿宋_GB2312" w:hAnsi="Times New Roman" w:eastAsia="仿宋_GB2312"/>
          <w:sz w:val="32"/>
          <w:lang w:val="zh-CN"/>
        </w:rPr>
        <w:t>重点交通项目的推进与建设。</w:t>
      </w:r>
      <w:r>
        <w:rPr>
          <w:rFonts w:hint="eastAsia" w:ascii="华文仿宋" w:hAnsi="华文仿宋" w:eastAsia="华文仿宋" w:cs="华文仿宋"/>
          <w:sz w:val="30"/>
          <w:szCs w:val="30"/>
          <w:shd w:val="clear" w:fill="FFFFFF"/>
        </w:rPr>
        <w:t xml:space="preserve"> 201</w:t>
      </w:r>
      <w:r>
        <w:rPr>
          <w:rFonts w:hint="eastAsia" w:ascii="华文仿宋" w:hAnsi="华文仿宋" w:eastAsia="华文仿宋" w:cs="华文仿宋"/>
          <w:sz w:val="30"/>
          <w:szCs w:val="30"/>
          <w:shd w:val="clear" w:fill="FFFFFF"/>
          <w:lang w:val="en-US" w:eastAsia="zh-CN"/>
        </w:rPr>
        <w:t>8</w:t>
      </w:r>
      <w:r>
        <w:rPr>
          <w:rFonts w:hint="eastAsia" w:ascii="华文仿宋" w:hAnsi="华文仿宋" w:eastAsia="华文仿宋" w:cs="华文仿宋"/>
          <w:sz w:val="30"/>
          <w:szCs w:val="30"/>
          <w:shd w:val="clear" w:fill="FFFFFF"/>
        </w:rPr>
        <w:t>年度支出决算数</w:t>
      </w:r>
      <w:r>
        <w:rPr>
          <w:rFonts w:hint="eastAsia" w:ascii="华文仿宋" w:hAnsi="华文仿宋" w:eastAsia="华文仿宋" w:cs="华文仿宋"/>
          <w:sz w:val="30"/>
          <w:szCs w:val="30"/>
          <w:shd w:val="clear" w:fill="FFFFFF"/>
          <w:lang w:val="en-US" w:eastAsia="zh-CN"/>
        </w:rPr>
        <w:t>4853</w:t>
      </w:r>
      <w:r>
        <w:rPr>
          <w:rFonts w:hint="eastAsia" w:ascii="华文仿宋" w:hAnsi="华文仿宋" w:eastAsia="华文仿宋" w:cs="华文仿宋"/>
          <w:sz w:val="30"/>
          <w:szCs w:val="30"/>
          <w:shd w:val="clear" w:fill="FFFFFF"/>
        </w:rPr>
        <w:t>万元，其中:一般公共服务</w:t>
      </w:r>
      <w:r>
        <w:rPr>
          <w:rFonts w:hint="eastAsia" w:ascii="华文仿宋" w:hAnsi="华文仿宋" w:eastAsia="华文仿宋" w:cs="华文仿宋"/>
          <w:sz w:val="30"/>
          <w:szCs w:val="30"/>
          <w:shd w:val="clear" w:fill="FFFFFF"/>
          <w:lang w:val="en-US" w:eastAsia="zh-CN"/>
        </w:rPr>
        <w:t>30</w:t>
      </w:r>
      <w:r>
        <w:rPr>
          <w:rFonts w:hint="eastAsia" w:ascii="华文仿宋" w:hAnsi="华文仿宋" w:eastAsia="华文仿宋" w:cs="华文仿宋"/>
          <w:sz w:val="30"/>
          <w:szCs w:val="30"/>
          <w:shd w:val="clear" w:fill="FFFFFF"/>
        </w:rPr>
        <w:t xml:space="preserve">万元、社会保障和就业 </w:t>
      </w:r>
      <w:r>
        <w:rPr>
          <w:rFonts w:hint="eastAsia" w:ascii="华文仿宋" w:hAnsi="华文仿宋" w:eastAsia="华文仿宋" w:cs="华文仿宋"/>
          <w:sz w:val="30"/>
          <w:szCs w:val="30"/>
          <w:shd w:val="clear" w:fill="FFFFFF"/>
          <w:lang w:val="en-US" w:eastAsia="zh-CN"/>
        </w:rPr>
        <w:t>177.07</w:t>
      </w:r>
      <w:r>
        <w:rPr>
          <w:rFonts w:hint="eastAsia" w:ascii="华文仿宋" w:hAnsi="华文仿宋" w:eastAsia="华文仿宋" w:cs="华文仿宋"/>
          <w:sz w:val="30"/>
          <w:szCs w:val="30"/>
          <w:shd w:val="clear" w:fill="FFFFFF"/>
        </w:rPr>
        <w:t xml:space="preserve"> 万元、医疗卫生与计划生育 </w:t>
      </w:r>
      <w:r>
        <w:rPr>
          <w:rFonts w:hint="eastAsia" w:ascii="华文仿宋" w:hAnsi="华文仿宋" w:eastAsia="华文仿宋" w:cs="华文仿宋"/>
          <w:sz w:val="30"/>
          <w:szCs w:val="30"/>
          <w:shd w:val="clear" w:fill="FFFFFF"/>
          <w:lang w:val="en-US" w:eastAsia="zh-CN"/>
        </w:rPr>
        <w:t>64.59</w:t>
      </w:r>
      <w:r>
        <w:rPr>
          <w:rFonts w:hint="eastAsia" w:ascii="华文仿宋" w:hAnsi="华文仿宋" w:eastAsia="华文仿宋" w:cs="华文仿宋"/>
          <w:sz w:val="30"/>
          <w:szCs w:val="30"/>
          <w:shd w:val="clear" w:fill="FFFFFF"/>
        </w:rPr>
        <w:t>万元、</w:t>
      </w:r>
      <w:r>
        <w:rPr>
          <w:rFonts w:hint="eastAsia" w:ascii="华文仿宋" w:hAnsi="华文仿宋" w:eastAsia="华文仿宋" w:cs="华文仿宋"/>
          <w:sz w:val="30"/>
          <w:szCs w:val="30"/>
          <w:shd w:val="clear" w:fill="FFFFFF"/>
          <w:lang w:eastAsia="zh-CN"/>
        </w:rPr>
        <w:t>农林水支出</w:t>
      </w:r>
      <w:r>
        <w:rPr>
          <w:rFonts w:hint="eastAsia" w:ascii="华文仿宋" w:hAnsi="华文仿宋" w:eastAsia="华文仿宋" w:cs="华文仿宋"/>
          <w:sz w:val="30"/>
          <w:szCs w:val="30"/>
          <w:shd w:val="clear" w:fill="FFFFFF"/>
        </w:rPr>
        <w:t xml:space="preserve"> </w:t>
      </w:r>
      <w:r>
        <w:rPr>
          <w:rFonts w:hint="eastAsia" w:ascii="华文仿宋" w:hAnsi="华文仿宋" w:eastAsia="华文仿宋" w:cs="华文仿宋"/>
          <w:sz w:val="30"/>
          <w:szCs w:val="30"/>
          <w:shd w:val="clear" w:fill="FFFFFF"/>
          <w:lang w:val="en-US" w:eastAsia="zh-CN"/>
        </w:rPr>
        <w:t>1133</w:t>
      </w:r>
      <w:r>
        <w:rPr>
          <w:rFonts w:hint="eastAsia" w:ascii="华文仿宋" w:hAnsi="华文仿宋" w:eastAsia="华文仿宋" w:cs="华文仿宋"/>
          <w:sz w:val="30"/>
          <w:szCs w:val="30"/>
          <w:shd w:val="clear" w:fill="FFFFFF"/>
        </w:rPr>
        <w:t>万</w:t>
      </w:r>
      <w:bookmarkStart w:id="1" w:name="_GoBack"/>
      <w:bookmarkEnd w:id="1"/>
      <w:r>
        <w:rPr>
          <w:rFonts w:hint="eastAsia" w:ascii="华文仿宋" w:hAnsi="华文仿宋" w:eastAsia="华文仿宋" w:cs="华文仿宋"/>
          <w:sz w:val="30"/>
          <w:szCs w:val="30"/>
          <w:shd w:val="clear" w:fill="FFFFFF"/>
        </w:rPr>
        <w:t>元、交通运输</w:t>
      </w:r>
      <w:r>
        <w:rPr>
          <w:rFonts w:hint="eastAsia" w:ascii="华文仿宋" w:hAnsi="华文仿宋" w:eastAsia="华文仿宋" w:cs="华文仿宋"/>
          <w:sz w:val="30"/>
          <w:szCs w:val="30"/>
          <w:shd w:val="clear" w:fill="FFFFFF"/>
          <w:lang w:val="en-US" w:eastAsia="zh-CN"/>
        </w:rPr>
        <w:t>3229.14</w:t>
      </w:r>
      <w:r>
        <w:rPr>
          <w:rFonts w:hint="eastAsia" w:ascii="华文仿宋" w:hAnsi="华文仿宋" w:eastAsia="华文仿宋" w:cs="华文仿宋"/>
          <w:sz w:val="30"/>
          <w:szCs w:val="30"/>
          <w:shd w:val="clear" w:fill="FFFFFF"/>
        </w:rPr>
        <w:t>万元、资源勘探信息等</w:t>
      </w:r>
      <w:r>
        <w:rPr>
          <w:rFonts w:hint="eastAsia" w:ascii="华文仿宋" w:hAnsi="华文仿宋" w:eastAsia="华文仿宋" w:cs="华文仿宋"/>
          <w:sz w:val="30"/>
          <w:szCs w:val="30"/>
          <w:shd w:val="clear" w:fill="FFFFFF"/>
          <w:lang w:val="en-US" w:eastAsia="zh-CN"/>
        </w:rPr>
        <w:t>10</w:t>
      </w:r>
      <w:r>
        <w:rPr>
          <w:rFonts w:hint="eastAsia" w:ascii="华文仿宋" w:hAnsi="华文仿宋" w:eastAsia="华文仿宋" w:cs="华文仿宋"/>
          <w:sz w:val="30"/>
          <w:szCs w:val="30"/>
          <w:shd w:val="clear" w:fill="FFFFFF"/>
        </w:rPr>
        <w:t>万元、商业服务业等</w:t>
      </w:r>
      <w:r>
        <w:rPr>
          <w:rFonts w:hint="eastAsia" w:ascii="华文仿宋" w:hAnsi="华文仿宋" w:eastAsia="华文仿宋" w:cs="华文仿宋"/>
          <w:sz w:val="30"/>
          <w:szCs w:val="30"/>
          <w:shd w:val="clear" w:fill="FFFFFF"/>
          <w:lang w:val="en-US" w:eastAsia="zh-CN"/>
        </w:rPr>
        <w:t>150</w:t>
      </w:r>
      <w:r>
        <w:rPr>
          <w:rFonts w:hint="eastAsia" w:ascii="华文仿宋" w:hAnsi="华文仿宋" w:eastAsia="华文仿宋" w:cs="华文仿宋"/>
          <w:sz w:val="30"/>
          <w:szCs w:val="30"/>
          <w:shd w:val="clear" w:fill="FFFFFF"/>
        </w:rPr>
        <w:t xml:space="preserve"> 万元、住房保障 </w:t>
      </w:r>
      <w:r>
        <w:rPr>
          <w:rFonts w:hint="eastAsia" w:ascii="华文仿宋" w:hAnsi="华文仿宋" w:eastAsia="华文仿宋" w:cs="华文仿宋"/>
          <w:sz w:val="30"/>
          <w:szCs w:val="30"/>
          <w:shd w:val="clear" w:fill="FFFFFF"/>
          <w:lang w:val="en-US" w:eastAsia="zh-CN"/>
        </w:rPr>
        <w:t>59.21</w:t>
      </w:r>
      <w:r>
        <w:rPr>
          <w:rFonts w:hint="eastAsia" w:ascii="华文仿宋" w:hAnsi="华文仿宋" w:eastAsia="华文仿宋" w:cs="华文仿宋"/>
          <w:sz w:val="30"/>
          <w:szCs w:val="30"/>
          <w:shd w:val="clear" w:fill="FFFFFF"/>
        </w:rPr>
        <w:t xml:space="preserve"> 万元</w:t>
      </w:r>
      <w:r>
        <w:rPr>
          <w:rFonts w:hint="eastAsia" w:ascii="华文仿宋" w:hAnsi="华文仿宋" w:eastAsia="华文仿宋" w:cs="华文仿宋"/>
          <w:sz w:val="30"/>
          <w:szCs w:val="30"/>
          <w:shd w:val="clear" w:fill="FFFFFF"/>
          <w:lang w:eastAsia="zh-CN"/>
        </w:rPr>
        <w:t>、</w:t>
      </w:r>
      <w:r>
        <w:rPr>
          <w:rFonts w:hint="eastAsia" w:ascii="华文仿宋" w:hAnsi="华文仿宋" w:eastAsia="华文仿宋" w:cs="华文仿宋"/>
          <w:sz w:val="30"/>
          <w:szCs w:val="30"/>
          <w:shd w:val="clear" w:fill="FFFFFF"/>
        </w:rPr>
        <w:t>年末结转和结余</w:t>
      </w:r>
      <w:r>
        <w:rPr>
          <w:rFonts w:hint="eastAsia" w:ascii="华文仿宋" w:hAnsi="华文仿宋" w:eastAsia="华文仿宋" w:cs="华文仿宋"/>
          <w:sz w:val="30"/>
          <w:szCs w:val="30"/>
          <w:shd w:val="clear" w:fill="FFFFFF"/>
          <w:lang w:val="en-US" w:eastAsia="zh-CN"/>
        </w:rPr>
        <w:t>1494.89</w:t>
      </w:r>
      <w:r>
        <w:rPr>
          <w:rFonts w:hint="eastAsia" w:ascii="华文仿宋" w:hAnsi="华文仿宋" w:eastAsia="华文仿宋" w:cs="华文仿宋"/>
          <w:sz w:val="30"/>
          <w:szCs w:val="30"/>
          <w:shd w:val="clear" w:fill="FFFFFF"/>
        </w:rPr>
        <w:t>万元。</w:t>
      </w:r>
    </w:p>
    <w:p>
      <w:pPr>
        <w:pStyle w:val="2"/>
        <w:keepNext w:val="0"/>
        <w:keepLines w:val="0"/>
        <w:widowControl/>
        <w:numPr>
          <w:ilvl w:val="0"/>
          <w:numId w:val="0"/>
        </w:numPr>
        <w:suppressLineNumbers w:val="0"/>
        <w:spacing w:before="0" w:beforeAutospacing="0" w:after="0" w:afterAutospacing="0" w:line="30" w:lineRule="atLeast"/>
        <w:ind w:left="600" w:leftChars="0" w:right="0" w:rightChars="0"/>
        <w:jc w:val="both"/>
        <w:rPr>
          <w:rFonts w:hint="eastAsia" w:ascii="华文仿宋" w:hAnsi="华文仿宋" w:eastAsia="华文仿宋" w:cs="华文仿宋"/>
          <w:sz w:val="30"/>
          <w:szCs w:val="30"/>
          <w:shd w:val="clear" w:fill="FFFFFF"/>
        </w:rPr>
      </w:pPr>
      <w:r>
        <w:rPr>
          <w:rFonts w:hint="eastAsia" w:ascii="华文仿宋" w:hAnsi="华文仿宋" w:eastAsia="华文仿宋" w:cs="华文仿宋"/>
          <w:sz w:val="30"/>
          <w:szCs w:val="30"/>
          <w:shd w:val="clear" w:fill="FFFFFF"/>
          <w:lang w:eastAsia="zh-CN"/>
        </w:rPr>
        <w:t>（二）</w:t>
      </w:r>
      <w:r>
        <w:rPr>
          <w:rFonts w:hint="eastAsia" w:ascii="华文仿宋" w:hAnsi="华文仿宋" w:eastAsia="华文仿宋" w:cs="华文仿宋"/>
          <w:sz w:val="30"/>
          <w:szCs w:val="30"/>
          <w:shd w:val="clear" w:fill="FFFFFF"/>
        </w:rPr>
        <w:t>一般公共预算财政拨款支出情况</w:t>
      </w:r>
    </w:p>
    <w:p>
      <w:pPr>
        <w:pStyle w:val="2"/>
        <w:keepNext w:val="0"/>
        <w:keepLines w:val="0"/>
        <w:widowControl/>
        <w:suppressLineNumbers w:val="0"/>
        <w:spacing w:before="0" w:beforeAutospacing="0" w:after="0" w:afterAutospacing="0" w:line="30" w:lineRule="atLeast"/>
        <w:ind w:left="0" w:right="0" w:firstLine="600"/>
        <w:jc w:val="both"/>
        <w:rPr>
          <w:rFonts w:hint="eastAsia" w:ascii="华文仿宋" w:hAnsi="华文仿宋" w:eastAsia="华文仿宋" w:cs="华文仿宋"/>
          <w:sz w:val="30"/>
          <w:szCs w:val="30"/>
          <w:shd w:val="clear" w:fill="FFFFFF"/>
          <w:lang w:eastAsia="zh-CN"/>
        </w:rPr>
      </w:pPr>
      <w:r>
        <w:rPr>
          <w:rFonts w:hint="eastAsia" w:ascii="华文仿宋" w:hAnsi="华文仿宋" w:eastAsia="华文仿宋" w:cs="华文仿宋"/>
          <w:sz w:val="30"/>
          <w:szCs w:val="30"/>
          <w:shd w:val="clear" w:fill="FFFFFF"/>
        </w:rPr>
        <w:t>201</w:t>
      </w:r>
      <w:r>
        <w:rPr>
          <w:rFonts w:hint="eastAsia" w:ascii="华文仿宋" w:hAnsi="华文仿宋" w:eastAsia="华文仿宋" w:cs="华文仿宋"/>
          <w:sz w:val="30"/>
          <w:szCs w:val="30"/>
          <w:shd w:val="clear" w:fill="FFFFFF"/>
          <w:lang w:val="en-US" w:eastAsia="zh-CN"/>
        </w:rPr>
        <w:t>8</w:t>
      </w:r>
      <w:r>
        <w:rPr>
          <w:rFonts w:hint="eastAsia" w:ascii="华文仿宋" w:hAnsi="华文仿宋" w:eastAsia="华文仿宋" w:cs="华文仿宋"/>
          <w:sz w:val="30"/>
          <w:szCs w:val="30"/>
          <w:shd w:val="clear" w:fill="FFFFFF"/>
        </w:rPr>
        <w:t xml:space="preserve"> 年一般公共预算财政拨款支出合计 </w:t>
      </w:r>
      <w:r>
        <w:rPr>
          <w:rFonts w:hint="eastAsia" w:ascii="华文仿宋" w:hAnsi="华文仿宋" w:eastAsia="华文仿宋" w:cs="华文仿宋"/>
          <w:sz w:val="30"/>
          <w:szCs w:val="30"/>
          <w:shd w:val="clear" w:fill="FFFFFF"/>
          <w:lang w:val="en-US" w:eastAsia="zh-CN"/>
        </w:rPr>
        <w:t>4853</w:t>
      </w:r>
      <w:r>
        <w:rPr>
          <w:rFonts w:hint="eastAsia" w:ascii="华文仿宋" w:hAnsi="华文仿宋" w:eastAsia="华文仿宋" w:cs="华文仿宋"/>
          <w:sz w:val="30"/>
          <w:szCs w:val="30"/>
          <w:shd w:val="clear" w:fill="FFFFFF"/>
        </w:rPr>
        <w:t xml:space="preserve"> 万元，其</w:t>
      </w:r>
      <w:r>
        <w:rPr>
          <w:rFonts w:hint="eastAsia" w:ascii="华文仿宋" w:hAnsi="华文仿宋" w:eastAsia="华文仿宋" w:cs="华文仿宋"/>
          <w:sz w:val="30"/>
          <w:szCs w:val="30"/>
          <w:shd w:val="clear" w:fill="FFFFFF"/>
          <w:lang w:eastAsia="zh-CN"/>
        </w:rPr>
        <w:t>中</w:t>
      </w:r>
      <w:r>
        <w:rPr>
          <w:rFonts w:hint="eastAsia" w:ascii="华文仿宋" w:hAnsi="华文仿宋" w:eastAsia="华文仿宋" w:cs="华文仿宋"/>
          <w:sz w:val="30"/>
          <w:szCs w:val="30"/>
          <w:shd w:val="clear" w:fill="FFFFFF"/>
        </w:rPr>
        <w:t>基本支出</w:t>
      </w:r>
      <w:r>
        <w:rPr>
          <w:rFonts w:hint="eastAsia" w:ascii="华文仿宋" w:hAnsi="华文仿宋" w:eastAsia="华文仿宋" w:cs="华文仿宋"/>
          <w:sz w:val="30"/>
          <w:szCs w:val="30"/>
          <w:shd w:val="clear" w:fill="FFFFFF"/>
          <w:lang w:val="en-US" w:eastAsia="zh-CN"/>
        </w:rPr>
        <w:t>1790.61</w:t>
      </w:r>
      <w:r>
        <w:rPr>
          <w:rFonts w:hint="eastAsia" w:ascii="华文仿宋" w:hAnsi="华文仿宋" w:eastAsia="华文仿宋" w:cs="华文仿宋"/>
          <w:sz w:val="30"/>
          <w:szCs w:val="30"/>
          <w:shd w:val="clear" w:fill="FFFFFF"/>
        </w:rPr>
        <w:t>万元，项目支出</w:t>
      </w:r>
      <w:r>
        <w:rPr>
          <w:rFonts w:hint="eastAsia" w:ascii="华文仿宋" w:hAnsi="华文仿宋" w:eastAsia="华文仿宋" w:cs="华文仿宋"/>
          <w:sz w:val="30"/>
          <w:szCs w:val="30"/>
          <w:shd w:val="clear" w:fill="FFFFFF"/>
          <w:lang w:val="en-US" w:eastAsia="zh-CN"/>
        </w:rPr>
        <w:t>3062.4</w:t>
      </w:r>
      <w:r>
        <w:rPr>
          <w:rFonts w:hint="eastAsia" w:ascii="华文仿宋" w:hAnsi="华文仿宋" w:eastAsia="华文仿宋" w:cs="华文仿宋"/>
          <w:sz w:val="30"/>
          <w:szCs w:val="30"/>
          <w:shd w:val="clear" w:fill="FFFFFF"/>
        </w:rPr>
        <w:t>万元。</w:t>
      </w:r>
      <w:r>
        <w:rPr>
          <w:rFonts w:hint="eastAsia" w:ascii="华文仿宋" w:hAnsi="华文仿宋" w:eastAsia="华文仿宋" w:cs="华文仿宋"/>
          <w:sz w:val="30"/>
          <w:szCs w:val="30"/>
          <w:shd w:val="clear" w:fill="FFFFFF"/>
          <w:lang w:eastAsia="zh-CN"/>
        </w:rPr>
        <w:t>较</w:t>
      </w:r>
      <w:r>
        <w:rPr>
          <w:rFonts w:hint="eastAsia" w:ascii="华文仿宋" w:hAnsi="华文仿宋" w:eastAsia="华文仿宋" w:cs="华文仿宋"/>
          <w:sz w:val="30"/>
          <w:szCs w:val="30"/>
          <w:shd w:val="clear" w:fill="FFFFFF"/>
        </w:rPr>
        <w:t>2017年</w:t>
      </w:r>
      <w:r>
        <w:rPr>
          <w:rFonts w:hint="eastAsia" w:ascii="华文仿宋" w:hAnsi="华文仿宋" w:eastAsia="华文仿宋" w:cs="华文仿宋"/>
          <w:sz w:val="30"/>
          <w:szCs w:val="30"/>
          <w:shd w:val="clear" w:fill="FFFFFF"/>
          <w:lang w:eastAsia="zh-CN"/>
        </w:rPr>
        <w:t>增加</w:t>
      </w:r>
      <w:r>
        <w:rPr>
          <w:rFonts w:hint="eastAsia" w:ascii="华文仿宋" w:hAnsi="华文仿宋" w:eastAsia="华文仿宋" w:cs="华文仿宋"/>
          <w:sz w:val="30"/>
          <w:szCs w:val="30"/>
          <w:shd w:val="clear" w:fill="FFFFFF"/>
          <w:lang w:val="en-US" w:eastAsia="zh-CN"/>
        </w:rPr>
        <w:t>647.16</w:t>
      </w:r>
      <w:r>
        <w:rPr>
          <w:rFonts w:hint="eastAsia" w:ascii="华文仿宋" w:hAnsi="华文仿宋" w:eastAsia="华文仿宋" w:cs="华文仿宋"/>
          <w:sz w:val="30"/>
          <w:szCs w:val="30"/>
          <w:shd w:val="clear" w:fill="FFFFFF"/>
        </w:rPr>
        <w:t>万元,</w:t>
      </w:r>
      <w:r>
        <w:rPr>
          <w:rFonts w:hint="eastAsia" w:ascii="华文仿宋" w:hAnsi="华文仿宋" w:eastAsia="华文仿宋" w:cs="华文仿宋"/>
          <w:sz w:val="30"/>
          <w:szCs w:val="30"/>
          <w:shd w:val="clear" w:fill="FFFFFF"/>
          <w:lang w:eastAsia="zh-CN"/>
        </w:rPr>
        <w:t>增加</w:t>
      </w:r>
      <w:r>
        <w:rPr>
          <w:rFonts w:hint="eastAsia" w:ascii="华文仿宋" w:hAnsi="华文仿宋" w:eastAsia="华文仿宋" w:cs="华文仿宋"/>
          <w:sz w:val="30"/>
          <w:szCs w:val="30"/>
          <w:shd w:val="clear" w:fill="FFFFFF"/>
          <w:lang w:val="en-US" w:eastAsia="zh-CN"/>
        </w:rPr>
        <w:t>15.39</w:t>
      </w:r>
      <w:r>
        <w:rPr>
          <w:rFonts w:hint="eastAsia" w:ascii="华文仿宋" w:hAnsi="华文仿宋" w:eastAsia="华文仿宋" w:cs="华文仿宋"/>
          <w:sz w:val="30"/>
          <w:szCs w:val="30"/>
          <w:shd w:val="clear" w:fill="FFFFFF"/>
        </w:rPr>
        <w:t>%。</w:t>
      </w:r>
      <w:r>
        <w:rPr>
          <w:rFonts w:hint="eastAsia" w:ascii="华文仿宋" w:hAnsi="华文仿宋" w:eastAsia="华文仿宋" w:cs="华文仿宋"/>
          <w:sz w:val="30"/>
          <w:szCs w:val="30"/>
          <w:shd w:val="clear" w:fill="FFFFFF"/>
          <w:lang w:eastAsia="zh-CN"/>
        </w:rPr>
        <w:t>增加</w:t>
      </w:r>
      <w:r>
        <w:rPr>
          <w:rFonts w:hint="eastAsia" w:ascii="华文仿宋" w:hAnsi="华文仿宋" w:eastAsia="华文仿宋" w:cs="华文仿宋"/>
          <w:sz w:val="30"/>
          <w:szCs w:val="30"/>
          <w:shd w:val="clear" w:fill="FFFFFF"/>
        </w:rPr>
        <w:t>的主要原因是</w:t>
      </w:r>
      <w:r>
        <w:rPr>
          <w:rFonts w:hint="eastAsia" w:ascii="仿宋_GB2312" w:hAnsi="Times New Roman" w:eastAsia="仿宋_GB2312"/>
          <w:sz w:val="32"/>
          <w:lang w:val="zh-CN"/>
        </w:rPr>
        <w:t>重点交通项目的推进与建设。</w:t>
      </w:r>
    </w:p>
    <w:p>
      <w:pPr>
        <w:pStyle w:val="2"/>
        <w:keepNext w:val="0"/>
        <w:keepLines w:val="0"/>
        <w:widowControl/>
        <w:numPr>
          <w:ilvl w:val="0"/>
          <w:numId w:val="0"/>
        </w:numPr>
        <w:suppressLineNumbers w:val="0"/>
        <w:spacing w:before="0" w:beforeAutospacing="0" w:after="0" w:afterAutospacing="0" w:line="30" w:lineRule="atLeast"/>
        <w:ind w:left="0" w:leftChars="0" w:right="0" w:rightChars="0" w:firstLine="480" w:firstLineChars="200"/>
        <w:jc w:val="both"/>
        <w:rPr>
          <w:rFonts w:hint="eastAsia" w:ascii="宋体" w:hAnsi="宋体" w:eastAsia="宋体" w:cs="宋体"/>
          <w:sz w:val="24"/>
          <w:szCs w:val="24"/>
        </w:rPr>
      </w:pPr>
    </w:p>
    <w:p>
      <w:pPr>
        <w:pStyle w:val="2"/>
        <w:keepNext w:val="0"/>
        <w:keepLines w:val="0"/>
        <w:widowControl/>
        <w:numPr>
          <w:ilvl w:val="0"/>
          <w:numId w:val="0"/>
        </w:numPr>
        <w:suppressLineNumbers w:val="0"/>
        <w:spacing w:before="0" w:beforeAutospacing="0" w:after="0" w:afterAutospacing="0" w:line="30" w:lineRule="atLeast"/>
        <w:ind w:left="600" w:leftChars="0" w:right="0" w:rightChars="0"/>
        <w:jc w:val="both"/>
        <w:rPr>
          <w:rFonts w:hint="eastAsia" w:ascii="华文仿宋" w:hAnsi="华文仿宋" w:eastAsia="华文仿宋" w:cs="华文仿宋"/>
          <w:sz w:val="30"/>
          <w:szCs w:val="30"/>
          <w:shd w:val="clear" w:fill="FFFFFF"/>
        </w:rPr>
      </w:pPr>
      <w:r>
        <w:rPr>
          <w:rFonts w:hint="eastAsia" w:ascii="华文仿宋" w:hAnsi="华文仿宋" w:eastAsia="华文仿宋" w:cs="华文仿宋"/>
          <w:sz w:val="30"/>
          <w:szCs w:val="30"/>
          <w:shd w:val="clear" w:fill="FFFFFF"/>
          <w:lang w:eastAsia="zh-CN"/>
        </w:rPr>
        <w:t>（三）</w:t>
      </w:r>
      <w:r>
        <w:rPr>
          <w:rFonts w:hint="eastAsia" w:ascii="华文仿宋" w:hAnsi="华文仿宋" w:eastAsia="华文仿宋" w:cs="华文仿宋"/>
          <w:sz w:val="30"/>
          <w:szCs w:val="30"/>
          <w:shd w:val="clear" w:fill="FFFFFF"/>
        </w:rPr>
        <w:t>“三公”经费决算情况</w:t>
      </w:r>
    </w:p>
    <w:p>
      <w:pPr>
        <w:pStyle w:val="2"/>
        <w:keepNext w:val="0"/>
        <w:keepLines w:val="0"/>
        <w:widowControl/>
        <w:numPr>
          <w:ilvl w:val="0"/>
          <w:numId w:val="0"/>
        </w:numPr>
        <w:suppressLineNumbers w:val="0"/>
        <w:spacing w:before="0" w:beforeAutospacing="0" w:after="0" w:afterAutospacing="0" w:line="30" w:lineRule="atLeast"/>
        <w:ind w:left="0" w:leftChars="0" w:right="0" w:rightChars="0" w:firstLine="600" w:firstLineChars="200"/>
        <w:jc w:val="both"/>
        <w:rPr>
          <w:rFonts w:hint="eastAsia" w:ascii="华文仿宋" w:hAnsi="华文仿宋" w:eastAsia="华文仿宋" w:cs="华文仿宋"/>
          <w:sz w:val="30"/>
          <w:szCs w:val="30"/>
          <w:shd w:val="clear" w:fill="FFFFFF"/>
        </w:rPr>
      </w:pPr>
      <w:r>
        <w:rPr>
          <w:rFonts w:hint="eastAsia" w:ascii="华文仿宋" w:hAnsi="华文仿宋" w:eastAsia="华文仿宋" w:cs="华文仿宋"/>
          <w:sz w:val="30"/>
          <w:szCs w:val="30"/>
          <w:shd w:val="clear" w:fill="FFFFFF"/>
        </w:rPr>
        <w:t>201</w:t>
      </w:r>
      <w:r>
        <w:rPr>
          <w:rFonts w:hint="eastAsia" w:ascii="华文仿宋" w:hAnsi="华文仿宋" w:eastAsia="华文仿宋" w:cs="华文仿宋"/>
          <w:sz w:val="30"/>
          <w:szCs w:val="30"/>
          <w:shd w:val="clear" w:fill="FFFFFF"/>
          <w:lang w:val="en-US" w:eastAsia="zh-CN"/>
        </w:rPr>
        <w:t>8</w:t>
      </w:r>
      <w:r>
        <w:rPr>
          <w:rFonts w:hint="eastAsia" w:ascii="华文仿宋" w:hAnsi="华文仿宋" w:eastAsia="华文仿宋" w:cs="华文仿宋"/>
          <w:sz w:val="30"/>
          <w:szCs w:val="30"/>
          <w:shd w:val="clear" w:fill="FFFFFF"/>
        </w:rPr>
        <w:t xml:space="preserve">年一般公共预算财政拨款“三公”经费支出合计 </w:t>
      </w:r>
      <w:r>
        <w:rPr>
          <w:rFonts w:hint="eastAsia" w:ascii="华文仿宋" w:hAnsi="华文仿宋" w:eastAsia="华文仿宋" w:cs="华文仿宋"/>
          <w:sz w:val="30"/>
          <w:szCs w:val="30"/>
          <w:shd w:val="clear" w:fill="FFFFFF"/>
          <w:lang w:val="en-US" w:eastAsia="zh-CN"/>
        </w:rPr>
        <w:t>52</w:t>
      </w:r>
      <w:r>
        <w:rPr>
          <w:rFonts w:hint="eastAsia" w:ascii="华文仿宋" w:hAnsi="华文仿宋" w:eastAsia="华文仿宋" w:cs="华文仿宋"/>
          <w:sz w:val="30"/>
          <w:szCs w:val="30"/>
          <w:shd w:val="clear" w:fill="FFFFFF"/>
        </w:rPr>
        <w:t xml:space="preserve">万元，其中公务用车购置及运行维护为 </w:t>
      </w:r>
      <w:r>
        <w:rPr>
          <w:rFonts w:hint="eastAsia" w:ascii="华文仿宋" w:hAnsi="华文仿宋" w:eastAsia="华文仿宋" w:cs="华文仿宋"/>
          <w:sz w:val="30"/>
          <w:szCs w:val="30"/>
          <w:shd w:val="clear" w:fill="FFFFFF"/>
          <w:lang w:val="en-US" w:eastAsia="zh-CN"/>
        </w:rPr>
        <w:t>14</w:t>
      </w:r>
      <w:r>
        <w:rPr>
          <w:rFonts w:hint="eastAsia" w:ascii="华文仿宋" w:hAnsi="华文仿宋" w:eastAsia="华文仿宋" w:cs="华文仿宋"/>
          <w:sz w:val="30"/>
          <w:szCs w:val="30"/>
          <w:shd w:val="clear" w:fill="FFFFFF"/>
        </w:rPr>
        <w:t xml:space="preserve">万元，公务接待费 </w:t>
      </w:r>
      <w:r>
        <w:rPr>
          <w:rFonts w:hint="eastAsia" w:ascii="华文仿宋" w:hAnsi="华文仿宋" w:eastAsia="华文仿宋" w:cs="华文仿宋"/>
          <w:sz w:val="30"/>
          <w:szCs w:val="30"/>
          <w:shd w:val="clear" w:fill="FFFFFF"/>
          <w:lang w:val="en-US" w:eastAsia="zh-CN"/>
        </w:rPr>
        <w:t>38</w:t>
      </w:r>
      <w:r>
        <w:rPr>
          <w:rFonts w:hint="eastAsia" w:ascii="华文仿宋" w:hAnsi="华文仿宋" w:eastAsia="华文仿宋" w:cs="华文仿宋"/>
          <w:sz w:val="30"/>
          <w:szCs w:val="30"/>
          <w:shd w:val="clear" w:fill="FFFFFF"/>
        </w:rPr>
        <w:t xml:space="preserve"> 万元。201</w:t>
      </w:r>
      <w:r>
        <w:rPr>
          <w:rFonts w:hint="eastAsia" w:ascii="华文仿宋" w:hAnsi="华文仿宋" w:eastAsia="华文仿宋" w:cs="华文仿宋"/>
          <w:sz w:val="30"/>
          <w:szCs w:val="30"/>
          <w:shd w:val="clear" w:fill="FFFFFF"/>
          <w:lang w:val="en-US" w:eastAsia="zh-CN"/>
        </w:rPr>
        <w:t>8</w:t>
      </w:r>
      <w:r>
        <w:rPr>
          <w:rFonts w:hint="eastAsia" w:ascii="华文仿宋" w:hAnsi="华文仿宋" w:eastAsia="华文仿宋" w:cs="华文仿宋"/>
          <w:sz w:val="30"/>
          <w:szCs w:val="30"/>
          <w:shd w:val="clear" w:fill="FFFFFF"/>
        </w:rPr>
        <w:t xml:space="preserve"> 年“三公”经费支出较 201</w:t>
      </w:r>
      <w:r>
        <w:rPr>
          <w:rFonts w:hint="eastAsia" w:ascii="华文仿宋" w:hAnsi="华文仿宋" w:eastAsia="华文仿宋" w:cs="华文仿宋"/>
          <w:sz w:val="30"/>
          <w:szCs w:val="30"/>
          <w:shd w:val="clear" w:fill="FFFFFF"/>
          <w:lang w:val="en-US" w:eastAsia="zh-CN"/>
        </w:rPr>
        <w:t>7</w:t>
      </w:r>
      <w:r>
        <w:rPr>
          <w:rFonts w:hint="eastAsia" w:ascii="华文仿宋" w:hAnsi="华文仿宋" w:eastAsia="华文仿宋" w:cs="华文仿宋"/>
          <w:sz w:val="30"/>
          <w:szCs w:val="30"/>
          <w:shd w:val="clear" w:fill="FFFFFF"/>
        </w:rPr>
        <w:t xml:space="preserve"> 年下降</w:t>
      </w:r>
      <w:r>
        <w:rPr>
          <w:rFonts w:hint="eastAsia" w:ascii="华文仿宋" w:hAnsi="华文仿宋" w:eastAsia="华文仿宋" w:cs="华文仿宋"/>
          <w:sz w:val="30"/>
          <w:szCs w:val="30"/>
          <w:shd w:val="clear" w:fill="FFFFFF"/>
          <w:lang w:val="en-US" w:eastAsia="zh-CN"/>
        </w:rPr>
        <w:t>1</w:t>
      </w:r>
      <w:r>
        <w:rPr>
          <w:rFonts w:hint="eastAsia" w:ascii="华文仿宋" w:hAnsi="华文仿宋" w:eastAsia="华文仿宋" w:cs="华文仿宋"/>
          <w:sz w:val="30"/>
          <w:szCs w:val="30"/>
          <w:shd w:val="clear" w:fill="FFFFFF"/>
        </w:rPr>
        <w:t>万元，下降幅度为</w:t>
      </w:r>
      <w:r>
        <w:rPr>
          <w:rFonts w:hint="eastAsia" w:ascii="华文仿宋" w:hAnsi="华文仿宋" w:eastAsia="华文仿宋" w:cs="华文仿宋"/>
          <w:sz w:val="30"/>
          <w:szCs w:val="30"/>
          <w:shd w:val="clear" w:fill="FFFFFF"/>
          <w:lang w:val="en-US" w:eastAsia="zh-CN"/>
        </w:rPr>
        <w:t>1</w:t>
      </w:r>
      <w:r>
        <w:rPr>
          <w:rFonts w:hint="eastAsia" w:ascii="华文仿宋" w:hAnsi="华文仿宋" w:eastAsia="华文仿宋" w:cs="华文仿宋"/>
          <w:sz w:val="30"/>
          <w:szCs w:val="30"/>
          <w:shd w:val="clear" w:fill="FFFFFF"/>
        </w:rPr>
        <w:t>%。</w:t>
      </w:r>
    </w:p>
    <w:p>
      <w:pPr>
        <w:widowControl/>
        <w:numPr>
          <w:ilvl w:val="0"/>
          <w:numId w:val="0"/>
        </w:numPr>
        <w:spacing w:line="294" w:lineRule="atLeast"/>
        <w:rPr>
          <w:rFonts w:hint="eastAsia" w:ascii="华文仿宋" w:hAnsi="华文仿宋" w:eastAsia="华文仿宋" w:cs="华文仿宋"/>
          <w:b/>
          <w:bCs/>
          <w:color w:val="000000"/>
          <w:kern w:val="0"/>
          <w:sz w:val="30"/>
          <w:szCs w:val="30"/>
          <w:lang w:val="en-US" w:eastAsia="zh-CN"/>
        </w:rPr>
      </w:pPr>
      <w:r>
        <w:rPr>
          <w:rFonts w:hint="eastAsia" w:ascii="华文仿宋" w:hAnsi="华文仿宋" w:eastAsia="华文仿宋" w:cs="华文仿宋"/>
          <w:b/>
          <w:bCs/>
          <w:color w:val="000000"/>
          <w:kern w:val="0"/>
          <w:sz w:val="30"/>
          <w:szCs w:val="30"/>
          <w:lang w:val="en-US" w:eastAsia="zh-CN"/>
        </w:rPr>
        <w:t>四、其他重要事项</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600" w:lineRule="exact"/>
        <w:ind w:leftChars="0" w:firstLine="600" w:firstLineChars="200"/>
        <w:jc w:val="left"/>
        <w:textAlignment w:val="auto"/>
        <w:rPr>
          <w:rFonts w:hint="eastAsia"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（一）机关运行经费支出情况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600" w:lineRule="exact"/>
        <w:ind w:leftChars="0" w:firstLine="600" w:firstLineChars="200"/>
        <w:jc w:val="left"/>
        <w:textAlignment w:val="auto"/>
        <w:rPr>
          <w:rFonts w:hint="eastAsia"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本部门2018年机关运行经费支出1790.61万元，比年初预算数减少35.08万元，下降1.92%。主要是交通系统干部职工进一步厉行节约，降低了机关运行成本。</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600" w:lineRule="exact"/>
        <w:ind w:leftChars="0" w:firstLine="600" w:firstLineChars="200"/>
        <w:jc w:val="left"/>
        <w:textAlignment w:val="auto"/>
        <w:rPr>
          <w:rFonts w:hint="eastAsia"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（二）政府采购支出情况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600" w:lineRule="exact"/>
        <w:ind w:leftChars="0" w:firstLine="600" w:firstLineChars="200"/>
        <w:jc w:val="left"/>
        <w:textAlignment w:val="auto"/>
        <w:rPr>
          <w:rFonts w:hint="eastAsia"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本部门2018年政府采购支出总额35.33万元，其中：政府采购货物支出35.33万元。</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600" w:lineRule="exact"/>
        <w:ind w:leftChars="0" w:firstLine="600" w:firstLineChars="200"/>
        <w:jc w:val="left"/>
        <w:textAlignment w:val="auto"/>
        <w:rPr>
          <w:rFonts w:hint="eastAsia"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（三）国有资产占用情况</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600" w:lineRule="exact"/>
        <w:ind w:leftChars="0" w:firstLine="600" w:firstLineChars="200"/>
        <w:jc w:val="left"/>
        <w:textAlignment w:val="auto"/>
        <w:rPr>
          <w:rFonts w:hint="eastAsia" w:ascii="华文仿宋" w:hAnsi="华文仿宋" w:eastAsia="华文仿宋" w:cs="华文仿宋"/>
          <w:kern w:val="0"/>
          <w:sz w:val="30"/>
          <w:szCs w:val="30"/>
          <w:shd w:val="clear" w:fill="FFFFFF"/>
          <w:lang w:val="en-US" w:eastAsia="zh-CN" w:bidi="ar"/>
        </w:rPr>
      </w:pPr>
      <w:r>
        <w:rPr>
          <w:rFonts w:hint="eastAsia" w:ascii="华文仿宋" w:hAnsi="华文仿宋" w:eastAsia="华文仿宋" w:cs="华文仿宋"/>
          <w:kern w:val="0"/>
          <w:sz w:val="30"/>
          <w:szCs w:val="30"/>
          <w:shd w:val="clear" w:fill="FFFFFF"/>
          <w:lang w:val="en-US" w:eastAsia="zh-CN" w:bidi="ar"/>
        </w:rPr>
        <w:t>截至2018年12月31日，本单位占用固定资产380.89万元，主要资产为办公电脑、打印机等通用设备和办公桌椅、会议桌椅、文件柜等办公家具。</w:t>
      </w:r>
    </w:p>
    <w:p>
      <w:pPr>
        <w:pStyle w:val="2"/>
        <w:keepNext w:val="0"/>
        <w:keepLines w:val="0"/>
        <w:widowControl/>
        <w:numPr>
          <w:ilvl w:val="0"/>
          <w:numId w:val="0"/>
        </w:numPr>
        <w:suppressLineNumbers w:val="0"/>
        <w:spacing w:before="0" w:beforeAutospacing="0" w:after="0" w:afterAutospacing="0" w:line="30" w:lineRule="atLeast"/>
        <w:ind w:right="0" w:rightChars="0"/>
        <w:jc w:val="both"/>
        <w:rPr>
          <w:rFonts w:hint="eastAsia" w:ascii="华文仿宋" w:hAnsi="华文仿宋" w:eastAsia="华文仿宋" w:cs="华文仿宋"/>
          <w:b/>
          <w:bCs/>
          <w:color w:val="000000"/>
          <w:kern w:val="0"/>
          <w:sz w:val="30"/>
          <w:szCs w:val="30"/>
          <w:lang w:val="en-US" w:eastAsia="zh-CN" w:bidi="ar-SA"/>
        </w:rPr>
      </w:pPr>
      <w:r>
        <w:rPr>
          <w:rFonts w:hint="eastAsia" w:ascii="华文仿宋" w:hAnsi="华文仿宋" w:eastAsia="华文仿宋" w:cs="华文仿宋"/>
          <w:b/>
          <w:bCs/>
          <w:color w:val="000000"/>
          <w:kern w:val="0"/>
          <w:sz w:val="30"/>
          <w:szCs w:val="30"/>
          <w:lang w:val="en-US" w:eastAsia="zh-CN" w:bidi="ar-SA"/>
        </w:rPr>
        <w:t>五、预算绩效目标说明</w:t>
      </w:r>
    </w:p>
    <w:p>
      <w:pPr>
        <w:ind w:firstLine="640" w:firstLineChars="200"/>
        <w:rPr>
          <w:rFonts w:hint="eastAsia" w:ascii="华文仿宋" w:hAnsi="华文仿宋" w:eastAsia="华文仿宋" w:cs="华文仿宋"/>
          <w:kern w:val="0"/>
          <w:sz w:val="30"/>
          <w:szCs w:val="30"/>
          <w:shd w:val="clear" w:fill="FFFFFF"/>
          <w:lang w:val="en-US" w:eastAsia="zh-CN" w:bidi="ar"/>
        </w:rPr>
      </w:pPr>
      <w:r>
        <w:rPr>
          <w:rFonts w:hint="eastAsia" w:ascii="仿宋_GB2312" w:hAnsi="仿宋_GB2312" w:eastAsia="仿宋_GB2312" w:cs="仿宋_GB2312"/>
          <w:color w:val="000000"/>
          <w:kern w:val="0"/>
          <w:sz w:val="32"/>
          <w:szCs w:val="32"/>
          <w:lang w:eastAsia="zh-CN"/>
        </w:rPr>
        <w:t>2018</w:t>
      </w:r>
      <w:r>
        <w:rPr>
          <w:rFonts w:hint="eastAsia" w:ascii="仿宋_GB2312" w:hAnsi="仿宋_GB2312" w:eastAsia="仿宋_GB2312" w:cs="仿宋_GB2312"/>
          <w:color w:val="000000"/>
          <w:kern w:val="0"/>
          <w:sz w:val="32"/>
          <w:szCs w:val="32"/>
        </w:rPr>
        <w:t>年部门支出满足了机关正常运转，确保了各项计划和任务的完成。较好地履行了职责，交通运输为全</w:t>
      </w:r>
      <w:r>
        <w:rPr>
          <w:rFonts w:hint="eastAsia" w:ascii="仿宋_GB2312" w:hAnsi="仿宋_GB2312" w:eastAsia="仿宋_GB2312" w:cs="仿宋_GB2312"/>
          <w:color w:val="000000"/>
          <w:kern w:val="0"/>
          <w:sz w:val="32"/>
          <w:szCs w:val="32"/>
          <w:lang w:eastAsia="zh-CN"/>
        </w:rPr>
        <w:t>县</w:t>
      </w:r>
      <w:r>
        <w:rPr>
          <w:rFonts w:hint="eastAsia" w:ascii="仿宋_GB2312" w:hAnsi="仿宋_GB2312" w:eastAsia="仿宋_GB2312" w:cs="仿宋_GB2312"/>
          <w:color w:val="000000"/>
          <w:kern w:val="0"/>
          <w:sz w:val="32"/>
          <w:szCs w:val="32"/>
        </w:rPr>
        <w:t>经济社会发展提供了强力支撑。我局认真贯彻落实中央、省委、市委关于加强交通运输快速发展的重大战略部署，突出抓好了交通项目建设</w:t>
      </w:r>
      <w:r>
        <w:rPr>
          <w:rFonts w:hint="eastAsia" w:ascii="仿宋_GB2312" w:hAnsi="仿宋_GB2312" w:eastAsia="仿宋_GB2312" w:cs="仿宋_GB2312"/>
          <w:color w:val="000000"/>
          <w:kern w:val="0"/>
          <w:sz w:val="32"/>
          <w:szCs w:val="32"/>
          <w:lang w:eastAsia="zh-CN"/>
        </w:rPr>
        <w:t>。</w:t>
      </w:r>
      <w:r>
        <w:rPr>
          <w:rFonts w:hint="eastAsia" w:ascii="仿宋_GB2312" w:hAnsi="仿宋_GB2312" w:eastAsia="仿宋_GB2312" w:cs="仿宋_GB2312"/>
          <w:b w:val="0"/>
          <w:bCs w:val="0"/>
          <w:i w:val="0"/>
          <w:iCs w:val="0"/>
          <w:color w:val="000000"/>
          <w:sz w:val="32"/>
          <w:szCs w:val="32"/>
        </w:rPr>
        <w:t>完善民生保障机制，强化预算收支管理，推进财税体制改革，较好地完成了全年各项工作任务</w:t>
      </w:r>
      <w:r>
        <w:rPr>
          <w:rFonts w:hint="eastAsia" w:ascii="仿宋_GB2312" w:hAnsi="仿宋_GB2312" w:eastAsia="仿宋_GB2312" w:cs="仿宋_GB2312"/>
          <w:b w:val="0"/>
          <w:bCs w:val="0"/>
          <w:i w:val="0"/>
          <w:iCs w:val="0"/>
          <w:color w:val="000000"/>
          <w:sz w:val="32"/>
          <w:szCs w:val="32"/>
          <w:lang w:eastAsia="zh-CN"/>
        </w:rPr>
        <w:t>，取得了较好的社会经济效益。</w:t>
      </w:r>
      <w:r>
        <w:rPr>
          <w:rFonts w:hint="eastAsia" w:ascii="仿宋_GB2312" w:hAnsi="仿宋_GB2312" w:eastAsia="仿宋_GB2312" w:cs="仿宋_GB2312"/>
          <w:b w:val="0"/>
          <w:bCs w:val="0"/>
          <w:i w:val="0"/>
          <w:iCs w:val="0"/>
          <w:color w:val="000000"/>
          <w:kern w:val="0"/>
          <w:sz w:val="32"/>
          <w:szCs w:val="32"/>
        </w:rPr>
        <w:t>切实提高行政效率，降低行政成本。进一步精简文件数量，提高文件质量。规范行文程序，严格行文规则，控制文件规格。减少会议数量，压缩会议时间。控制会议规模，创新会议形式。节约会议成本，严肃会议纪律。简化办事程序，对重大事项实行督查交办制度。</w:t>
      </w:r>
    </w:p>
    <w:p>
      <w:pPr>
        <w:widowControl/>
        <w:numPr>
          <w:ilvl w:val="0"/>
          <w:numId w:val="0"/>
        </w:numPr>
        <w:spacing w:line="294" w:lineRule="atLeast"/>
        <w:rPr>
          <w:rFonts w:hint="eastAsia" w:ascii="华文仿宋" w:hAnsi="华文仿宋" w:eastAsia="华文仿宋" w:cs="华文仿宋"/>
          <w:b/>
          <w:bCs/>
          <w:color w:val="000000"/>
          <w:kern w:val="0"/>
          <w:sz w:val="30"/>
          <w:szCs w:val="30"/>
        </w:rPr>
      </w:pPr>
      <w:r>
        <w:rPr>
          <w:rFonts w:hint="eastAsia" w:ascii="华文仿宋" w:hAnsi="华文仿宋" w:eastAsia="华文仿宋" w:cs="华文仿宋"/>
          <w:b/>
          <w:bCs/>
          <w:color w:val="000000"/>
          <w:kern w:val="0"/>
          <w:sz w:val="30"/>
          <w:szCs w:val="30"/>
          <w:lang w:eastAsia="zh-CN"/>
        </w:rPr>
        <w:t>六、</w:t>
      </w:r>
      <w:r>
        <w:rPr>
          <w:rFonts w:hint="eastAsia" w:ascii="华文仿宋" w:hAnsi="华文仿宋" w:eastAsia="华文仿宋" w:cs="华文仿宋"/>
          <w:b/>
          <w:bCs/>
          <w:color w:val="000000"/>
          <w:kern w:val="0"/>
          <w:sz w:val="30"/>
          <w:szCs w:val="30"/>
        </w:rPr>
        <w:t>报表审核情况</w:t>
      </w:r>
    </w:p>
    <w:p>
      <w:pPr>
        <w:widowControl/>
        <w:numPr>
          <w:ilvl w:val="0"/>
          <w:numId w:val="0"/>
        </w:numPr>
        <w:spacing w:line="294" w:lineRule="atLeast"/>
        <w:ind w:firstLine="600" w:firstLineChars="200"/>
        <w:rPr>
          <w:rFonts w:hint="eastAsia" w:ascii="华文仿宋" w:hAnsi="华文仿宋" w:eastAsia="华文仿宋" w:cs="华文仿宋"/>
          <w:color w:val="000000"/>
          <w:kern w:val="0"/>
          <w:sz w:val="30"/>
          <w:szCs w:val="30"/>
          <w:lang w:val="en-US" w:eastAsia="zh-CN"/>
        </w:rPr>
      </w:pPr>
      <w:r>
        <w:rPr>
          <w:rFonts w:hint="eastAsia" w:ascii="华文仿宋" w:hAnsi="华文仿宋" w:eastAsia="华文仿宋" w:cs="华文仿宋"/>
          <w:color w:val="000000"/>
          <w:kern w:val="0"/>
          <w:sz w:val="30"/>
          <w:szCs w:val="30"/>
          <w:lang w:eastAsia="zh-CN"/>
        </w:rPr>
        <w:t>（一）</w:t>
      </w:r>
      <w:r>
        <w:rPr>
          <w:rFonts w:hint="eastAsia" w:ascii="华文仿宋" w:hAnsi="华文仿宋" w:eastAsia="华文仿宋" w:cs="华文仿宋"/>
          <w:color w:val="000000"/>
          <w:kern w:val="0"/>
          <w:sz w:val="30"/>
          <w:szCs w:val="30"/>
        </w:rPr>
        <w:t>审核情况</w:t>
      </w:r>
    </w:p>
    <w:p>
      <w:pPr>
        <w:widowControl/>
        <w:numPr>
          <w:ilvl w:val="0"/>
          <w:numId w:val="0"/>
        </w:numPr>
        <w:spacing w:line="294" w:lineRule="atLeast"/>
        <w:ind w:firstLine="600" w:firstLineChars="200"/>
        <w:rPr>
          <w:rFonts w:hint="eastAsia" w:ascii="华文仿宋" w:hAnsi="华文仿宋" w:eastAsia="华文仿宋" w:cs="华文仿宋"/>
          <w:color w:val="000000"/>
          <w:kern w:val="0"/>
          <w:sz w:val="30"/>
          <w:szCs w:val="30"/>
        </w:rPr>
      </w:pPr>
      <w:r>
        <w:rPr>
          <w:rFonts w:hint="eastAsia" w:ascii="华文仿宋" w:hAnsi="华文仿宋" w:eastAsia="华文仿宋" w:cs="华文仿宋"/>
          <w:color w:val="000000"/>
          <w:kern w:val="0"/>
          <w:sz w:val="30"/>
          <w:szCs w:val="30"/>
          <w:lang w:val="en-US" w:eastAsia="zh-CN"/>
        </w:rPr>
        <w:t>全审通过。</w:t>
      </w:r>
    </w:p>
    <w:p>
      <w:pPr>
        <w:widowControl/>
        <w:spacing w:line="294" w:lineRule="atLeast"/>
        <w:ind w:firstLine="600" w:firstLineChars="200"/>
        <w:rPr>
          <w:rFonts w:hint="eastAsia" w:ascii="华文仿宋" w:hAnsi="华文仿宋" w:eastAsia="华文仿宋" w:cs="华文仿宋"/>
          <w:color w:val="000000"/>
          <w:kern w:val="0"/>
          <w:sz w:val="30"/>
          <w:szCs w:val="30"/>
        </w:rPr>
      </w:pPr>
      <w:r>
        <w:rPr>
          <w:rFonts w:hint="eastAsia" w:ascii="华文仿宋" w:hAnsi="华文仿宋" w:eastAsia="华文仿宋" w:cs="华文仿宋"/>
          <w:color w:val="000000"/>
          <w:kern w:val="0"/>
          <w:sz w:val="30"/>
          <w:szCs w:val="30"/>
        </w:rPr>
        <w:t>（二）对报表指标、审核公式和审核模板的设置建议</w:t>
      </w:r>
    </w:p>
    <w:p>
      <w:pPr>
        <w:ind w:firstLine="600" w:firstLineChars="200"/>
        <w:rPr>
          <w:rFonts w:hint="eastAsia" w:ascii="华文仿宋" w:hAnsi="华文仿宋" w:eastAsia="华文仿宋" w:cs="华文仿宋"/>
          <w:color w:val="000000"/>
          <w:kern w:val="0"/>
          <w:sz w:val="30"/>
          <w:szCs w:val="30"/>
        </w:rPr>
      </w:pPr>
      <w:r>
        <w:rPr>
          <w:rFonts w:hint="eastAsia" w:ascii="华文仿宋" w:hAnsi="华文仿宋" w:eastAsia="华文仿宋" w:cs="华文仿宋"/>
          <w:color w:val="000000"/>
          <w:kern w:val="0"/>
          <w:sz w:val="30"/>
          <w:szCs w:val="30"/>
        </w:rPr>
        <w:t>建议在做决算报表之前，先进行软件培训，包括对表间单核公式的培训</w:t>
      </w:r>
      <w:r>
        <w:rPr>
          <w:rFonts w:hint="eastAsia" w:ascii="华文仿宋" w:hAnsi="华文仿宋" w:eastAsia="华文仿宋" w:cs="华文仿宋"/>
          <w:color w:val="000000"/>
          <w:kern w:val="0"/>
          <w:sz w:val="30"/>
          <w:szCs w:val="30"/>
          <w:lang w:eastAsia="zh-CN"/>
        </w:rPr>
        <w:t>，</w:t>
      </w:r>
      <w:r>
        <w:rPr>
          <w:rFonts w:hint="eastAsia" w:ascii="华文仿宋" w:hAnsi="华文仿宋" w:eastAsia="华文仿宋" w:cs="华文仿宋"/>
          <w:sz w:val="30"/>
          <w:szCs w:val="30"/>
        </w:rPr>
        <w:t>让广大财务人员真正切实看得懂且会运用这些公式审核。</w:t>
      </w:r>
    </w:p>
    <w:p>
      <w:pPr>
        <w:tabs>
          <w:tab w:val="left" w:pos="6028"/>
        </w:tabs>
        <w:ind w:firstLine="4500" w:firstLineChars="1500"/>
        <w:jc w:val="left"/>
        <w:rPr>
          <w:rFonts w:hint="eastAsia" w:ascii="华文仿宋" w:hAnsi="华文仿宋" w:eastAsia="华文仿宋" w:cs="华文仿宋"/>
          <w:kern w:val="2"/>
          <w:sz w:val="30"/>
          <w:szCs w:val="30"/>
          <w:lang w:val="en-US" w:eastAsia="zh-CN" w:bidi="ar-SA"/>
        </w:rPr>
      </w:pPr>
      <w:r>
        <w:rPr>
          <w:rFonts w:hint="eastAsia" w:ascii="华文仿宋" w:hAnsi="华文仿宋" w:eastAsia="华文仿宋" w:cs="华文仿宋"/>
          <w:kern w:val="2"/>
          <w:sz w:val="30"/>
          <w:szCs w:val="30"/>
          <w:lang w:val="en-US" w:eastAsia="zh-CN" w:bidi="ar-SA"/>
        </w:rPr>
        <w:t xml:space="preserve">   衡南县交通运输和旅游局</w:t>
      </w:r>
    </w:p>
    <w:p>
      <w:pPr>
        <w:tabs>
          <w:tab w:val="left" w:pos="6208"/>
        </w:tabs>
        <w:ind w:firstLine="5700" w:firstLineChars="1900"/>
        <w:jc w:val="left"/>
        <w:rPr>
          <w:rFonts w:hint="eastAsia" w:ascii="华文仿宋" w:hAnsi="华文仿宋" w:eastAsia="华文仿宋" w:cs="华文仿宋"/>
          <w:sz w:val="30"/>
          <w:szCs w:val="30"/>
          <w:lang w:val="en-US" w:eastAsia="zh-CN"/>
        </w:rPr>
      </w:pPr>
      <w:r>
        <w:rPr>
          <w:rFonts w:hint="eastAsia" w:ascii="华文仿宋" w:hAnsi="华文仿宋" w:eastAsia="华文仿宋" w:cs="华文仿宋"/>
          <w:kern w:val="2"/>
          <w:sz w:val="30"/>
          <w:szCs w:val="30"/>
          <w:lang w:val="en-US" w:eastAsia="zh-CN" w:bidi="ar-SA"/>
        </w:rPr>
        <w:t>2019年8月6日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中宋">
    <w:panose1 w:val="02010600040101010101"/>
    <w:charset w:val="86"/>
    <w:family w:val="auto"/>
    <w:pitch w:val="default"/>
    <w:sig w:usb0="00000287" w:usb1="080F0000" w:usb2="00000000" w:usb3="00000000" w:csb0="0004009F" w:csb1="DFD7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5494366"/>
    <w:multiLevelType w:val="singleLevel"/>
    <w:tmpl w:val="A5494366"/>
    <w:lvl w:ilvl="0" w:tentative="0">
      <w:start w:val="1"/>
      <w:numFmt w:val="chineseCounting"/>
      <w:suff w:val="nothing"/>
      <w:lvlText w:val="（%1）"/>
      <w:lvlJc w:val="left"/>
      <w:pPr>
        <w:ind w:left="600" w:leftChars="0" w:firstLine="0" w:firstLineChars="0"/>
      </w:pPr>
      <w:rPr>
        <w:rFonts w:hint="eastAsia"/>
      </w:rPr>
    </w:lvl>
  </w:abstractNum>
  <w:abstractNum w:abstractNumId="1">
    <w:nsid w:val="0ED63413"/>
    <w:multiLevelType w:val="singleLevel"/>
    <w:tmpl w:val="0ED63413"/>
    <w:lvl w:ilvl="0" w:tentative="0">
      <w:start w:val="2"/>
      <w:numFmt w:val="chineseCounting"/>
      <w:suff w:val="nothing"/>
      <w:lvlText w:val="（%1）"/>
      <w:lvlJc w:val="left"/>
      <w:pPr>
        <w:ind w:left="600" w:leftChars="0" w:firstLine="0" w:firstLineChars="0"/>
      </w:pPr>
      <w:rPr>
        <w:rFonts w:hint="eastAsia"/>
      </w:rPr>
    </w:lvl>
  </w:abstractNum>
  <w:abstractNum w:abstractNumId="2">
    <w:nsid w:val="1C635378"/>
    <w:multiLevelType w:val="singleLevel"/>
    <w:tmpl w:val="1C635378"/>
    <w:lvl w:ilvl="0" w:tentative="0">
      <w:start w:val="1"/>
      <w:numFmt w:val="chineseCounting"/>
      <w:suff w:val="nothing"/>
      <w:lvlText w:val="（%1）"/>
      <w:lvlJc w:val="left"/>
      <w:rPr>
        <w:rFonts w:hint="eastAsia"/>
      </w:rPr>
    </w:lvl>
  </w:abstractNum>
  <w:abstractNum w:abstractNumId="3">
    <w:nsid w:val="6954EDCA"/>
    <w:multiLevelType w:val="singleLevel"/>
    <w:tmpl w:val="6954EDCA"/>
    <w:lvl w:ilvl="0" w:tentative="0">
      <w:start w:val="5"/>
      <w:numFmt w:val="chineseCounting"/>
      <w:suff w:val="nothing"/>
      <w:lvlText w:val="%1、"/>
      <w:lvlJc w:val="left"/>
      <w:rPr>
        <w:rFonts w:hint="eastAsia"/>
      </w:rPr>
    </w:lvl>
  </w:abstractNum>
  <w:abstractNum w:abstractNumId="4">
    <w:nsid w:val="76D47F5E"/>
    <w:multiLevelType w:val="singleLevel"/>
    <w:tmpl w:val="76D47F5E"/>
    <w:lvl w:ilvl="0" w:tentative="0">
      <w:start w:val="2"/>
      <w:numFmt w:val="chineseCounting"/>
      <w:suff w:val="nothing"/>
      <w:lvlText w:val="（%1）"/>
      <w:lvlJc w:val="left"/>
      <w:rPr>
        <w:rFonts w:hint="eastAsia"/>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AB732B"/>
    <w:rsid w:val="002430C2"/>
    <w:rsid w:val="016B5621"/>
    <w:rsid w:val="01B00451"/>
    <w:rsid w:val="02890306"/>
    <w:rsid w:val="04813B35"/>
    <w:rsid w:val="06173AF8"/>
    <w:rsid w:val="07976EF5"/>
    <w:rsid w:val="120351DB"/>
    <w:rsid w:val="13CF3D51"/>
    <w:rsid w:val="146E31F5"/>
    <w:rsid w:val="16483A5B"/>
    <w:rsid w:val="16EE353B"/>
    <w:rsid w:val="1AD05844"/>
    <w:rsid w:val="1B471C39"/>
    <w:rsid w:val="1B7A00EA"/>
    <w:rsid w:val="1CEA0D4B"/>
    <w:rsid w:val="20844E16"/>
    <w:rsid w:val="28DC35E1"/>
    <w:rsid w:val="32E11B4A"/>
    <w:rsid w:val="3BAB732B"/>
    <w:rsid w:val="3E1517D2"/>
    <w:rsid w:val="419E0B47"/>
    <w:rsid w:val="421F58B5"/>
    <w:rsid w:val="450A0FC2"/>
    <w:rsid w:val="45660E6C"/>
    <w:rsid w:val="460C0D49"/>
    <w:rsid w:val="466E333F"/>
    <w:rsid w:val="46E63EEF"/>
    <w:rsid w:val="479C7BC7"/>
    <w:rsid w:val="47F52F00"/>
    <w:rsid w:val="4B4759B9"/>
    <w:rsid w:val="4B7B7391"/>
    <w:rsid w:val="513113C9"/>
    <w:rsid w:val="53F84458"/>
    <w:rsid w:val="543E07FE"/>
    <w:rsid w:val="555742F1"/>
    <w:rsid w:val="562D6220"/>
    <w:rsid w:val="58A01BD4"/>
    <w:rsid w:val="5F837533"/>
    <w:rsid w:val="603005AD"/>
    <w:rsid w:val="60EA40CC"/>
    <w:rsid w:val="63FF0F57"/>
    <w:rsid w:val="668631E2"/>
    <w:rsid w:val="66B167C5"/>
    <w:rsid w:val="696F739D"/>
    <w:rsid w:val="697A7036"/>
    <w:rsid w:val="6D824AF2"/>
    <w:rsid w:val="727C7B5B"/>
    <w:rsid w:val="733920A4"/>
    <w:rsid w:val="78933F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FollowedHyperlink"/>
    <w:basedOn w:val="4"/>
    <w:qFormat/>
    <w:uiPriority w:val="0"/>
    <w:rPr>
      <w:color w:val="333333"/>
      <w:u w:val="none"/>
    </w:rPr>
  </w:style>
  <w:style w:type="character" w:styleId="6">
    <w:name w:val="Emphasis"/>
    <w:basedOn w:val="4"/>
    <w:qFormat/>
    <w:uiPriority w:val="0"/>
  </w:style>
  <w:style w:type="character" w:styleId="7">
    <w:name w:val="HTML Definition"/>
    <w:basedOn w:val="4"/>
    <w:qFormat/>
    <w:uiPriority w:val="0"/>
  </w:style>
  <w:style w:type="character" w:styleId="8">
    <w:name w:val="HTML Acronym"/>
    <w:basedOn w:val="4"/>
    <w:qFormat/>
    <w:uiPriority w:val="0"/>
  </w:style>
  <w:style w:type="character" w:styleId="9">
    <w:name w:val="HTML Variable"/>
    <w:basedOn w:val="4"/>
    <w:qFormat/>
    <w:uiPriority w:val="0"/>
  </w:style>
  <w:style w:type="character" w:styleId="10">
    <w:name w:val="Hyperlink"/>
    <w:basedOn w:val="4"/>
    <w:qFormat/>
    <w:uiPriority w:val="0"/>
    <w:rPr>
      <w:color w:val="333333"/>
      <w:u w:val="none"/>
    </w:rPr>
  </w:style>
  <w:style w:type="character" w:styleId="11">
    <w:name w:val="HTML Code"/>
    <w:basedOn w:val="4"/>
    <w:qFormat/>
    <w:uiPriority w:val="0"/>
    <w:rPr>
      <w:rFonts w:ascii="Courier New" w:hAnsi="Courier New"/>
      <w:sz w:val="20"/>
    </w:rPr>
  </w:style>
  <w:style w:type="character" w:styleId="12">
    <w:name w:val="HTML Cite"/>
    <w:basedOn w:val="4"/>
    <w:qFormat/>
    <w:uiPriority w:val="0"/>
  </w:style>
  <w:style w:type="character" w:customStyle="1" w:styleId="13">
    <w:name w:val="hj-easyread-speakerprocesser-position-action-icon"/>
    <w:basedOn w:val="4"/>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2018-02-06T10:49:00Z</dcterms:created>
  <dc:creator>Administrator</dc:creator>
  <cp:lastModifiedBy>惠</cp:lastModifiedBy>
  <cp:lastPrinted>2019-08-07T03:52:00Z</cp:lastPrinted>
  <dcterms:modified xsi:type="dcterms:W3CDTF">2020-02-10T01:09:22Z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