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D5242C">
      <w:pPr>
        <w:jc w:val="center"/>
        <w:rPr>
          <w:rFonts w:hint="default" w:ascii="华文中宋" w:hAnsi="华文中宋" w:eastAsia="华文中宋" w:cs="华文中宋"/>
          <w:sz w:val="34"/>
          <w:szCs w:val="34"/>
          <w:lang w:val="en-US" w:eastAsia="zh-CN"/>
        </w:rPr>
      </w:pPr>
      <w:r>
        <w:rPr>
          <w:rFonts w:hint="eastAsia" w:ascii="华文中宋" w:hAnsi="华文中宋" w:eastAsia="华文中宋" w:cs="华文中宋"/>
          <w:sz w:val="34"/>
          <w:szCs w:val="34"/>
          <w:lang w:val="en-US" w:eastAsia="zh-CN"/>
        </w:rPr>
        <w:t>衡南县发展和改革局关于</w:t>
      </w:r>
      <w:bookmarkStart w:id="1" w:name="_GoBack"/>
      <w:bookmarkEnd w:id="1"/>
      <w:r>
        <w:rPr>
          <w:rFonts w:hint="eastAsia" w:ascii="华文中宋" w:hAnsi="华文中宋" w:eastAsia="华文中宋" w:cs="华文中宋"/>
          <w:sz w:val="34"/>
          <w:szCs w:val="34"/>
          <w:lang w:val="en-US" w:eastAsia="zh-CN"/>
        </w:rPr>
        <w:t>对《衡南县规模以上服务业企业培育申报入统工作实施办法》的解读</w:t>
      </w:r>
    </w:p>
    <w:p w14:paraId="27FD0B3A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textAlignment w:val="auto"/>
        <w:rPr>
          <w:rFonts w:hint="eastAsia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 xml:space="preserve">   </w:t>
      </w:r>
    </w:p>
    <w:p w14:paraId="07F7FDDF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落实全县主要经济指标移居全市“第一方阵”的工作要求，依据省发改委、市人民政府有关培育发展规模以上服务企业的文件精神，结合我县实际，起草了《衡南县规模以上服务业企业培育申报入统工作实施办法》，现将有关情况说明如下：</w:t>
      </w:r>
    </w:p>
    <w:p w14:paraId="65C05F08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一、起草背景</w:t>
      </w:r>
    </w:p>
    <w:p w14:paraId="540B7EF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为促进县域经济发展，2020年4月我县在县人民政府专题会议纪要（【2020】11号）予以明确：对每成功申报一家规模以上服务企业，一年后对企业一次性奖励2万元，并自入统之日起，对该企业统计员按月发放统计补助100元。</w:t>
      </w:r>
    </w:p>
    <w:p w14:paraId="22EB7C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2023年，规模以上服务企业常规统计报表要求发生调整，除每月需按时报送财务状况表（F203)外，每季度还需增报生产经营景气状况表(F210)及企业人员劳动工资报表，以上报表均须在1-18日期间完成上报。因统计员工作量显著增加，在2024年报请县领导同意，以报告形式参照是工业报表方式，给每个统计员每月据实发放200元补助。</w:t>
      </w:r>
    </w:p>
    <w:p w14:paraId="5FE8FA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2024年，国家统计员又再次对规模以上服务企业报表进行改革，新增了企业统计台账表；并今年7月起新增了服务企业生产经营情况表（X542），每月1-7日上报。规上服务企业近年对GDP贡献逐年增加，规上服务企业统计报表频繁增加，企业统计员工作量成倍增长。</w:t>
      </w:r>
    </w:p>
    <w:p w14:paraId="1220C9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鉴于原定政策已与当前实际工作情况不相适应，为切实压实企业统计员工作责任，保障数据报送质量，调动企业申报入统积极性，县发改局牵头起草了《衡南县规模以上服务业企业培育申报入统工作实施办法》，对相关补助标准、发放机制、工作流程等予以明确和规范。</w:t>
      </w:r>
    </w:p>
    <w:p w14:paraId="1BB93224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二、起草过程及文件依据</w:t>
      </w:r>
    </w:p>
    <w:p w14:paraId="45F6F95C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default" w:ascii="仿宋_GB2312" w:hAnsi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根据省发改委《关于印发&lt;关于培育发展规上服务业企业的若干措施&gt;的通知》（湘发改就服〔2024〕932号）和《关于促进规上服务业健康发展的通知》（湘发改就服〔2025〕343号）及衡阳市人民政府办公室《关于印发&lt;衡阳市服务“四上”企业高质量发展实施办法（衡政办发〔2022〕19号）和《印发&lt;关于全面落实“三高四新”美好蓝图推动制造业高质量发展的若干支持政策（试行）&gt;的通知》衡政办发〔2024〕21号）文件精神，参考衡山、常宁等兄弟县市的做法，经向县统计局、县财政局等相关单位征求意见，经县司法局合法性审查等，经县政府主要领导和分管常务同意，形成本文件。</w:t>
      </w:r>
    </w:p>
    <w:p w14:paraId="007CCE2E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三、主要内容</w:t>
      </w:r>
    </w:p>
    <w:p w14:paraId="4968C20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仿宋_GB2312" w:hAnsi="仿宋_GB2312" w:cs="仿宋_GB2312"/>
          <w:sz w:val="32"/>
          <w:szCs w:val="32"/>
          <w:lang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目标任务：</w:t>
      </w:r>
      <w:r>
        <w:rPr>
          <w:rFonts w:hint="eastAsia" w:ascii="仿宋_GB2312" w:hAnsi="仿宋_GB2312" w:eastAsia="仿宋_GB2312" w:cs="仿宋_GB2312"/>
          <w:sz w:val="32"/>
          <w:szCs w:val="32"/>
        </w:rPr>
        <w:t>为全面落实“三高四新”美好蓝图、大力推进“制造立市、文旅兴城”，加快建设现代化新衡南，充分调动各乡镇各部门履职尽责、干事创业的积极性，形成争先创优的良好氛围，促进全县规模以上服务业企业高质量发展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。</w:t>
      </w:r>
    </w:p>
    <w:p w14:paraId="3024FB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主要措施：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一是建立企业培育库，二是完善注册登记服务，三是规范培育入统工作流程，四是加强部门协作，五是建立联合执法机制，六是明确部门工作职责，七是加强业务培训。</w:t>
      </w:r>
    </w:p>
    <w:p w14:paraId="50F92757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适用对象：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对新增培育成功、正常生产经营、入统12个月以上的“规上”服务业企业</w:t>
      </w: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>；二是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入统企业的信息报送人员（一企一信息报送人员）报送信息时间一年以上的，且统计报表报送率、及时率、准确率和基础性工作合格，工作积极主动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。</w:t>
      </w:r>
    </w:p>
    <w:p w14:paraId="6384A5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执行标准：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一）设立新增“规上”服务业企业奖励资金。</w:t>
      </w:r>
      <w:r>
        <w:rPr>
          <w:rFonts w:hint="eastAsia" w:ascii="仿宋_GB2312" w:hAnsi="仿宋_GB2312" w:eastAsia="仿宋_GB2312" w:cs="仿宋_GB2312"/>
          <w:sz w:val="32"/>
          <w:szCs w:val="32"/>
        </w:rPr>
        <w:t>对新增培育成功、正常生产经营、入统12个月以上的“规上”服务业企业一次性奖励2万元。由县发改局根据市财政局、市发改委通知，收集新入统“规上”服务业企业的财务账号，县财政局统一核拨到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县发改局，县发改局拨付到</w:t>
      </w:r>
      <w:r>
        <w:rPr>
          <w:rFonts w:hint="eastAsia" w:ascii="仿宋_GB2312" w:hAnsi="仿宋_GB2312" w:eastAsia="仿宋_GB2312" w:cs="仿宋_GB2312"/>
          <w:sz w:val="32"/>
          <w:szCs w:val="32"/>
        </w:rPr>
        <w:t>企业。</w:t>
      </w:r>
    </w:p>
    <w:p w14:paraId="3BDABF8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设立入统企业的信息报送人员奖励资金。</w:t>
      </w:r>
      <w:r>
        <w:rPr>
          <w:rFonts w:hint="eastAsia" w:ascii="仿宋_GB2312" w:hAnsi="仿宋_GB2312" w:eastAsia="仿宋_GB2312" w:cs="仿宋_GB2312"/>
          <w:sz w:val="32"/>
          <w:szCs w:val="32"/>
        </w:rPr>
        <w:t>入统企业的信息报送人员（一企一信息报送人员）报送信息时间一年以上的，且统计报表报送率、及时率、准确率和基础性工作合格，工作积极主动，每年一次性奖励2400元，由县统计局、县发改局按照当年度在库服务业企业信息员报送人员的实际名单，向县政府据实申请同意后，由县财政局统一核拨至县发改局发放。</w:t>
      </w:r>
    </w:p>
    <w:p w14:paraId="17830F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楷体_GB2312" w:hAnsi="楷体_GB2312" w:eastAsia="楷体_GB2312" w:cs="楷体_GB2312"/>
          <w:b/>
          <w:bCs/>
          <w:kern w:val="2"/>
          <w:sz w:val="32"/>
          <w:szCs w:val="32"/>
          <w:lang w:val="en-US" w:eastAsia="zh-CN" w:bidi="ar-SA"/>
        </w:rPr>
        <w:t>惠民利民举措：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（一）支持“规上”服务业企业向上争资</w:t>
      </w:r>
      <w:r>
        <w:rPr>
          <w:rFonts w:hint="eastAsia" w:ascii="仿宋_GB2312" w:hAnsi="仿宋_GB2312" w:eastAsia="仿宋_GB2312" w:cs="仿宋_GB2312"/>
          <w:sz w:val="32"/>
          <w:szCs w:val="32"/>
        </w:rPr>
        <w:t>。国家、省、市产业政策专项资金及贴息资金扶持项目，“个转企”的企业原则上在“规上”服务业企业项目中推荐申报。</w:t>
      </w:r>
    </w:p>
    <w:p w14:paraId="73D375E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b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cs="仿宋_GB2312"/>
          <w:b/>
          <w:bCs/>
          <w:sz w:val="32"/>
          <w:szCs w:val="32"/>
          <w:lang w:val="en-US" w:eastAsia="zh-CN"/>
        </w:rPr>
        <w:t>二）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严格落实《政府采购法》</w:t>
      </w:r>
      <w:r>
        <w:rPr>
          <w:rFonts w:hint="eastAsia" w:ascii="仿宋_GB2312" w:hAnsi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县发改局通过购买服务等方式，选择管理规范、实力较强的专业中介机构，对全县拟升规入统和新升规入统的企业提供全过程咨询服务，包括帮助建立全原始凭证和电子统计台账、办理纳税申报、提供政策咨询等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2C49DE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3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（三）优先推荐参加评选活动</w:t>
      </w:r>
      <w:r>
        <w:rPr>
          <w:rFonts w:hint="eastAsia" w:ascii="仿宋_GB2312" w:hAnsi="仿宋_GB2312" w:eastAsia="仿宋_GB2312" w:cs="仿宋_GB2312"/>
          <w:sz w:val="32"/>
          <w:szCs w:val="32"/>
        </w:rPr>
        <w:t>。优先推荐在库“规上”服务业企业负责人参与年度全县“劳动模范”“明星企业家”等评选活动，并以县委、县政府名义进行表彰；优先推荐“规上”服务业企业优秀企业家代表作为人大代表、政协委员人选。</w:t>
      </w:r>
    </w:p>
    <w:p w14:paraId="544AFD33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lang w:val="en-US" w:eastAsia="zh-CN"/>
        </w:rPr>
      </w:pPr>
      <w:r>
        <w:rPr>
          <w:rFonts w:hint="eastAsia" w:ascii="仿宋_GB2312" w:hAnsi="仿宋_GB2312" w:cs="仿宋_GB2312"/>
          <w:lang w:val="en-US" w:eastAsia="zh-CN"/>
        </w:rPr>
        <w:t>新旧政策差异对比：原2020年4月政府会议纪要对企业信息报送员的奖励为100元/月，因工作量翻番，现提标为200元/月。</w:t>
      </w:r>
    </w:p>
    <w:p w14:paraId="4F3C8A15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lang w:eastAsia="zh-CN"/>
        </w:rPr>
      </w:pPr>
      <w:r>
        <w:rPr>
          <w:rFonts w:hint="eastAsia" w:ascii="黑体" w:hAnsi="黑体" w:eastAsia="黑体" w:cs="黑体"/>
          <w:lang w:eastAsia="zh-CN"/>
        </w:rPr>
        <w:t>四、专业名词解释</w:t>
      </w:r>
    </w:p>
    <w:p w14:paraId="39FDF5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cs="仿宋_GB2312"/>
          <w:lang w:val="en-US" w:eastAsia="zh-CN"/>
        </w:rPr>
        <w:t>规上服务企业：</w:t>
      </w:r>
      <w:bookmarkStart w:id="0" w:name="OLE_LINK2"/>
      <w:r>
        <w:rPr>
          <w:rFonts w:hint="eastAsia" w:ascii="仿宋_GB2312" w:hAnsi="仿宋_GB2312" w:eastAsia="仿宋_GB2312" w:cs="仿宋_GB2312"/>
          <w:sz w:val="32"/>
          <w:szCs w:val="32"/>
        </w:rPr>
        <w:t>年营业收入2000万元及以上服务业法人单位，包括：交通运输、仓储和邮政业，信息传输、软件和信息技术服务业，水利、环境和公共设施管理业，卫生；年营业收入1000万元及以上服务业法人单位，包括：租赁和商务服务业，科学研究和技术服务业，教育，以及物业管理、房地产中介服务、房地产租赁经营和其他房地产业；年营业收入500万元及以上服务业法人单位，包括：居民服务、修理和其他服务业，文化、体育和娱乐业，社会工作。</w:t>
      </w:r>
    </w:p>
    <w:p w14:paraId="761DD87A">
      <w:pPr>
        <w:pStyle w:val="2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39BE3E7">
      <w:pPr>
        <w:pStyle w:val="3"/>
        <w:jc w:val="right"/>
        <w:rPr>
          <w:rFonts w:hint="eastAsia" w:cs="仿宋_GB2312"/>
          <w:sz w:val="32"/>
          <w:szCs w:val="32"/>
          <w:lang w:val="en-US" w:eastAsia="zh-CN"/>
        </w:rPr>
      </w:pPr>
      <w:r>
        <w:rPr>
          <w:rFonts w:hint="eastAsia" w:cs="仿宋_GB2312"/>
          <w:sz w:val="32"/>
          <w:szCs w:val="32"/>
          <w:lang w:val="en-US" w:eastAsia="zh-CN"/>
        </w:rPr>
        <w:t>衡南县发展和改革局</w:t>
      </w:r>
    </w:p>
    <w:p w14:paraId="5FFFFFBF">
      <w:pPr>
        <w:pStyle w:val="4"/>
        <w:jc w:val="right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2025年9月16日</w:t>
      </w:r>
    </w:p>
    <w:bookmarkEnd w:id="0"/>
    <w:p w14:paraId="23B7C416">
      <w:pPr>
        <w:pStyle w:val="5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2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</w:p>
    <w:p w14:paraId="2CF711C4"/>
    <w:sectPr>
      <w:footerReference r:id="rId3" w:type="default"/>
      <w:pgSz w:w="11906" w:h="16838"/>
      <w:pgMar w:top="1701" w:right="1701" w:bottom="1701" w:left="1701" w:header="851" w:footer="1304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5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2EB9CFC-A884-43C1-AFB5-8E3D3DDADAC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9A88881-CBC9-480C-B6F3-12E9293D2AF5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3" w:fontKey="{BBBC2FA2-7F3E-43C1-8923-19B1ECF1896C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4" w:fontKey="{E4E6BB90-27A7-4D38-BDB4-3832E266C85F}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19C34E8A-24EE-46C8-B575-CE5F0348756E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6" w:fontKey="{557AB102-7C0D-4170-B5E3-9CB46DE159FF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104BEB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7906A83">
                          <w:pPr>
                            <w:pStyle w:val="6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t xml:space="preserve">— 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sz w:val="22"/>
                              <w:szCs w:val="22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2"/>
                              <w:szCs w:val="22"/>
                            </w:rPr>
                            <w:t>1</w: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sz w:val="22"/>
                              <w:szCs w:val="22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7906A83">
                    <w:pPr>
                      <w:pStyle w:val="6"/>
                      <w:rPr>
                        <w:sz w:val="22"/>
                        <w:szCs w:val="22"/>
                      </w:rPr>
                    </w:pPr>
                    <w:r>
                      <w:rPr>
                        <w:sz w:val="22"/>
                        <w:szCs w:val="22"/>
                      </w:rPr>
                      <w:t xml:space="preserve">— </w:t>
                    </w: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rPr>
                        <w:sz w:val="22"/>
                        <w:szCs w:val="22"/>
                      </w:rPr>
                      <w:instrText xml:space="preserve"> PAGE  \* MERGEFORMAT 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2"/>
                        <w:szCs w:val="22"/>
                      </w:rPr>
                      <w:t>1</w:t>
                    </w:r>
                    <w:r>
                      <w:rPr>
                        <w:sz w:val="22"/>
                        <w:szCs w:val="22"/>
                      </w:rPr>
                      <w:fldChar w:fldCharType="end"/>
                    </w:r>
                    <w:r>
                      <w:rPr>
                        <w:sz w:val="22"/>
                        <w:szCs w:val="22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C3870BE"/>
    <w:multiLevelType w:val="singleLevel"/>
    <w:tmpl w:val="4C3870BE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B83EE4"/>
    <w:rsid w:val="06B83EE4"/>
    <w:rsid w:val="0C323D10"/>
    <w:rsid w:val="1597503D"/>
    <w:rsid w:val="1FA952C4"/>
    <w:rsid w:val="20914490"/>
    <w:rsid w:val="33CC5E83"/>
    <w:rsid w:val="6D544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仿宋_GB2312"/>
      <w:kern w:val="2"/>
      <w:sz w:val="32"/>
      <w:szCs w:val="3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3"/>
    <w:uiPriority w:val="0"/>
    <w:pPr>
      <w:ind w:firstLine="420" w:firstLineChars="200"/>
    </w:pPr>
  </w:style>
  <w:style w:type="paragraph" w:styleId="3">
    <w:name w:val="Body Text"/>
    <w:basedOn w:val="1"/>
    <w:next w:val="4"/>
    <w:qFormat/>
    <w:uiPriority w:val="0"/>
    <w:pPr>
      <w:spacing w:after="120" w:afterLines="0" w:afterAutospacing="0" w:line="600" w:lineRule="exact"/>
      <w:ind w:firstLine="883" w:firstLineChars="200"/>
    </w:pPr>
    <w:rPr>
      <w:rFonts w:ascii="仿宋_GB2312" w:hAnsi="仿宋_GB2312" w:eastAsia="仿宋_GB2312"/>
      <w:sz w:val="32"/>
    </w:rPr>
  </w:style>
  <w:style w:type="paragraph" w:styleId="4">
    <w:name w:val="Title"/>
    <w:basedOn w:val="1"/>
    <w:next w:val="1"/>
    <w:qFormat/>
    <w:uiPriority w:val="0"/>
    <w:pPr>
      <w:widowControl/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5">
    <w:name w:val="endnote text"/>
    <w:basedOn w:val="1"/>
    <w:semiHidden/>
    <w:unhideWhenUsed/>
    <w:qFormat/>
    <w:uiPriority w:val="99"/>
    <w:pPr>
      <w:snapToGrid w:val="0"/>
      <w:jc w:val="left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2498</Words>
  <Characters>2583</Characters>
  <Lines>0</Lines>
  <Paragraphs>0</Paragraphs>
  <TotalTime>2</TotalTime>
  <ScaleCrop>false</ScaleCrop>
  <LinksUpToDate>false</LinksUpToDate>
  <CharactersWithSpaces>2660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2025-09-15T08:36:00Z</dcterms:created>
  <dc:creator>李美英</dc:creator>
  <cp:lastModifiedBy>李美英</cp:lastModifiedBy>
  <dcterms:modified xsi:type="dcterms:W3CDTF">2025-09-16T09:27:45Z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B025CA7D8D874B55A87E4FFE4657D780_13</vt:lpwstr>
  </property>
  <property fmtid="{D5CDD505-2E9C-101B-9397-08002B2CF9AE}" pid="4" name="KSOTemplateDocerSaveRecord">
    <vt:lpwstr>eyJoZGlkIjoiODQwMjM4Mjc5N2E0ZDg3YmYwZmRmOTVhOTJhODQ2YzciLCJ1c2VySWQiOiIyNTY2OTAwNDgifQ==</vt:lpwstr>
  </property>
</Properties>
</file>