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BA0BDD2">
      <w:pPr>
        <w:jc w:val="right"/>
        <w:rPr>
          <w:rFonts w:hint="eastAsia" w:ascii="仿宋" w:hAnsi="仿宋" w:eastAsia="仿宋" w:cs="仿宋"/>
          <w:sz w:val="32"/>
          <w:szCs w:val="32"/>
        </w:rPr>
      </w:pPr>
      <w:r>
        <w:rPr>
          <w:rFonts w:hint="eastAsia" w:ascii="仿宋" w:hAnsi="仿宋" w:eastAsia="仿宋" w:cs="仿宋"/>
          <w:sz w:val="32"/>
          <w:szCs w:val="32"/>
        </w:rPr>
        <w:t>衡清环审字〔2024〕</w:t>
      </w:r>
      <w:r>
        <w:rPr>
          <w:rFonts w:hint="eastAsia" w:ascii="仿宋" w:hAnsi="仿宋" w:eastAsia="仿宋" w:cs="仿宋"/>
          <w:sz w:val="32"/>
          <w:szCs w:val="32"/>
          <w:lang w:val="en-US" w:eastAsia="zh-CN"/>
        </w:rPr>
        <w:t>2</w:t>
      </w:r>
      <w:r>
        <w:rPr>
          <w:rFonts w:hint="eastAsia" w:ascii="仿宋" w:hAnsi="仿宋" w:eastAsia="仿宋" w:cs="仿宋"/>
          <w:sz w:val="32"/>
          <w:szCs w:val="32"/>
        </w:rPr>
        <w:t>号</w:t>
      </w:r>
    </w:p>
    <w:p w14:paraId="0381C63A">
      <w:pPr>
        <w:spacing w:line="600" w:lineRule="exact"/>
        <w:jc w:val="center"/>
        <w:rPr>
          <w:rFonts w:hint="eastAsia" w:ascii="华文中宋" w:hAnsi="华文中宋" w:eastAsia="华文中宋" w:cs="华文中宋"/>
          <w:b/>
          <w:bCs/>
          <w:color w:val="000000" w:themeColor="text1"/>
          <w:sz w:val="38"/>
          <w:szCs w:val="38"/>
          <w14:textFill>
            <w14:solidFill>
              <w14:schemeClr w14:val="tx1"/>
            </w14:solidFill>
          </w14:textFill>
        </w:rPr>
      </w:pPr>
    </w:p>
    <w:p w14:paraId="556E9B49">
      <w:pPr>
        <w:spacing w:line="600" w:lineRule="exact"/>
        <w:jc w:val="center"/>
        <w:rPr>
          <w:rFonts w:ascii="华文中宋" w:hAnsi="华文中宋" w:eastAsia="华文中宋" w:cs="华文中宋"/>
          <w:b/>
          <w:bCs/>
          <w:color w:val="000000" w:themeColor="text1"/>
          <w:sz w:val="38"/>
          <w:szCs w:val="38"/>
          <w14:textFill>
            <w14:solidFill>
              <w14:schemeClr w14:val="tx1"/>
            </w14:solidFill>
          </w14:textFill>
        </w:rPr>
      </w:pPr>
      <w:r>
        <w:rPr>
          <w:rFonts w:hint="eastAsia" w:ascii="华文中宋" w:hAnsi="华文中宋" w:eastAsia="华文中宋" w:cs="华文中宋"/>
          <w:b/>
          <w:bCs/>
          <w:color w:val="000000" w:themeColor="text1"/>
          <w:sz w:val="38"/>
          <w:szCs w:val="38"/>
          <w14:textFill>
            <w14:solidFill>
              <w14:schemeClr w14:val="tx1"/>
            </w14:solidFill>
          </w14:textFill>
        </w:rPr>
        <w:t>衡阳市生态环境局</w:t>
      </w:r>
    </w:p>
    <w:p w14:paraId="663943A7">
      <w:pPr>
        <w:spacing w:line="600" w:lineRule="exact"/>
        <w:jc w:val="center"/>
        <w:rPr>
          <w:rFonts w:ascii="华文中宋" w:hAnsi="华文中宋" w:eastAsia="华文中宋" w:cs="华文中宋"/>
          <w:b/>
          <w:bCs/>
          <w:color w:val="000000" w:themeColor="text1"/>
          <w:sz w:val="38"/>
          <w:szCs w:val="38"/>
          <w14:textFill>
            <w14:solidFill>
              <w14:schemeClr w14:val="tx1"/>
            </w14:solidFill>
          </w14:textFill>
        </w:rPr>
      </w:pPr>
      <w:r>
        <w:rPr>
          <w:rFonts w:hint="eastAsia" w:ascii="华文中宋" w:hAnsi="华文中宋" w:eastAsia="华文中宋" w:cs="华文中宋"/>
          <w:b/>
          <w:bCs/>
          <w:color w:val="000000" w:themeColor="text1"/>
          <w:sz w:val="38"/>
          <w:szCs w:val="38"/>
          <w14:textFill>
            <w14:solidFill>
              <w14:schemeClr w14:val="tx1"/>
            </w14:solidFill>
          </w14:textFill>
        </w:rPr>
        <w:t>关于《衡南县黄吉50MW林光互补光伏电站项目变更环境影响说明（二次变更）环境影响报告表》的批复</w:t>
      </w:r>
    </w:p>
    <w:p w14:paraId="2538755D">
      <w:pPr>
        <w:jc w:val="center"/>
        <w:rPr>
          <w:rFonts w:ascii="宋体" w:hAnsi="宋体" w:cs="宋体"/>
          <w:b/>
          <w:bCs/>
          <w:color w:val="000000" w:themeColor="text1"/>
          <w:sz w:val="36"/>
          <w:szCs w:val="36"/>
          <w14:textFill>
            <w14:solidFill>
              <w14:schemeClr w14:val="tx1"/>
            </w14:solidFill>
          </w14:textFill>
        </w:rPr>
      </w:pPr>
    </w:p>
    <w:p w14:paraId="6CE6422E">
      <w:pPr>
        <w:rPr>
          <w:rStyle w:val="17"/>
          <w:rFonts w:ascii="仿宋" w:hAnsi="仿宋" w:eastAsia="仿宋" w:cs="仿宋"/>
          <w:color w:val="000000" w:themeColor="text1"/>
          <w:sz w:val="32"/>
          <w:szCs w:val="32"/>
          <w14:textFill>
            <w14:solidFill>
              <w14:schemeClr w14:val="tx1"/>
            </w14:solidFill>
          </w14:textFill>
        </w:rPr>
      </w:pPr>
      <w:r>
        <w:rPr>
          <w:rStyle w:val="17"/>
          <w:rFonts w:hint="eastAsia" w:ascii="仿宋" w:hAnsi="仿宋" w:eastAsia="仿宋" w:cs="仿宋"/>
          <w:color w:val="000000" w:themeColor="text1"/>
          <w:sz w:val="32"/>
          <w:szCs w:val="32"/>
          <w14:textFill>
            <w14:solidFill>
              <w14:schemeClr w14:val="tx1"/>
            </w14:solidFill>
          </w14:textFill>
        </w:rPr>
        <w:t>大唐华银电力股份有限公司</w:t>
      </w:r>
      <w:r>
        <w:rPr>
          <w:rStyle w:val="17"/>
          <w:rFonts w:hint="eastAsia" w:ascii="仿宋" w:hAnsi="仿宋" w:eastAsia="仿宋" w:cs="仿宋"/>
          <w:color w:val="000000" w:themeColor="text1"/>
          <w:sz w:val="32"/>
          <w:szCs w:val="32"/>
          <w:lang w:val="en-US" w:eastAsia="zh-CN"/>
          <w14:textFill>
            <w14:solidFill>
              <w14:schemeClr w14:val="tx1"/>
            </w14:solidFill>
          </w14:textFill>
        </w:rPr>
        <w:t>耒</w:t>
      </w:r>
      <w:r>
        <w:rPr>
          <w:rStyle w:val="17"/>
          <w:rFonts w:hint="eastAsia" w:ascii="仿宋" w:hAnsi="仿宋" w:eastAsia="仿宋" w:cs="仿宋"/>
          <w:color w:val="000000" w:themeColor="text1"/>
          <w:sz w:val="32"/>
          <w:szCs w:val="32"/>
          <w14:textFill>
            <w14:solidFill>
              <w14:schemeClr w14:val="tx1"/>
            </w14:solidFill>
          </w14:textFill>
        </w:rPr>
        <w:t>阳分公司：</w:t>
      </w:r>
    </w:p>
    <w:p w14:paraId="0230E625">
      <w:pPr>
        <w:ind w:firstLine="640" w:firstLineChars="200"/>
        <w:rPr>
          <w:rStyle w:val="17"/>
          <w:rFonts w:ascii="仿宋" w:hAnsi="仿宋" w:eastAsia="仿宋" w:cs="仿宋"/>
          <w:color w:val="000000" w:themeColor="text1"/>
          <w:sz w:val="32"/>
          <w:szCs w:val="32"/>
          <w14:textFill>
            <w14:solidFill>
              <w14:schemeClr w14:val="tx1"/>
            </w14:solidFill>
          </w14:textFill>
        </w:rPr>
      </w:pPr>
      <w:r>
        <w:rPr>
          <w:rStyle w:val="17"/>
          <w:rFonts w:hint="eastAsia" w:ascii="仿宋" w:hAnsi="仿宋" w:eastAsia="仿宋" w:cs="仿宋"/>
          <w:color w:val="000000" w:themeColor="text1"/>
          <w:sz w:val="32"/>
          <w:szCs w:val="32"/>
          <w14:textFill>
            <w14:solidFill>
              <w14:schemeClr w14:val="tx1"/>
            </w14:solidFill>
          </w14:textFill>
        </w:rPr>
        <w:t>你公司</w:t>
      </w:r>
      <w:r>
        <w:rPr>
          <w:rStyle w:val="17"/>
          <w:rFonts w:hint="eastAsia" w:ascii="仿宋" w:hAnsi="仿宋" w:eastAsia="仿宋" w:cs="仿宋"/>
          <w:color w:val="000000" w:themeColor="text1"/>
          <w:sz w:val="32"/>
          <w:szCs w:val="32"/>
          <w:lang w:val="en-US" w:eastAsia="zh-CN"/>
          <w14:textFill>
            <w14:solidFill>
              <w14:schemeClr w14:val="tx1"/>
            </w14:solidFill>
          </w14:textFill>
        </w:rPr>
        <w:t>报送</w:t>
      </w:r>
      <w:r>
        <w:rPr>
          <w:rStyle w:val="17"/>
          <w:rFonts w:hint="eastAsia" w:ascii="仿宋" w:hAnsi="仿宋" w:eastAsia="仿宋" w:cs="仿宋"/>
          <w:color w:val="000000" w:themeColor="text1"/>
          <w:sz w:val="32"/>
          <w:szCs w:val="32"/>
          <w14:textFill>
            <w14:solidFill>
              <w14:schemeClr w14:val="tx1"/>
            </w14:solidFill>
          </w14:textFill>
        </w:rPr>
        <w:t>的《衡南县黄吉50MW林光互补光伏电站项目变更环境影响说明（二次变更）环境影响报告表》（报批稿）及专家</w:t>
      </w:r>
      <w:r>
        <w:rPr>
          <w:rStyle w:val="17"/>
          <w:rFonts w:hint="eastAsia" w:ascii="仿宋" w:hAnsi="仿宋" w:eastAsia="仿宋" w:cs="仿宋"/>
          <w:color w:val="000000" w:themeColor="text1"/>
          <w:sz w:val="32"/>
          <w:szCs w:val="32"/>
          <w:lang w:val="en-US" w:eastAsia="zh-CN"/>
          <w14:textFill>
            <w14:solidFill>
              <w14:schemeClr w14:val="tx1"/>
            </w14:solidFill>
          </w14:textFill>
        </w:rPr>
        <w:t>组</w:t>
      </w:r>
      <w:r>
        <w:rPr>
          <w:rStyle w:val="17"/>
          <w:rFonts w:hint="eastAsia" w:ascii="仿宋" w:hAnsi="仿宋" w:eastAsia="仿宋" w:cs="仿宋"/>
          <w:color w:val="000000" w:themeColor="text1"/>
          <w:sz w:val="32"/>
          <w:szCs w:val="32"/>
          <w14:textFill>
            <w14:solidFill>
              <w14:schemeClr w14:val="tx1"/>
            </w14:solidFill>
          </w14:textFill>
        </w:rPr>
        <w:t>评审意见收悉，经研究，批复如下：</w:t>
      </w:r>
    </w:p>
    <w:p w14:paraId="5B4E74C9">
      <w:pPr>
        <w:numPr>
          <w:ilvl w:val="0"/>
          <w:numId w:val="1"/>
        </w:numPr>
        <w:ind w:firstLine="640" w:firstLineChars="200"/>
        <w:rPr>
          <w:rStyle w:val="17"/>
          <w:rFonts w:ascii="仿宋" w:hAnsi="仿宋" w:eastAsia="仿宋" w:cs="仿宋"/>
          <w:color w:val="000000" w:themeColor="text1"/>
          <w:sz w:val="32"/>
          <w:szCs w:val="32"/>
          <w14:textFill>
            <w14:solidFill>
              <w14:schemeClr w14:val="tx1"/>
            </w14:solidFill>
          </w14:textFill>
        </w:rPr>
      </w:pPr>
      <w:r>
        <w:rPr>
          <w:rStyle w:val="17"/>
          <w:rFonts w:hint="eastAsia" w:ascii="仿宋" w:hAnsi="仿宋" w:eastAsia="仿宋" w:cs="仿宋"/>
          <w:color w:val="000000" w:themeColor="text1"/>
          <w:sz w:val="32"/>
          <w:szCs w:val="32"/>
          <w14:textFill>
            <w14:solidFill>
              <w14:schemeClr w14:val="tx1"/>
            </w14:solidFill>
          </w14:textFill>
        </w:rPr>
        <w:t>项目</w:t>
      </w:r>
      <w:r>
        <w:rPr>
          <w:rStyle w:val="17"/>
          <w:rFonts w:ascii="仿宋" w:hAnsi="仿宋" w:eastAsia="仿宋" w:cs="仿宋"/>
          <w:color w:val="000000" w:themeColor="text1"/>
          <w:sz w:val="32"/>
          <w:szCs w:val="32"/>
          <w14:textFill>
            <w14:solidFill>
              <w14:schemeClr w14:val="tx1"/>
            </w14:solidFill>
          </w14:textFill>
        </w:rPr>
        <w:t>建设</w:t>
      </w:r>
      <w:r>
        <w:rPr>
          <w:rStyle w:val="17"/>
          <w:rFonts w:hint="eastAsia" w:ascii="仿宋" w:hAnsi="仿宋" w:eastAsia="仿宋" w:cs="仿宋"/>
          <w:color w:val="000000" w:themeColor="text1"/>
          <w:sz w:val="32"/>
          <w:szCs w:val="32"/>
          <w14:textFill>
            <w14:solidFill>
              <w14:schemeClr w14:val="tx1"/>
            </w14:solidFill>
          </w14:textFill>
        </w:rPr>
        <w:t>的</w:t>
      </w:r>
      <w:r>
        <w:rPr>
          <w:rStyle w:val="17"/>
          <w:rFonts w:ascii="仿宋" w:hAnsi="仿宋" w:eastAsia="仿宋" w:cs="仿宋"/>
          <w:color w:val="000000" w:themeColor="text1"/>
          <w:sz w:val="32"/>
          <w:szCs w:val="32"/>
          <w14:textFill>
            <w14:solidFill>
              <w14:schemeClr w14:val="tx1"/>
            </w14:solidFill>
          </w14:textFill>
        </w:rPr>
        <w:t>主要内容</w:t>
      </w:r>
      <w:r>
        <w:rPr>
          <w:rStyle w:val="17"/>
          <w:rFonts w:hint="eastAsia" w:ascii="仿宋" w:hAnsi="仿宋" w:eastAsia="仿宋" w:cs="仿宋"/>
          <w:color w:val="000000" w:themeColor="text1"/>
          <w:sz w:val="32"/>
          <w:szCs w:val="32"/>
          <w14:textFill>
            <w14:solidFill>
              <w14:schemeClr w14:val="tx1"/>
            </w14:solidFill>
          </w14:textFill>
        </w:rPr>
        <w:t>。大唐华银电力股份有限公司</w:t>
      </w:r>
      <w:r>
        <w:rPr>
          <w:rStyle w:val="17"/>
          <w:rFonts w:hint="eastAsia" w:ascii="仿宋" w:hAnsi="仿宋" w:eastAsia="仿宋" w:cs="仿宋"/>
          <w:color w:val="000000" w:themeColor="text1"/>
          <w:sz w:val="32"/>
          <w:szCs w:val="32"/>
          <w:lang w:val="en-US" w:eastAsia="zh-CN"/>
          <w14:textFill>
            <w14:solidFill>
              <w14:schemeClr w14:val="tx1"/>
            </w14:solidFill>
          </w14:textFill>
        </w:rPr>
        <w:t>耒</w:t>
      </w:r>
      <w:r>
        <w:rPr>
          <w:rStyle w:val="17"/>
          <w:rFonts w:hint="eastAsia" w:ascii="仿宋" w:hAnsi="仿宋" w:eastAsia="仿宋" w:cs="仿宋"/>
          <w:color w:val="000000" w:themeColor="text1"/>
          <w:sz w:val="32"/>
          <w:szCs w:val="32"/>
          <w14:textFill>
            <w14:solidFill>
              <w14:schemeClr w14:val="tx1"/>
            </w14:solidFill>
          </w14:textFill>
        </w:rPr>
        <w:t>阳分公司</w:t>
      </w:r>
      <w:r>
        <w:rPr>
          <w:rStyle w:val="17"/>
          <w:rFonts w:hint="eastAsia" w:ascii="仿宋" w:hAnsi="仿宋" w:eastAsia="仿宋" w:cs="仿宋"/>
          <w:color w:val="000000" w:themeColor="text1"/>
          <w:sz w:val="32"/>
          <w:szCs w:val="32"/>
          <w:lang w:val="en-US" w:eastAsia="zh-CN"/>
          <w14:textFill>
            <w14:solidFill>
              <w14:schemeClr w14:val="tx1"/>
            </w14:solidFill>
          </w14:textFill>
        </w:rPr>
        <w:t>总投资</w:t>
      </w:r>
      <w:r>
        <w:rPr>
          <w:rStyle w:val="17"/>
          <w:rFonts w:hint="eastAsia" w:ascii="仿宋" w:hAnsi="仿宋" w:eastAsia="仿宋" w:cs="仿宋"/>
          <w:color w:val="000000" w:themeColor="text1"/>
          <w:sz w:val="32"/>
          <w:szCs w:val="32"/>
          <w:highlight w:val="none"/>
          <w:lang w:val="en-US" w:eastAsia="zh-CN"/>
          <w14:textFill>
            <w14:solidFill>
              <w14:schemeClr w14:val="tx1"/>
            </w14:solidFill>
          </w14:textFill>
        </w:rPr>
        <w:t>23869.24万元在衡南县茶市镇建设衡南县黄吉50MW林光互补光伏电站项目。该项目于2020年11月取得衡阳市生态环境局批复（衡清环审字[2020]2号），2021年12月取得衡阳市生态环境局一次变更环评批复（衡清环审字[2021]38号）。此次变更的主要内容为：总投资由原23869.24万元变更为21946.43万元，减少1922.81万元；</w:t>
      </w:r>
      <w:r>
        <w:rPr>
          <w:rStyle w:val="17"/>
          <w:rFonts w:hint="eastAsia" w:ascii="仿宋" w:hAnsi="仿宋" w:eastAsia="仿宋" w:cs="仿宋"/>
          <w:color w:val="000000" w:themeColor="text1"/>
          <w:sz w:val="32"/>
          <w:szCs w:val="32"/>
          <w:lang w:val="en-US" w:eastAsia="zh-CN"/>
          <w14:textFill>
            <w14:solidFill>
              <w14:schemeClr w14:val="tx1"/>
            </w14:solidFill>
          </w14:textFill>
        </w:rPr>
        <w:t>总用地面积由一次变更环评批复的1426亩变更为956.4亩（含升压站占地），用地面积减少469.6亩；一次变更环评批复未建的10个光伏子阵调整为16个光伏子阵，新增加6个光伏子阵，光伏子阵占地为943.2亩（其中已建光伏占地242.2亩，未建光伏占地701亩，未建光伏占地全部为重新选址，为新增用地）；光伏组串由121856块（530Wp）变更为89400块（24458块540Wp、64942块720Wp），减少32456块；总装机容量由64.58386MWp变更为59.96576MWp，减少4.6181MWp。本次环评不包括升压站和110KV送出工程内容。</w:t>
      </w:r>
      <w:r>
        <w:rPr>
          <w:rStyle w:val="17"/>
          <w:rFonts w:hint="eastAsia" w:ascii="仿宋" w:hAnsi="仿宋" w:eastAsia="仿宋" w:cs="仿宋"/>
          <w:color w:val="000000" w:themeColor="text1"/>
          <w:sz w:val="32"/>
          <w:szCs w:val="32"/>
          <w14:textFill>
            <w14:solidFill>
              <w14:schemeClr w14:val="tx1"/>
            </w14:solidFill>
          </w14:textFill>
        </w:rPr>
        <w:t>该项目</w:t>
      </w:r>
      <w:r>
        <w:rPr>
          <w:rStyle w:val="17"/>
          <w:rFonts w:hint="eastAsia" w:ascii="仿宋" w:hAnsi="仿宋" w:eastAsia="仿宋" w:cs="仿宋"/>
          <w:color w:val="000000" w:themeColor="text1"/>
          <w:sz w:val="32"/>
          <w:szCs w:val="32"/>
          <w:lang w:val="en-US" w:eastAsia="zh-CN"/>
          <w14:textFill>
            <w14:solidFill>
              <w14:schemeClr w14:val="tx1"/>
            </w14:solidFill>
          </w14:textFill>
        </w:rPr>
        <w:t>二次变更</w:t>
      </w:r>
      <w:r>
        <w:rPr>
          <w:rStyle w:val="17"/>
          <w:rFonts w:hint="eastAsia" w:ascii="仿宋" w:hAnsi="仿宋" w:eastAsia="仿宋" w:cs="仿宋"/>
          <w:color w:val="000000" w:themeColor="text1"/>
          <w:sz w:val="32"/>
          <w:szCs w:val="32"/>
          <w14:textFill>
            <w14:solidFill>
              <w14:schemeClr w14:val="tx1"/>
            </w14:solidFill>
          </w14:textFill>
        </w:rPr>
        <w:t>环境影响报告表提出的污染防治措施客观可行，从环保角度分析，同意该项目建设。</w:t>
      </w:r>
    </w:p>
    <w:p w14:paraId="5D43F7C0">
      <w:pPr>
        <w:ind w:firstLine="640" w:firstLineChars="200"/>
        <w:rPr>
          <w:rStyle w:val="17"/>
          <w:rFonts w:ascii="仿宋" w:hAnsi="仿宋" w:eastAsia="仿宋" w:cs="仿宋"/>
          <w:color w:val="000000" w:themeColor="text1"/>
          <w:sz w:val="32"/>
          <w:szCs w:val="32"/>
          <w14:textFill>
            <w14:solidFill>
              <w14:schemeClr w14:val="tx1"/>
            </w14:solidFill>
          </w14:textFill>
        </w:rPr>
      </w:pPr>
      <w:r>
        <w:rPr>
          <w:rStyle w:val="17"/>
          <w:rFonts w:hint="eastAsia" w:ascii="仿宋" w:hAnsi="仿宋" w:eastAsia="仿宋" w:cs="仿宋"/>
          <w:color w:val="000000" w:themeColor="text1"/>
          <w:sz w:val="32"/>
          <w:szCs w:val="32"/>
          <w14:textFill>
            <w14:solidFill>
              <w14:schemeClr w14:val="tx1"/>
            </w14:solidFill>
          </w14:textFill>
        </w:rPr>
        <w:t>二、在项目建设和运行中，必须严格执行环保法律法规，认真落实报告表提出的各项污染防治措施，并着重做好以下工作：</w:t>
      </w:r>
    </w:p>
    <w:p w14:paraId="40331376">
      <w:pPr>
        <w:numPr>
          <w:ilvl w:val="255"/>
          <w:numId w:val="0"/>
        </w:numPr>
        <w:spacing w:line="360" w:lineRule="auto"/>
        <w:ind w:firstLine="640" w:firstLineChars="200"/>
        <w:rPr>
          <w:rStyle w:val="17"/>
          <w:rFonts w:hint="eastAsia" w:ascii="仿宋" w:hAnsi="仿宋" w:eastAsia="仿宋" w:cs="仿宋"/>
          <w:color w:val="000000" w:themeColor="text1"/>
          <w:sz w:val="32"/>
          <w:szCs w:val="32"/>
          <w14:textFill>
            <w14:solidFill>
              <w14:schemeClr w14:val="tx1"/>
            </w14:solidFill>
          </w14:textFill>
        </w:rPr>
      </w:pPr>
      <w:r>
        <w:rPr>
          <w:rStyle w:val="17"/>
          <w:rFonts w:hint="eastAsia" w:ascii="仿宋" w:hAnsi="仿宋" w:eastAsia="仿宋" w:cs="仿宋"/>
          <w:color w:val="000000" w:themeColor="text1"/>
          <w:sz w:val="32"/>
          <w:szCs w:val="32"/>
          <w14:textFill>
            <w14:solidFill>
              <w14:schemeClr w14:val="tx1"/>
            </w14:solidFill>
          </w14:textFill>
        </w:rPr>
        <w:t>(一)严格落实施工期环保措施。新建道路工程应尽量减少对地表植被的破坏，避开雨季施工;严格落实施工生产生活区各项污染防治措施;施工中不得随意砍伐树木，破坏植被，做到“少占用、边施工、边恢复”的生态恢复要求;采取有效措施保护好工程占地范围内、进场及场内道路两侧的动植物</w:t>
      </w:r>
      <w:r>
        <w:rPr>
          <w:rStyle w:val="17"/>
          <w:rFonts w:hint="eastAsia" w:ascii="仿宋" w:hAnsi="仿宋" w:eastAsia="仿宋" w:cs="仿宋"/>
          <w:color w:val="000000" w:themeColor="text1"/>
          <w:sz w:val="32"/>
          <w:szCs w:val="32"/>
          <w:lang w:eastAsia="zh-CN"/>
          <w14:textFill>
            <w14:solidFill>
              <w14:schemeClr w14:val="tx1"/>
            </w14:solidFill>
          </w14:textFill>
        </w:rPr>
        <w:t>；</w:t>
      </w:r>
      <w:r>
        <w:rPr>
          <w:rStyle w:val="17"/>
          <w:rFonts w:hint="eastAsia" w:ascii="仿宋" w:hAnsi="仿宋" w:eastAsia="仿宋" w:cs="仿宋"/>
          <w:color w:val="000000" w:themeColor="text1"/>
          <w:sz w:val="32"/>
          <w:szCs w:val="32"/>
          <w14:textFill>
            <w14:solidFill>
              <w14:schemeClr w14:val="tx1"/>
            </w14:solidFill>
          </w14:textFill>
        </w:rPr>
        <w:t>施工期</w:t>
      </w:r>
      <w:r>
        <w:rPr>
          <w:rStyle w:val="17"/>
          <w:rFonts w:hint="eastAsia" w:ascii="仿宋" w:hAnsi="仿宋" w:eastAsia="仿宋" w:cs="仿宋"/>
          <w:color w:val="000000" w:themeColor="text1"/>
          <w:sz w:val="32"/>
          <w:szCs w:val="32"/>
          <w:lang w:val="en-US" w:eastAsia="zh-CN"/>
          <w14:textFill>
            <w14:solidFill>
              <w14:schemeClr w14:val="tx1"/>
            </w14:solidFill>
          </w14:textFill>
        </w:rPr>
        <w:t>废水通过收集隔油沉淀后</w:t>
      </w:r>
      <w:r>
        <w:rPr>
          <w:rStyle w:val="17"/>
          <w:rFonts w:hint="eastAsia" w:ascii="仿宋" w:hAnsi="仿宋" w:eastAsia="仿宋" w:cs="仿宋"/>
          <w:color w:val="000000" w:themeColor="text1"/>
          <w:sz w:val="32"/>
          <w:szCs w:val="32"/>
          <w14:textFill>
            <w14:solidFill>
              <w14:schemeClr w14:val="tx1"/>
            </w14:solidFill>
          </w14:textFill>
        </w:rPr>
        <w:t>用于施工区洒水抑尘</w:t>
      </w:r>
      <w:r>
        <w:rPr>
          <w:rStyle w:val="17"/>
          <w:rFonts w:hint="eastAsia" w:ascii="仿宋" w:hAnsi="仿宋" w:eastAsia="仿宋" w:cs="仿宋"/>
          <w:color w:val="000000" w:themeColor="text1"/>
          <w:sz w:val="32"/>
          <w:szCs w:val="32"/>
          <w:lang w:eastAsia="zh-CN"/>
          <w14:textFill>
            <w14:solidFill>
              <w14:schemeClr w14:val="tx1"/>
            </w14:solidFill>
          </w14:textFill>
        </w:rPr>
        <w:t>，</w:t>
      </w:r>
      <w:r>
        <w:rPr>
          <w:rStyle w:val="17"/>
          <w:rFonts w:hint="eastAsia" w:ascii="仿宋" w:hAnsi="仿宋" w:eastAsia="仿宋" w:cs="仿宋"/>
          <w:color w:val="000000" w:themeColor="text1"/>
          <w:sz w:val="32"/>
          <w:szCs w:val="32"/>
          <w14:textFill>
            <w14:solidFill>
              <w14:schemeClr w14:val="tx1"/>
            </w14:solidFill>
          </w14:textFill>
        </w:rPr>
        <w:t>不得外排</w:t>
      </w:r>
      <w:r>
        <w:rPr>
          <w:rStyle w:val="17"/>
          <w:rFonts w:hint="eastAsia" w:ascii="仿宋" w:hAnsi="仿宋" w:eastAsia="仿宋" w:cs="仿宋"/>
          <w:color w:val="000000" w:themeColor="text1"/>
          <w:sz w:val="32"/>
          <w:szCs w:val="32"/>
          <w:lang w:eastAsia="zh-CN"/>
          <w14:textFill>
            <w14:solidFill>
              <w14:schemeClr w14:val="tx1"/>
            </w14:solidFill>
          </w14:textFill>
        </w:rPr>
        <w:t>；</w:t>
      </w:r>
      <w:r>
        <w:rPr>
          <w:rStyle w:val="17"/>
          <w:rFonts w:hint="eastAsia" w:ascii="仿宋" w:hAnsi="仿宋" w:eastAsia="仿宋" w:cs="仿宋"/>
          <w:color w:val="000000" w:themeColor="text1"/>
          <w:sz w:val="32"/>
          <w:szCs w:val="32"/>
          <w:lang w:val="en-US" w:eastAsia="zh-CN"/>
          <w14:textFill>
            <w14:solidFill>
              <w14:schemeClr w14:val="tx1"/>
            </w14:solidFill>
          </w14:textFill>
        </w:rPr>
        <w:t>施工人员的</w:t>
      </w:r>
      <w:r>
        <w:rPr>
          <w:rStyle w:val="17"/>
          <w:rFonts w:hint="eastAsia" w:ascii="仿宋" w:hAnsi="仿宋" w:eastAsia="仿宋" w:cs="仿宋"/>
          <w:color w:val="000000" w:themeColor="text1"/>
          <w:sz w:val="32"/>
          <w:szCs w:val="32"/>
          <w14:textFill>
            <w14:solidFill>
              <w14:schemeClr w14:val="tx1"/>
            </w14:solidFill>
          </w14:textFill>
        </w:rPr>
        <w:t>生活污水</w:t>
      </w:r>
      <w:r>
        <w:rPr>
          <w:rStyle w:val="17"/>
          <w:rFonts w:hint="eastAsia" w:ascii="仿宋" w:hAnsi="仿宋" w:eastAsia="仿宋" w:cs="仿宋"/>
          <w:color w:val="000000" w:themeColor="text1"/>
          <w:sz w:val="32"/>
          <w:szCs w:val="32"/>
          <w:lang w:val="en-US" w:eastAsia="zh-CN"/>
          <w14:textFill>
            <w14:solidFill>
              <w14:schemeClr w14:val="tx1"/>
            </w14:solidFill>
          </w14:textFill>
        </w:rPr>
        <w:t>通过化粪池收集处理后用作农肥。</w:t>
      </w:r>
      <w:r>
        <w:rPr>
          <w:rStyle w:val="17"/>
          <w:rFonts w:hint="eastAsia" w:ascii="仿宋" w:hAnsi="仿宋" w:eastAsia="仿宋" w:cs="仿宋"/>
          <w:color w:val="000000" w:themeColor="text1"/>
          <w:sz w:val="32"/>
          <w:szCs w:val="32"/>
          <w14:textFill>
            <w14:solidFill>
              <w14:schemeClr w14:val="tx1"/>
            </w14:solidFill>
          </w14:textFill>
        </w:rPr>
        <w:t>施工区域应及时洒水降尘</w:t>
      </w:r>
      <w:r>
        <w:rPr>
          <w:rStyle w:val="17"/>
          <w:rFonts w:hint="eastAsia" w:ascii="仿宋" w:hAnsi="仿宋" w:eastAsia="仿宋" w:cs="仿宋"/>
          <w:color w:val="000000" w:themeColor="text1"/>
          <w:sz w:val="32"/>
          <w:szCs w:val="32"/>
          <w:lang w:eastAsia="zh-CN"/>
          <w14:textFill>
            <w14:solidFill>
              <w14:schemeClr w14:val="tx1"/>
            </w14:solidFill>
          </w14:textFill>
        </w:rPr>
        <w:t>，</w:t>
      </w:r>
      <w:r>
        <w:rPr>
          <w:rStyle w:val="17"/>
          <w:rFonts w:hint="eastAsia" w:ascii="仿宋" w:hAnsi="仿宋" w:eastAsia="仿宋" w:cs="仿宋"/>
          <w:color w:val="000000" w:themeColor="text1"/>
          <w:sz w:val="32"/>
          <w:szCs w:val="32"/>
          <w14:textFill>
            <w14:solidFill>
              <w14:schemeClr w14:val="tx1"/>
            </w14:solidFill>
          </w14:textFill>
        </w:rPr>
        <w:t>减少粉尘和扬尘的产生</w:t>
      </w:r>
      <w:r>
        <w:rPr>
          <w:rStyle w:val="17"/>
          <w:rFonts w:hint="eastAsia" w:ascii="仿宋" w:hAnsi="仿宋" w:eastAsia="仿宋" w:cs="仿宋"/>
          <w:color w:val="000000" w:themeColor="text1"/>
          <w:sz w:val="32"/>
          <w:szCs w:val="32"/>
          <w:lang w:eastAsia="zh-CN"/>
          <w14:textFill>
            <w14:solidFill>
              <w14:schemeClr w14:val="tx1"/>
            </w14:solidFill>
          </w14:textFill>
        </w:rPr>
        <w:t>；</w:t>
      </w:r>
      <w:r>
        <w:rPr>
          <w:rStyle w:val="17"/>
          <w:rFonts w:hint="eastAsia" w:ascii="仿宋" w:hAnsi="仿宋" w:eastAsia="仿宋" w:cs="仿宋"/>
          <w:color w:val="000000" w:themeColor="text1"/>
          <w:sz w:val="32"/>
          <w:szCs w:val="32"/>
          <w14:textFill>
            <w14:solidFill>
              <w14:schemeClr w14:val="tx1"/>
            </w14:solidFill>
          </w14:textFill>
        </w:rPr>
        <w:t>合理安排施工时间，开展施工期环境监测，防止噪声扰民。</w:t>
      </w:r>
    </w:p>
    <w:p w14:paraId="63CE088A">
      <w:pPr>
        <w:numPr>
          <w:ilvl w:val="255"/>
          <w:numId w:val="0"/>
        </w:numPr>
        <w:spacing w:line="360" w:lineRule="auto"/>
        <w:ind w:firstLine="640" w:firstLineChars="200"/>
        <w:rPr>
          <w:rStyle w:val="17"/>
          <w:rFonts w:hint="eastAsia" w:ascii="仿宋" w:hAnsi="仿宋" w:eastAsia="仿宋" w:cs="仿宋"/>
          <w:color w:val="000000" w:themeColor="text1"/>
          <w:sz w:val="32"/>
          <w:szCs w:val="32"/>
          <w14:textFill>
            <w14:solidFill>
              <w14:schemeClr w14:val="tx1"/>
            </w14:solidFill>
          </w14:textFill>
        </w:rPr>
      </w:pPr>
      <w:r>
        <w:rPr>
          <w:rStyle w:val="17"/>
          <w:rFonts w:hint="eastAsia" w:ascii="仿宋" w:hAnsi="仿宋" w:eastAsia="仿宋" w:cs="仿宋"/>
          <w:color w:val="000000" w:themeColor="text1"/>
          <w:sz w:val="32"/>
          <w:szCs w:val="32"/>
          <w:lang w:eastAsia="zh-CN"/>
          <w14:textFill>
            <w14:solidFill>
              <w14:schemeClr w14:val="tx1"/>
            </w14:solidFill>
          </w14:textFill>
        </w:rPr>
        <w:t>（</w:t>
      </w:r>
      <w:r>
        <w:rPr>
          <w:rStyle w:val="17"/>
          <w:rFonts w:hint="eastAsia" w:ascii="仿宋" w:hAnsi="仿宋" w:eastAsia="仿宋" w:cs="仿宋"/>
          <w:color w:val="000000" w:themeColor="text1"/>
          <w:sz w:val="32"/>
          <w:szCs w:val="32"/>
          <w:lang w:val="en-US" w:eastAsia="zh-CN"/>
          <w14:textFill>
            <w14:solidFill>
              <w14:schemeClr w14:val="tx1"/>
            </w14:solidFill>
          </w14:textFill>
        </w:rPr>
        <w:t>二</w:t>
      </w:r>
      <w:r>
        <w:rPr>
          <w:rStyle w:val="17"/>
          <w:rFonts w:hint="eastAsia" w:ascii="仿宋" w:hAnsi="仿宋" w:eastAsia="仿宋" w:cs="仿宋"/>
          <w:color w:val="000000" w:themeColor="text1"/>
          <w:sz w:val="32"/>
          <w:szCs w:val="32"/>
          <w:lang w:eastAsia="zh-CN"/>
          <w14:textFill>
            <w14:solidFill>
              <w14:schemeClr w14:val="tx1"/>
            </w14:solidFill>
          </w14:textFill>
        </w:rPr>
        <w:t>）</w:t>
      </w:r>
      <w:r>
        <w:rPr>
          <w:rStyle w:val="17"/>
          <w:rFonts w:hint="eastAsia" w:ascii="仿宋" w:hAnsi="仿宋" w:eastAsia="仿宋" w:cs="仿宋"/>
          <w:color w:val="000000" w:themeColor="text1"/>
          <w:sz w:val="32"/>
          <w:szCs w:val="32"/>
          <w14:textFill>
            <w14:solidFill>
              <w14:schemeClr w14:val="tx1"/>
            </w14:solidFill>
          </w14:textFill>
        </w:rPr>
        <w:t>做好营运期各项污染防治措施。</w:t>
      </w:r>
      <w:r>
        <w:rPr>
          <w:rStyle w:val="17"/>
          <w:rFonts w:hint="eastAsia" w:ascii="仿宋" w:hAnsi="仿宋" w:eastAsia="仿宋" w:cs="仿宋"/>
          <w:color w:val="000000" w:themeColor="text1"/>
          <w:sz w:val="32"/>
          <w:szCs w:val="32"/>
          <w:lang w:val="en-US" w:eastAsia="zh-CN"/>
          <w14:textFill>
            <w14:solidFill>
              <w14:schemeClr w14:val="tx1"/>
            </w14:solidFill>
          </w14:textFill>
        </w:rPr>
        <w:t>项目产生的光伏</w:t>
      </w:r>
      <w:r>
        <w:rPr>
          <w:rStyle w:val="17"/>
          <w:rFonts w:hint="default" w:ascii="Times New Roman" w:hAnsi="Times New Roman" w:eastAsia="仿宋" w:cs="Times New Roman"/>
          <w:color w:val="000000" w:themeColor="text1"/>
          <w:sz w:val="32"/>
          <w:szCs w:val="32"/>
          <w14:textFill>
            <w14:solidFill>
              <w14:schemeClr w14:val="tx1"/>
            </w14:solidFill>
          </w14:textFill>
        </w:rPr>
        <w:t>组件</w:t>
      </w:r>
      <w:r>
        <w:rPr>
          <w:rStyle w:val="17"/>
          <w:rFonts w:hint="eastAsia" w:ascii="仿宋" w:hAnsi="仿宋" w:eastAsia="仿宋" w:cs="仿宋"/>
          <w:color w:val="000000" w:themeColor="text1"/>
          <w:sz w:val="32"/>
          <w:szCs w:val="32"/>
          <w:lang w:val="en-US" w:eastAsia="zh-CN"/>
          <w14:textFill>
            <w14:solidFill>
              <w14:schemeClr w14:val="tx1"/>
            </w14:solidFill>
          </w14:textFill>
        </w:rPr>
        <w:t>清洗废水直接散</w:t>
      </w:r>
      <w:r>
        <w:rPr>
          <w:rStyle w:val="17"/>
          <w:rFonts w:hint="default" w:ascii="Times New Roman" w:hAnsi="Times New Roman" w:eastAsia="仿宋" w:cs="Times New Roman"/>
          <w:color w:val="000000" w:themeColor="text1"/>
          <w:sz w:val="32"/>
          <w:szCs w:val="32"/>
          <w:lang w:val="en-US" w:eastAsia="zh-CN"/>
          <w14:textFill>
            <w14:solidFill>
              <w14:schemeClr w14:val="tx1"/>
            </w14:solidFill>
          </w14:textFill>
        </w:rPr>
        <w:t>排至光伏板底用于场区绿化，不外排。</w:t>
      </w:r>
      <w:r>
        <w:rPr>
          <w:rStyle w:val="17"/>
          <w:rFonts w:hint="default" w:ascii="Times New Roman" w:hAnsi="Times New Roman" w:eastAsia="仿宋" w:cs="Times New Roman"/>
          <w:color w:val="000000" w:themeColor="text1"/>
          <w:sz w:val="32"/>
          <w:szCs w:val="32"/>
          <w14:textFill>
            <w14:solidFill>
              <w14:schemeClr w14:val="tx1"/>
            </w14:solidFill>
          </w14:textFill>
        </w:rPr>
        <w:t>通过采取合理布局、采取隔声、基础减震等措施，确保</w:t>
      </w:r>
      <w:r>
        <w:rPr>
          <w:rStyle w:val="17"/>
          <w:rFonts w:hint="default" w:ascii="Times New Roman" w:hAnsi="Times New Roman" w:eastAsia="仿宋" w:cs="Times New Roman"/>
          <w:color w:val="000000" w:themeColor="text1"/>
          <w:sz w:val="32"/>
          <w:szCs w:val="32"/>
          <w:lang w:val="en-US" w:eastAsia="zh-CN"/>
          <w14:textFill>
            <w14:solidFill>
              <w14:schemeClr w14:val="tx1"/>
            </w14:solidFill>
          </w14:textFill>
        </w:rPr>
        <w:t>光伏子阵片区厂界</w:t>
      </w:r>
      <w:r>
        <w:rPr>
          <w:rStyle w:val="17"/>
          <w:rFonts w:hint="default" w:ascii="Times New Roman" w:hAnsi="Times New Roman" w:eastAsia="仿宋" w:cs="Times New Roman"/>
          <w:color w:val="000000" w:themeColor="text1"/>
          <w:sz w:val="32"/>
          <w:szCs w:val="32"/>
          <w14:textFill>
            <w14:solidFill>
              <w14:schemeClr w14:val="tx1"/>
            </w14:solidFill>
          </w14:textFill>
        </w:rPr>
        <w:t>噪声达到《工业企业厂界环境噪声排放标准》(GB12348-2008)2类标准</w:t>
      </w:r>
      <w:r>
        <w:rPr>
          <w:rStyle w:val="17"/>
          <w:rFonts w:hint="eastAsia" w:ascii="Times New Roman" w:hAnsi="Times New Roman" w:eastAsia="仿宋" w:cs="Times New Roman"/>
          <w:color w:val="000000" w:themeColor="text1"/>
          <w:sz w:val="32"/>
          <w:szCs w:val="32"/>
          <w:lang w:eastAsia="zh-CN"/>
          <w14:textFill>
            <w14:solidFill>
              <w14:schemeClr w14:val="tx1"/>
            </w14:solidFill>
          </w14:textFill>
        </w:rPr>
        <w:t>；</w:t>
      </w:r>
      <w:r>
        <w:rPr>
          <w:rStyle w:val="17"/>
          <w:rFonts w:hint="default" w:ascii="Times New Roman" w:hAnsi="Times New Roman" w:eastAsia="仿宋" w:cs="Times New Roman"/>
          <w:color w:val="000000" w:themeColor="text1"/>
          <w:sz w:val="32"/>
          <w:szCs w:val="32"/>
          <w14:textFill>
            <w14:solidFill>
              <w14:schemeClr w14:val="tx1"/>
            </w14:solidFill>
          </w14:textFill>
        </w:rPr>
        <w:t>做好光电机组、箱式变压器的检查维护，设置事故集油池预防漏油风险</w:t>
      </w:r>
      <w:r>
        <w:rPr>
          <w:rStyle w:val="17"/>
          <w:rFonts w:hint="eastAsia" w:ascii="Times New Roman" w:hAnsi="Times New Roman" w:eastAsia="仿宋" w:cs="Times New Roman"/>
          <w:color w:val="000000" w:themeColor="text1"/>
          <w:sz w:val="32"/>
          <w:szCs w:val="32"/>
          <w:lang w:eastAsia="zh-CN"/>
          <w14:textFill>
            <w14:solidFill>
              <w14:schemeClr w14:val="tx1"/>
            </w14:solidFill>
          </w14:textFill>
        </w:rPr>
        <w:t>；</w:t>
      </w:r>
      <w:r>
        <w:rPr>
          <w:rStyle w:val="17"/>
          <w:rFonts w:hint="default" w:ascii="Times New Roman" w:hAnsi="Times New Roman" w:eastAsia="仿宋" w:cs="Times New Roman"/>
          <w:color w:val="000000" w:themeColor="text1"/>
          <w:sz w:val="32"/>
          <w:szCs w:val="32"/>
          <w14:textFill>
            <w14:solidFill>
              <w14:schemeClr w14:val="tx1"/>
            </w14:solidFill>
          </w14:textFill>
        </w:rPr>
        <w:t>项目产生的废旧光伏组件统一由厂家回收</w:t>
      </w:r>
      <w:r>
        <w:rPr>
          <w:rStyle w:val="17"/>
          <w:rFonts w:hint="eastAsia" w:ascii="Times New Roman" w:hAnsi="Times New Roman" w:eastAsia="仿宋" w:cs="Times New Roman"/>
          <w:color w:val="000000" w:themeColor="text1"/>
          <w:sz w:val="32"/>
          <w:szCs w:val="32"/>
          <w:lang w:eastAsia="zh-CN"/>
          <w14:textFill>
            <w14:solidFill>
              <w14:schemeClr w14:val="tx1"/>
            </w14:solidFill>
          </w14:textFill>
        </w:rPr>
        <w:t>；</w:t>
      </w:r>
      <w:r>
        <w:rPr>
          <w:rStyle w:val="17"/>
          <w:rFonts w:hint="default" w:ascii="Times New Roman" w:hAnsi="Times New Roman" w:eastAsia="仿宋" w:cs="Times New Roman"/>
          <w:color w:val="000000" w:themeColor="text1"/>
          <w:sz w:val="32"/>
          <w:szCs w:val="32"/>
          <w14:textFill>
            <w14:solidFill>
              <w14:schemeClr w14:val="tx1"/>
            </w14:solidFill>
          </w14:textFill>
        </w:rPr>
        <w:t>废</w:t>
      </w:r>
      <w:r>
        <w:rPr>
          <w:rStyle w:val="17"/>
          <w:rFonts w:hint="default" w:ascii="Times New Roman" w:hAnsi="Times New Roman" w:eastAsia="仿宋" w:cs="Times New Roman"/>
          <w:color w:val="000000" w:themeColor="text1"/>
          <w:sz w:val="32"/>
          <w:szCs w:val="32"/>
          <w:lang w:val="en-US" w:eastAsia="zh-CN"/>
          <w14:textFill>
            <w14:solidFill>
              <w14:schemeClr w14:val="tx1"/>
            </w14:solidFill>
          </w14:textFill>
        </w:rPr>
        <w:t>变压器油</w:t>
      </w:r>
      <w:r>
        <w:rPr>
          <w:rStyle w:val="17"/>
          <w:rFonts w:hint="default" w:ascii="Times New Roman" w:hAnsi="Times New Roman" w:eastAsia="仿宋" w:cs="Times New Roman"/>
          <w:color w:val="000000" w:themeColor="text1"/>
          <w:sz w:val="32"/>
          <w:szCs w:val="32"/>
          <w14:textFill>
            <w14:solidFill>
              <w14:schemeClr w14:val="tx1"/>
            </w14:solidFill>
          </w14:textFill>
        </w:rPr>
        <w:t>等危险废物收集暂存于危废暂存间，定期委托有相应处理资质单位进行处置</w:t>
      </w:r>
      <w:r>
        <w:rPr>
          <w:rStyle w:val="17"/>
          <w:rFonts w:hint="default" w:ascii="Times New Roman" w:hAnsi="Times New Roman" w:eastAsia="仿宋" w:cs="Times New Roman"/>
          <w:color w:val="000000" w:themeColor="text1"/>
          <w:sz w:val="32"/>
          <w:szCs w:val="32"/>
          <w:lang w:eastAsia="zh-CN"/>
          <w14:textFill>
            <w14:solidFill>
              <w14:schemeClr w14:val="tx1"/>
            </w14:solidFill>
          </w14:textFill>
        </w:rPr>
        <w:t>；</w:t>
      </w:r>
      <w:r>
        <w:rPr>
          <w:rStyle w:val="17"/>
          <w:rFonts w:hint="default" w:ascii="Times New Roman" w:hAnsi="Times New Roman" w:eastAsia="仿宋" w:cs="Times New Roman"/>
          <w:color w:val="000000" w:themeColor="text1"/>
          <w:sz w:val="32"/>
          <w:szCs w:val="32"/>
          <w14:textFill>
            <w14:solidFill>
              <w14:schemeClr w14:val="tx1"/>
            </w14:solidFill>
          </w14:textFill>
        </w:rPr>
        <w:t>一般工业固废暂存间按照《一般工业固体废物贮存和填埋污染控制标准》(GB 18599-20</w:t>
      </w:r>
      <w:r>
        <w:rPr>
          <w:rStyle w:val="17"/>
          <w:rFonts w:hint="default" w:ascii="Times New Roman" w:hAnsi="Times New Roman" w:eastAsia="仿宋" w:cs="Times New Roman"/>
          <w:color w:val="000000" w:themeColor="text1"/>
          <w:sz w:val="32"/>
          <w:szCs w:val="32"/>
          <w:lang w:val="en-US" w:eastAsia="zh-CN"/>
          <w14:textFill>
            <w14:solidFill>
              <w14:schemeClr w14:val="tx1"/>
            </w14:solidFill>
          </w14:textFill>
        </w:rPr>
        <w:t>20</w:t>
      </w:r>
      <w:r>
        <w:rPr>
          <w:rStyle w:val="17"/>
          <w:rFonts w:hint="default" w:ascii="Times New Roman" w:hAnsi="Times New Roman" w:eastAsia="仿宋" w:cs="Times New Roman"/>
          <w:color w:val="000000" w:themeColor="text1"/>
          <w:sz w:val="32"/>
          <w:szCs w:val="32"/>
          <w14:textFill>
            <w14:solidFill>
              <w14:schemeClr w14:val="tx1"/>
            </w14:solidFill>
          </w14:textFill>
        </w:rPr>
        <w:t>)</w:t>
      </w:r>
      <w:r>
        <w:rPr>
          <w:rStyle w:val="17"/>
          <w:rFonts w:hint="eastAsia" w:ascii="Times New Roman" w:hAnsi="Times New Roman" w:eastAsia="仿宋" w:cs="Times New Roman"/>
          <w:color w:val="000000" w:themeColor="text1"/>
          <w:sz w:val="32"/>
          <w:szCs w:val="32"/>
          <w:lang w:eastAsia="zh-CN"/>
          <w14:textFill>
            <w14:solidFill>
              <w14:schemeClr w14:val="tx1"/>
            </w14:solidFill>
          </w14:textFill>
        </w:rPr>
        <w:t>，</w:t>
      </w:r>
      <w:r>
        <w:rPr>
          <w:rStyle w:val="17"/>
          <w:rFonts w:hint="default" w:ascii="Times New Roman" w:hAnsi="Times New Roman" w:eastAsia="仿宋" w:cs="Times New Roman"/>
          <w:color w:val="000000" w:themeColor="text1"/>
          <w:sz w:val="32"/>
          <w:szCs w:val="32"/>
          <w14:textFill>
            <w14:solidFill>
              <w14:schemeClr w14:val="tx1"/>
            </w14:solidFill>
          </w14:textFill>
        </w:rPr>
        <w:t>危废暂存间按照《危险废物贮存污染控制标准》(GB18597-</w:t>
      </w:r>
      <w:r>
        <w:rPr>
          <w:rStyle w:val="17"/>
          <w:rFonts w:hint="default" w:ascii="Times New Roman" w:hAnsi="Times New Roman" w:eastAsia="仿宋" w:cs="Times New Roman"/>
          <w:color w:val="000000" w:themeColor="text1"/>
          <w:sz w:val="32"/>
          <w:szCs w:val="32"/>
          <w:lang w:val="en-US" w:eastAsia="zh-CN"/>
          <w14:textFill>
            <w14:solidFill>
              <w14:schemeClr w14:val="tx1"/>
            </w14:solidFill>
          </w14:textFill>
        </w:rPr>
        <w:t>2023</w:t>
      </w:r>
      <w:r>
        <w:rPr>
          <w:rStyle w:val="17"/>
          <w:rFonts w:hint="default" w:ascii="Times New Roman" w:hAnsi="Times New Roman" w:eastAsia="仿宋" w:cs="Times New Roman"/>
          <w:color w:val="000000" w:themeColor="text1"/>
          <w:sz w:val="32"/>
          <w:szCs w:val="32"/>
          <w14:textFill>
            <w14:solidFill>
              <w14:schemeClr w14:val="tx1"/>
            </w14:solidFill>
          </w14:textFill>
        </w:rPr>
        <w:t>)的要求进行建设。</w:t>
      </w:r>
    </w:p>
    <w:p w14:paraId="33172BFA">
      <w:pPr>
        <w:ind w:firstLine="640" w:firstLineChars="200"/>
        <w:rPr>
          <w:rStyle w:val="17"/>
          <w:rFonts w:ascii="仿宋" w:hAnsi="仿宋" w:eastAsia="仿宋" w:cs="仿宋"/>
          <w:color w:val="000000" w:themeColor="text1"/>
          <w:sz w:val="32"/>
          <w:szCs w:val="32"/>
          <w14:textFill>
            <w14:solidFill>
              <w14:schemeClr w14:val="tx1"/>
            </w14:solidFill>
          </w14:textFill>
        </w:rPr>
      </w:pPr>
      <w:r>
        <w:rPr>
          <w:rStyle w:val="17"/>
          <w:rFonts w:hint="eastAsia" w:ascii="仿宋" w:hAnsi="仿宋" w:eastAsia="仿宋" w:cs="仿宋"/>
          <w:color w:val="000000" w:themeColor="text1"/>
          <w:sz w:val="32"/>
          <w:szCs w:val="32"/>
          <w14:textFill>
            <w14:solidFill>
              <w14:schemeClr w14:val="tx1"/>
            </w14:solidFill>
          </w14:textFill>
        </w:rPr>
        <w:t>(三)强化生态环境保护，确保生态安全。项目建设应严格保护好区域内的植被，控制施工区域面积，减少对地表的扰动和工程临时占地对自然植被的破坏</w:t>
      </w:r>
      <w:r>
        <w:rPr>
          <w:rStyle w:val="17"/>
          <w:rFonts w:hint="eastAsia" w:ascii="仿宋" w:hAnsi="仿宋" w:eastAsia="仿宋" w:cs="仿宋"/>
          <w:color w:val="000000" w:themeColor="text1"/>
          <w:sz w:val="32"/>
          <w:szCs w:val="32"/>
          <w:lang w:eastAsia="zh-CN"/>
          <w14:textFill>
            <w14:solidFill>
              <w14:schemeClr w14:val="tx1"/>
            </w14:solidFill>
          </w14:textFill>
        </w:rPr>
        <w:t>；</w:t>
      </w:r>
      <w:r>
        <w:rPr>
          <w:rStyle w:val="17"/>
          <w:rFonts w:hint="eastAsia" w:ascii="仿宋" w:hAnsi="仿宋" w:eastAsia="仿宋" w:cs="仿宋"/>
          <w:color w:val="000000" w:themeColor="text1"/>
          <w:sz w:val="32"/>
          <w:szCs w:val="32"/>
          <w14:textFill>
            <w14:solidFill>
              <w14:schemeClr w14:val="tx1"/>
            </w14:solidFill>
          </w14:textFill>
        </w:rPr>
        <w:t>工程各项建设活动均应在工程占地范围内开展，施工任务完成后及时拆除临时设施，并完成生态恢复;严格按照水行政主管部门批复的水土保持方案并结合项目地的自然生态环境条件，认真落实水土保持措施，及时绿化并恢复植被;植被恢复应根据植物的生理特性，合理选择适合当地生长的成活率高的物种;加强生态恢复区后期培育与养护，消除水土流失和景观影响，严格保护和恢复生态用地。</w:t>
      </w:r>
    </w:p>
    <w:p w14:paraId="6059795E">
      <w:pPr>
        <w:ind w:firstLine="640" w:firstLineChars="200"/>
        <w:rPr>
          <w:rStyle w:val="17"/>
          <w:rFonts w:hint="eastAsia" w:ascii="仿宋" w:hAnsi="仿宋" w:eastAsia="仿宋" w:cs="仿宋"/>
          <w:color w:val="000000" w:themeColor="text1"/>
          <w:sz w:val="32"/>
          <w:szCs w:val="32"/>
          <w14:textFill>
            <w14:solidFill>
              <w14:schemeClr w14:val="tx1"/>
            </w14:solidFill>
          </w14:textFill>
        </w:rPr>
      </w:pPr>
      <w:r>
        <w:rPr>
          <w:rStyle w:val="17"/>
          <w:rFonts w:ascii="仿宋" w:hAnsi="仿宋" w:eastAsia="仿宋" w:cs="仿宋"/>
          <w:color w:val="000000" w:themeColor="text1"/>
          <w:sz w:val="32"/>
          <w:szCs w:val="32"/>
          <w14:textFill>
            <w14:solidFill>
              <w14:schemeClr w14:val="tx1"/>
            </w14:solidFill>
          </w14:textFill>
        </w:rPr>
        <w:t>(</w:t>
      </w:r>
      <w:r>
        <w:rPr>
          <w:rStyle w:val="17"/>
          <w:rFonts w:hint="eastAsia" w:ascii="仿宋" w:hAnsi="仿宋" w:eastAsia="仿宋" w:cs="仿宋"/>
          <w:color w:val="000000" w:themeColor="text1"/>
          <w:sz w:val="32"/>
          <w:szCs w:val="32"/>
          <w:lang w:val="en-US" w:eastAsia="zh-CN"/>
          <w14:textFill>
            <w14:solidFill>
              <w14:schemeClr w14:val="tx1"/>
            </w14:solidFill>
          </w14:textFill>
        </w:rPr>
        <w:t>四</w:t>
      </w:r>
      <w:r>
        <w:rPr>
          <w:rStyle w:val="17"/>
          <w:rFonts w:ascii="仿宋" w:hAnsi="仿宋" w:eastAsia="仿宋" w:cs="仿宋"/>
          <w:color w:val="000000" w:themeColor="text1"/>
          <w:sz w:val="32"/>
          <w:szCs w:val="32"/>
          <w14:textFill>
            <w14:solidFill>
              <w14:schemeClr w14:val="tx1"/>
            </w14:solidFill>
          </w14:textFill>
        </w:rPr>
        <w:t>)</w:t>
      </w:r>
      <w:r>
        <w:rPr>
          <w:rStyle w:val="17"/>
          <w:rFonts w:hint="eastAsia" w:ascii="仿宋" w:hAnsi="仿宋" w:eastAsia="仿宋" w:cs="仿宋"/>
          <w:color w:val="000000" w:themeColor="text1"/>
          <w:sz w:val="32"/>
          <w:szCs w:val="32"/>
          <w14:textFill>
            <w14:solidFill>
              <w14:schemeClr w14:val="tx1"/>
            </w14:solidFill>
          </w14:textFill>
        </w:rPr>
        <w:t>加强日常环境管理。建设单位应安排专职环保管理人员，建立健全环境管理制度，制定有效的风险防范措施和应急预案，防止发生环境风险事故。</w:t>
      </w:r>
    </w:p>
    <w:p w14:paraId="5399E2C2">
      <w:pPr>
        <w:pStyle w:val="5"/>
        <w:rPr>
          <w:rFonts w:hint="default" w:eastAsia="仿宋"/>
          <w:lang w:val="en-US" w:eastAsia="zh-CN"/>
        </w:rPr>
      </w:pPr>
      <w:r>
        <w:rPr>
          <w:rStyle w:val="17"/>
          <w:rFonts w:hint="eastAsia" w:ascii="仿宋" w:hAnsi="仿宋" w:eastAsia="仿宋" w:cs="仿宋"/>
          <w:color w:val="000000" w:themeColor="text1"/>
          <w:sz w:val="32"/>
          <w:szCs w:val="32"/>
          <w:lang w:val="en-US" w:eastAsia="zh-CN"/>
          <w14:textFill>
            <w14:solidFill>
              <w14:schemeClr w14:val="tx1"/>
            </w14:solidFill>
          </w14:textFill>
        </w:rPr>
        <w:t xml:space="preserve">    三、本项目涉及电磁辐射环境影响必须另行环评和报批。</w:t>
      </w:r>
    </w:p>
    <w:p w14:paraId="7539440B">
      <w:pPr>
        <w:ind w:firstLine="640" w:firstLineChars="200"/>
        <w:rPr>
          <w:rStyle w:val="17"/>
          <w:rFonts w:ascii="仿宋" w:hAnsi="仿宋" w:eastAsia="仿宋" w:cs="仿宋"/>
          <w:color w:val="000000" w:themeColor="text1"/>
          <w:sz w:val="32"/>
          <w:szCs w:val="32"/>
          <w14:textFill>
            <w14:solidFill>
              <w14:schemeClr w14:val="tx1"/>
            </w14:solidFill>
          </w14:textFill>
        </w:rPr>
      </w:pPr>
      <w:r>
        <w:rPr>
          <w:rStyle w:val="17"/>
          <w:rFonts w:hint="eastAsia" w:ascii="仿宋" w:hAnsi="仿宋" w:eastAsia="仿宋" w:cs="仿宋"/>
          <w:color w:val="000000" w:themeColor="text1"/>
          <w:sz w:val="32"/>
          <w:szCs w:val="32"/>
          <w:lang w:val="en-US" w:eastAsia="zh-CN"/>
          <w14:textFill>
            <w14:solidFill>
              <w14:schemeClr w14:val="tx1"/>
            </w14:solidFill>
          </w14:textFill>
        </w:rPr>
        <w:t>四</w:t>
      </w:r>
      <w:bookmarkStart w:id="0" w:name="_GoBack"/>
      <w:bookmarkEnd w:id="0"/>
      <w:r>
        <w:rPr>
          <w:rStyle w:val="17"/>
          <w:rFonts w:hint="eastAsia" w:ascii="仿宋" w:hAnsi="仿宋" w:eastAsia="仿宋" w:cs="仿宋"/>
          <w:color w:val="000000" w:themeColor="text1"/>
          <w:sz w:val="32"/>
          <w:szCs w:val="32"/>
          <w14:textFill>
            <w14:solidFill>
              <w14:schemeClr w14:val="tx1"/>
            </w14:solidFill>
          </w14:textFill>
        </w:rPr>
        <w:t>、项目竣工后，按规定</w:t>
      </w:r>
      <w:r>
        <w:rPr>
          <w:rStyle w:val="17"/>
          <w:rFonts w:hint="eastAsia" w:ascii="仿宋" w:hAnsi="仿宋" w:eastAsia="仿宋" w:cs="仿宋"/>
          <w:color w:val="000000" w:themeColor="text1"/>
          <w:sz w:val="32"/>
          <w:szCs w:val="32"/>
          <w:lang w:val="en-US" w:eastAsia="zh-CN"/>
          <w14:textFill>
            <w14:solidFill>
              <w14:schemeClr w14:val="tx1"/>
            </w14:solidFill>
          </w14:textFill>
        </w:rPr>
        <w:t>完成项目竣工环境保护</w:t>
      </w:r>
      <w:r>
        <w:rPr>
          <w:rStyle w:val="17"/>
          <w:rFonts w:hint="eastAsia" w:ascii="仿宋" w:hAnsi="仿宋" w:eastAsia="仿宋" w:cs="仿宋"/>
          <w:color w:val="000000" w:themeColor="text1"/>
          <w:sz w:val="32"/>
          <w:szCs w:val="32"/>
          <w14:textFill>
            <w14:solidFill>
              <w14:schemeClr w14:val="tx1"/>
            </w14:solidFill>
          </w14:textFill>
        </w:rPr>
        <w:t>验收，并主动接受衡南生态环境综合行政执法大队监管。如项目性质、规模、地点、采用的工艺及污染防治措施等发生重大变动，建设单位应当依法重新报批该项目的环境影响评价文件。</w:t>
      </w:r>
    </w:p>
    <w:p w14:paraId="4868F6F9">
      <w:pPr>
        <w:adjustRightInd w:val="0"/>
        <w:spacing w:line="570" w:lineRule="exact"/>
        <w:jc w:val="right"/>
        <w:rPr>
          <w:rFonts w:ascii="仿宋" w:hAnsi="仿宋" w:eastAsia="仿宋" w:cs="仿宋"/>
          <w:bCs/>
          <w:color w:val="000000" w:themeColor="text1"/>
          <w:sz w:val="32"/>
          <w:szCs w:val="32"/>
          <w14:textFill>
            <w14:solidFill>
              <w14:schemeClr w14:val="tx1"/>
            </w14:solidFill>
          </w14:textFill>
        </w:rPr>
      </w:pPr>
      <w:r>
        <w:rPr>
          <w:rStyle w:val="17"/>
          <w:rFonts w:hint="eastAsia" w:ascii="仿宋" w:hAnsi="仿宋" w:eastAsia="仿宋" w:cs="仿宋"/>
          <w:color w:val="000000" w:themeColor="text1"/>
          <w:sz w:val="32"/>
          <w:szCs w:val="32"/>
          <w:lang w:val="en-US" w:eastAsia="zh-CN"/>
          <w14:textFill>
            <w14:solidFill>
              <w14:schemeClr w14:val="tx1"/>
            </w14:solidFill>
          </w14:textFill>
        </w:rPr>
        <w:t xml:space="preserve"> </w:t>
      </w:r>
      <w:r>
        <w:rPr>
          <w:rFonts w:hint="eastAsia" w:ascii="仿宋" w:hAnsi="仿宋" w:eastAsia="仿宋" w:cs="仿宋"/>
          <w:bCs/>
          <w:color w:val="000000" w:themeColor="text1"/>
          <w:sz w:val="32"/>
          <w:szCs w:val="32"/>
          <w14:textFill>
            <w14:solidFill>
              <w14:schemeClr w14:val="tx1"/>
            </w14:solidFill>
          </w14:textFill>
        </w:rPr>
        <w:t>衡阳市生态环境局</w:t>
      </w:r>
    </w:p>
    <w:p w14:paraId="2132E243">
      <w:pPr>
        <w:spacing w:line="580" w:lineRule="exact"/>
        <w:jc w:val="right"/>
        <w:rPr>
          <w:color w:val="FF0000"/>
        </w:rPr>
      </w:pPr>
      <w:r>
        <w:rPr>
          <w:rFonts w:hint="default" w:ascii="Times New Roman" w:hAnsi="Times New Roman" w:eastAsia="仿宋" w:cs="Times New Roman"/>
          <w:color w:val="000000" w:themeColor="text1"/>
          <w:sz w:val="32"/>
          <w:szCs w:val="32"/>
          <w14:textFill>
            <w14:solidFill>
              <w14:schemeClr w14:val="tx1"/>
            </w14:solidFill>
          </w14:textFill>
        </w:rPr>
        <w:t>2025年4月</w:t>
      </w:r>
      <w:r>
        <w:rPr>
          <w:rFonts w:hint="eastAsia" w:ascii="Times New Roman" w:hAnsi="Times New Roman" w:eastAsia="仿宋" w:cs="Times New Roman"/>
          <w:color w:val="000000" w:themeColor="text1"/>
          <w:sz w:val="32"/>
          <w:szCs w:val="32"/>
          <w:lang w:val="en-US" w:eastAsia="zh-CN"/>
          <w14:textFill>
            <w14:solidFill>
              <w14:schemeClr w14:val="tx1"/>
            </w14:solidFill>
          </w14:textFill>
        </w:rPr>
        <w:t>27</w:t>
      </w:r>
      <w:r>
        <w:rPr>
          <w:rFonts w:hint="default" w:ascii="Times New Roman" w:hAnsi="Times New Roman" w:eastAsia="仿宋" w:cs="Times New Roman"/>
          <w:color w:val="000000" w:themeColor="text1"/>
          <w:sz w:val="32"/>
          <w:szCs w:val="32"/>
          <w14:textFill>
            <w14:solidFill>
              <w14:schemeClr w14:val="tx1"/>
            </w14:solidFill>
          </w14:textFill>
        </w:rPr>
        <w:t>日</w:t>
      </w:r>
    </w:p>
    <w:sectPr>
      <w:footerReference r:id="rId3" w:type="default"/>
      <w:pgSz w:w="11906" w:h="16838"/>
      <w:pgMar w:top="1440" w:right="1701" w:bottom="1701" w:left="1701" w:header="851" w:footer="992" w:gutter="0"/>
      <w:cols w:space="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roman"/>
    <w:pitch w:val="default"/>
    <w:sig w:usb0="E0002EFF" w:usb1="C000785B" w:usb2="00000009" w:usb3="00000000" w:csb0="400001FF" w:csb1="FFFF0000"/>
  </w:font>
  <w:font w:name="宋体">
    <w:panose1 w:val="02010600030101010101"/>
    <w:charset w:val="0D"/>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新宋体-18030">
    <w:altName w:val="宋体"/>
    <w:panose1 w:val="00000000000000000000"/>
    <w:charset w:val="00"/>
    <w:family w:val="auto"/>
    <w:pitch w:val="default"/>
    <w:sig w:usb0="00000000" w:usb1="00000000" w:usb2="00000000" w:usb3="00000000" w:csb0="00040001" w:csb1="00000000"/>
  </w:font>
  <w:font w:name="仿宋">
    <w:panose1 w:val="02010609060101010101"/>
    <w:charset w:val="86"/>
    <w:family w:val="modern"/>
    <w:pitch w:val="default"/>
    <w:sig w:usb0="800002BF" w:usb1="38CF7CFA" w:usb2="00000016" w:usb3="00000000" w:csb0="00040001" w:csb1="00000000"/>
  </w:font>
  <w:font w:name="华文中宋">
    <w:panose1 w:val="02010600040101010101"/>
    <w:charset w:val="86"/>
    <w:family w:val="auto"/>
    <w:pitch w:val="default"/>
    <w:sig w:usb0="00000287" w:usb1="080F0000" w:usb2="00000000" w:usb3="00000000" w:csb0="0004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14366C">
    <w:pPr>
      <w:pStyle w:val="9"/>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0417C39D">
                          <w:pPr>
                            <w:pStyle w:val="9"/>
                          </w:pPr>
                          <w:r>
                            <w:rPr>
                              <w:rFonts w:hint="eastAsia"/>
                            </w:rPr>
                            <w:fldChar w:fldCharType="begin"/>
                          </w:r>
                          <w:r>
                            <w:rPr>
                              <w:rFonts w:hint="eastAsia"/>
                            </w:rPr>
                            <w:instrText xml:space="preserve"> PAGE  \* MERGEFORMAT </w:instrText>
                          </w:r>
                          <w:r>
                            <w:rPr>
                              <w:rFonts w:hint="eastAsia"/>
                            </w:rPr>
                            <w:fldChar w:fldCharType="separate"/>
                          </w:r>
                          <w:r>
                            <w:t>1</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B4HF0wAgAAYw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QxQHSzMMBESn3p0Qrtvh34&#10;7E1xBk1n+jnxlm9qlLJlPjwwh8FA+Xg64R5LKQ1SmsGipDLuy7/OYzz6BS8lDQYtpxrvihL5XqOP&#10;AAyj4UZjPxr6qO4MJhe9QS2diQsuyNEsnVGf8Z5WMQdcTHNkymkYzbvQDzveIxerVReEybMsbPXO&#10;8ggd5fF2dQyQs1M5itIrge7EDWav69PwTuJw/7nvoh7/Dcvf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AAAAAGRycy9QSwECFAAUAAAACACH&#10;TuJAs0lY7tAAAAAFAQAADwAAAAAAAAABACAAAAAiAAAAZHJzL2Rvd25yZXYueG1sUEsBAhQAFAAA&#10;AAgAh07iQFB4HF0wAgAAYwQAAA4AAAAAAAAAAQAgAAAAHwEAAGRycy9lMm9Eb2MueG1sUEsFBgAA&#10;AAAGAAYAWQEAAMEFAAAAAA==&#10;">
              <v:fill on="f" focussize="0,0"/>
              <v:stroke on="f" weight="0.5pt"/>
              <v:imagedata o:title=""/>
              <o:lock v:ext="edit" aspectratio="f"/>
              <v:textbox inset="0mm,0mm,0mm,0mm" style="mso-fit-shape-to-text:t;">
                <w:txbxContent>
                  <w:p w14:paraId="0417C39D">
                    <w:pPr>
                      <w:pStyle w:val="9"/>
                    </w:pPr>
                    <w:r>
                      <w:rPr>
                        <w:rFonts w:hint="eastAsia"/>
                      </w:rPr>
                      <w:fldChar w:fldCharType="begin"/>
                    </w:r>
                    <w:r>
                      <w:rPr>
                        <w:rFonts w:hint="eastAsia"/>
                      </w:rPr>
                      <w:instrText xml:space="preserve"> PAGE  \* MERGEFORMAT </w:instrText>
                    </w:r>
                    <w:r>
                      <w:rPr>
                        <w:rFonts w:hint="eastAsia"/>
                      </w:rPr>
                      <w:fldChar w:fldCharType="separate"/>
                    </w:r>
                    <w:r>
                      <w:t>1</w:t>
                    </w:r>
                    <w:r>
                      <w:rPr>
                        <w:rFonts w:hint="eastAsia"/>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7504B6BA"/>
    <w:multiLevelType w:val="singleLevel"/>
    <w:tmpl w:val="7504B6BA"/>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GM3MTI3MzU4MjBmMzZhNDcyNDU3ZWQ2YTU3YjJiMzAifQ=="/>
  </w:docVars>
  <w:rsids>
    <w:rsidRoot w:val="561F50AC"/>
    <w:rsid w:val="000B3149"/>
    <w:rsid w:val="000E4CCF"/>
    <w:rsid w:val="000F67C5"/>
    <w:rsid w:val="00143C92"/>
    <w:rsid w:val="001F6DD7"/>
    <w:rsid w:val="00223229"/>
    <w:rsid w:val="00282085"/>
    <w:rsid w:val="0032436E"/>
    <w:rsid w:val="0037222E"/>
    <w:rsid w:val="003D2950"/>
    <w:rsid w:val="003F44AD"/>
    <w:rsid w:val="003F488D"/>
    <w:rsid w:val="00422E73"/>
    <w:rsid w:val="00450A23"/>
    <w:rsid w:val="004918F6"/>
    <w:rsid w:val="004E77D4"/>
    <w:rsid w:val="00650F8F"/>
    <w:rsid w:val="006604CF"/>
    <w:rsid w:val="007B61E7"/>
    <w:rsid w:val="0089183D"/>
    <w:rsid w:val="009356D1"/>
    <w:rsid w:val="00A25820"/>
    <w:rsid w:val="00A4540C"/>
    <w:rsid w:val="00AC663F"/>
    <w:rsid w:val="00B90C19"/>
    <w:rsid w:val="00BB447F"/>
    <w:rsid w:val="00C4755C"/>
    <w:rsid w:val="00CD2D79"/>
    <w:rsid w:val="00CD6675"/>
    <w:rsid w:val="00D736A2"/>
    <w:rsid w:val="00DE75E4"/>
    <w:rsid w:val="00E60ADD"/>
    <w:rsid w:val="00EB0370"/>
    <w:rsid w:val="00EC3302"/>
    <w:rsid w:val="00EC3B41"/>
    <w:rsid w:val="00F43306"/>
    <w:rsid w:val="04BA736B"/>
    <w:rsid w:val="0584418A"/>
    <w:rsid w:val="07CE7264"/>
    <w:rsid w:val="0BAC486B"/>
    <w:rsid w:val="0DD625CF"/>
    <w:rsid w:val="1226519C"/>
    <w:rsid w:val="12AB04DD"/>
    <w:rsid w:val="13217C78"/>
    <w:rsid w:val="143F0C8B"/>
    <w:rsid w:val="15A851FC"/>
    <w:rsid w:val="17E50F47"/>
    <w:rsid w:val="1A756CC1"/>
    <w:rsid w:val="1AB211B1"/>
    <w:rsid w:val="1B2D76A8"/>
    <w:rsid w:val="1C404595"/>
    <w:rsid w:val="1C7D7205"/>
    <w:rsid w:val="1CC00B7A"/>
    <w:rsid w:val="20783216"/>
    <w:rsid w:val="213E2E05"/>
    <w:rsid w:val="24D040C9"/>
    <w:rsid w:val="25E96079"/>
    <w:rsid w:val="279B17AE"/>
    <w:rsid w:val="2FB10BDC"/>
    <w:rsid w:val="3143321D"/>
    <w:rsid w:val="3276059E"/>
    <w:rsid w:val="33C97526"/>
    <w:rsid w:val="373919BF"/>
    <w:rsid w:val="38F277DD"/>
    <w:rsid w:val="3CE63B66"/>
    <w:rsid w:val="3DB30706"/>
    <w:rsid w:val="4006473D"/>
    <w:rsid w:val="414B5A37"/>
    <w:rsid w:val="424669BC"/>
    <w:rsid w:val="44E87F0C"/>
    <w:rsid w:val="464674FC"/>
    <w:rsid w:val="4DCB22D0"/>
    <w:rsid w:val="4F9B226D"/>
    <w:rsid w:val="53DB1A4A"/>
    <w:rsid w:val="561F50AC"/>
    <w:rsid w:val="578B51E2"/>
    <w:rsid w:val="57F71722"/>
    <w:rsid w:val="5A8F180C"/>
    <w:rsid w:val="5BB71F8E"/>
    <w:rsid w:val="5C314974"/>
    <w:rsid w:val="60252BBD"/>
    <w:rsid w:val="612D6F79"/>
    <w:rsid w:val="658A64CC"/>
    <w:rsid w:val="6A8D6A74"/>
    <w:rsid w:val="6B102C5F"/>
    <w:rsid w:val="6B2D0917"/>
    <w:rsid w:val="6D5D6C65"/>
    <w:rsid w:val="6F1C4EE4"/>
    <w:rsid w:val="734667AC"/>
    <w:rsid w:val="73B37255"/>
    <w:rsid w:val="746404CE"/>
    <w:rsid w:val="78D8467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qFormat="1"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2"/>
    <w:basedOn w:val="1"/>
    <w:next w:val="1"/>
    <w:qFormat/>
    <w:uiPriority w:val="9"/>
    <w:pPr>
      <w:keepNext/>
      <w:keepLines/>
      <w:spacing w:line="360" w:lineRule="auto"/>
      <w:ind w:firstLine="640" w:firstLineChars="200"/>
      <w:outlineLvl w:val="1"/>
    </w:pPr>
    <w:rPr>
      <w:rFonts w:ascii="Arial" w:hAnsi="Arial"/>
      <w:b/>
    </w:rPr>
  </w:style>
  <w:style w:type="paragraph" w:styleId="3">
    <w:name w:val="heading 3"/>
    <w:basedOn w:val="1"/>
    <w:next w:val="1"/>
    <w:qFormat/>
    <w:uiPriority w:val="0"/>
    <w:pPr>
      <w:keepNext/>
      <w:keepLines/>
      <w:spacing w:before="260" w:after="260" w:line="416" w:lineRule="auto"/>
      <w:outlineLvl w:val="2"/>
    </w:pPr>
    <w:rPr>
      <w:b/>
      <w:bCs/>
      <w:sz w:val="32"/>
      <w:szCs w:val="32"/>
    </w:rPr>
  </w:style>
  <w:style w:type="character" w:default="1" w:styleId="14">
    <w:name w:val="Default Paragraph Font"/>
    <w:semiHidden/>
    <w:unhideWhenUsed/>
    <w:qFormat/>
    <w:uiPriority w:val="1"/>
  </w:style>
  <w:style w:type="table" w:default="1" w:styleId="13">
    <w:name w:val="Normal Table"/>
    <w:semiHidden/>
    <w:unhideWhenUsed/>
    <w:qFormat/>
    <w:uiPriority w:val="99"/>
    <w:tblPr>
      <w:tblCellMar>
        <w:top w:w="0" w:type="dxa"/>
        <w:left w:w="108" w:type="dxa"/>
        <w:bottom w:w="0" w:type="dxa"/>
        <w:right w:w="108" w:type="dxa"/>
      </w:tblCellMar>
    </w:tblPr>
  </w:style>
  <w:style w:type="paragraph" w:styleId="4">
    <w:name w:val="table of authorities"/>
    <w:basedOn w:val="1"/>
    <w:next w:val="1"/>
    <w:qFormat/>
    <w:uiPriority w:val="0"/>
    <w:pPr>
      <w:ind w:left="420" w:leftChars="200"/>
    </w:pPr>
    <w:rPr>
      <w:rFonts w:ascii="Times New Roman" w:hAnsi="Times New Roman" w:eastAsia="宋体" w:cs="Times New Roman"/>
      <w:szCs w:val="24"/>
    </w:rPr>
  </w:style>
  <w:style w:type="paragraph" w:styleId="5">
    <w:name w:val="Body Text"/>
    <w:basedOn w:val="1"/>
    <w:next w:val="6"/>
    <w:qFormat/>
    <w:uiPriority w:val="0"/>
    <w:pPr>
      <w:spacing w:line="0" w:lineRule="atLeast"/>
    </w:pPr>
    <w:rPr>
      <w:sz w:val="28"/>
    </w:rPr>
  </w:style>
  <w:style w:type="paragraph" w:customStyle="1" w:styleId="6">
    <w:name w:val="xl27"/>
    <w:basedOn w:val="4"/>
    <w:qFormat/>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jc w:val="center"/>
    </w:pPr>
    <w:rPr>
      <w:rFonts w:ascii="新宋体-18030" w:hAnsi="新宋体-18030" w:eastAsia="新宋体-18030" w:cs="新宋体-18030"/>
      <w:kern w:val="0"/>
      <w:sz w:val="24"/>
    </w:rPr>
  </w:style>
  <w:style w:type="paragraph" w:styleId="7">
    <w:name w:val="Body Text Indent"/>
    <w:basedOn w:val="1"/>
    <w:next w:val="8"/>
    <w:qFormat/>
    <w:uiPriority w:val="0"/>
    <w:pPr>
      <w:spacing w:after="120"/>
      <w:ind w:left="420" w:leftChars="200"/>
    </w:pPr>
    <w:rPr>
      <w:kern w:val="0"/>
      <w:sz w:val="24"/>
      <w:szCs w:val="20"/>
    </w:rPr>
  </w:style>
  <w:style w:type="paragraph" w:styleId="8">
    <w:name w:val="Body Text Indent 2"/>
    <w:basedOn w:val="1"/>
    <w:next w:val="1"/>
    <w:qFormat/>
    <w:uiPriority w:val="0"/>
    <w:pPr>
      <w:spacing w:after="120" w:line="480" w:lineRule="auto"/>
      <w:ind w:left="420" w:leftChars="200"/>
    </w:pPr>
  </w:style>
  <w:style w:type="paragraph" w:styleId="9">
    <w:name w:val="footer"/>
    <w:basedOn w:val="1"/>
    <w:qFormat/>
    <w:uiPriority w:val="0"/>
    <w:pPr>
      <w:tabs>
        <w:tab w:val="center" w:pos="4153"/>
        <w:tab w:val="right" w:pos="8306"/>
      </w:tabs>
      <w:snapToGrid w:val="0"/>
      <w:jc w:val="left"/>
    </w:pPr>
    <w:rPr>
      <w:sz w:val="18"/>
    </w:rPr>
  </w:style>
  <w:style w:type="paragraph" w:styleId="10">
    <w:name w:val="header"/>
    <w:basedOn w:val="1"/>
    <w:link w:val="19"/>
    <w:qFormat/>
    <w:uiPriority w:val="0"/>
    <w:pPr>
      <w:pBdr>
        <w:bottom w:val="single" w:color="auto" w:sz="6" w:space="1"/>
      </w:pBdr>
      <w:tabs>
        <w:tab w:val="center" w:pos="4153"/>
        <w:tab w:val="right" w:pos="8306"/>
      </w:tabs>
      <w:snapToGrid w:val="0"/>
      <w:jc w:val="center"/>
    </w:pPr>
    <w:rPr>
      <w:sz w:val="18"/>
      <w:szCs w:val="18"/>
    </w:rPr>
  </w:style>
  <w:style w:type="paragraph" w:styleId="11">
    <w:name w:val="Body Text First Indent"/>
    <w:basedOn w:val="5"/>
    <w:next w:val="1"/>
    <w:qFormat/>
    <w:uiPriority w:val="0"/>
    <w:pPr>
      <w:spacing w:after="120" w:line="360" w:lineRule="auto"/>
      <w:ind w:firstLine="420" w:firstLineChars="100"/>
    </w:pPr>
    <w:rPr>
      <w:sz w:val="24"/>
    </w:rPr>
  </w:style>
  <w:style w:type="paragraph" w:styleId="12">
    <w:name w:val="Body Text First Indent 2"/>
    <w:basedOn w:val="7"/>
    <w:next w:val="1"/>
    <w:qFormat/>
    <w:uiPriority w:val="0"/>
    <w:pPr>
      <w:tabs>
        <w:tab w:val="left" w:pos="540"/>
      </w:tabs>
      <w:ind w:firstLine="420" w:firstLineChars="200"/>
    </w:pPr>
    <w:rPr>
      <w:sz w:val="21"/>
    </w:rPr>
  </w:style>
  <w:style w:type="paragraph" w:customStyle="1" w:styleId="15">
    <w:name w:val="Default"/>
    <w:basedOn w:val="16"/>
    <w:next w:val="12"/>
    <w:unhideWhenUsed/>
    <w:qFormat/>
    <w:uiPriority w:val="99"/>
    <w:pPr>
      <w:autoSpaceDE w:val="0"/>
      <w:autoSpaceDN w:val="0"/>
      <w:adjustRightInd w:val="0"/>
    </w:pPr>
    <w:rPr>
      <w:rFonts w:ascii="Times New Roman" w:hAnsi="Times New Roman" w:eastAsia="Times New Roman"/>
      <w:color w:val="000000"/>
      <w:sz w:val="24"/>
      <w:szCs w:val="22"/>
    </w:rPr>
  </w:style>
  <w:style w:type="paragraph" w:customStyle="1" w:styleId="16">
    <w:name w:val="纯文本1"/>
    <w:basedOn w:val="1"/>
    <w:qFormat/>
    <w:uiPriority w:val="0"/>
    <w:rPr>
      <w:rFonts w:hint="eastAsia" w:ascii="宋体" w:hAnsi="Courier New"/>
    </w:rPr>
  </w:style>
  <w:style w:type="character" w:customStyle="1" w:styleId="17">
    <w:name w:val="content1"/>
    <w:basedOn w:val="14"/>
    <w:qFormat/>
    <w:uiPriority w:val="0"/>
    <w:rPr>
      <w:color w:val="000000"/>
      <w:sz w:val="20"/>
      <w:szCs w:val="20"/>
    </w:rPr>
  </w:style>
  <w:style w:type="paragraph" w:customStyle="1" w:styleId="18">
    <w:name w:val="Char Char1 Char Char Char Char Char Char Char Char Char Char Char Char Char Char Char Char Char Char Char Char1 Char"/>
    <w:basedOn w:val="1"/>
    <w:qFormat/>
    <w:uiPriority w:val="0"/>
    <w:pPr>
      <w:spacing w:line="360" w:lineRule="auto"/>
      <w:ind w:firstLine="200" w:firstLineChars="200"/>
    </w:pPr>
  </w:style>
  <w:style w:type="character" w:customStyle="1" w:styleId="19">
    <w:name w:val="页眉 字符"/>
    <w:basedOn w:val="14"/>
    <w:link w:val="10"/>
    <w:qFormat/>
    <w:uiPriority w:val="0"/>
    <w:rPr>
      <w:rFonts w:ascii="Calibri" w:hAnsi="Calibri"/>
      <w:kern w:val="2"/>
      <w:sz w:val="18"/>
      <w:szCs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微软中国</Company>
  <Pages>4</Pages>
  <Words>1544</Words>
  <Characters>1735</Characters>
  <Lines>9</Lines>
  <Paragraphs>2</Paragraphs>
  <TotalTime>0</TotalTime>
  <ScaleCrop>false</ScaleCrop>
  <LinksUpToDate>false</LinksUpToDate>
  <CharactersWithSpaces>1741</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2023-04-26T03:36:00Z</dcterms:created>
  <dc:creator>111</dc:creator>
  <cp:lastModifiedBy>一叶知秋</cp:lastModifiedBy>
  <cp:lastPrinted>2023-05-05T04:57:00Z</cp:lastPrinted>
  <dcterms:modified xsi:type="dcterms:W3CDTF">2025-05-06T01:29:14Z</dcterms:modified>
  <cp:revision>13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8B5592D9005846698702AAA80CCF3933_13</vt:lpwstr>
  </property>
  <property fmtid="{D5CDD505-2E9C-101B-9397-08002B2CF9AE}" pid="4" name="KSOTemplateDocerSaveRecord">
    <vt:lpwstr>eyJoZGlkIjoiYzUyYzU3NWY3ZjYwOWRmYWQ3YzVmMGM3ZjdiYWQ2NGYiLCJ1c2VySWQiOiI3MjM4Mzc0MDIifQ==</vt:lpwstr>
  </property>
</Properties>
</file>