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2CFA48">
      <w:pPr>
        <w:pStyle w:val="2"/>
        <w:keepNext w:val="0"/>
        <w:keepLines w:val="0"/>
        <w:pageBreakBefore w:val="0"/>
        <w:widowControl w:val="0"/>
        <w:kinsoku/>
        <w:wordWrap/>
        <w:overflowPunct w:val="0"/>
        <w:topLinePunct w:val="0"/>
        <w:autoSpaceDE/>
        <w:autoSpaceDN/>
        <w:bidi w:val="0"/>
        <w:adjustRightInd/>
        <w:snapToGrid/>
        <w:spacing w:beforeLines="0" w:after="0" w:afterLines="0" w:line="600" w:lineRule="exact"/>
        <w:ind w:left="0" w:leftChars="0" w:firstLine="0" w:firstLineChars="0"/>
        <w:jc w:val="both"/>
        <w:textAlignment w:val="auto"/>
        <w:outlineLvl w:val="9"/>
        <w:rPr>
          <w:rFonts w:hint="default" w:ascii="方正黑体_GBK" w:hAnsi="方正黑体_GBK" w:eastAsia="方正黑体_GBK" w:cs="方正黑体_GBK"/>
          <w:color w:val="000000"/>
          <w:sz w:val="32"/>
          <w:szCs w:val="32"/>
          <w:lang w:val="en-US" w:eastAsia="zh-CN"/>
        </w:rPr>
      </w:pPr>
      <w:r>
        <w:rPr>
          <w:rFonts w:hint="eastAsia" w:ascii="方正黑体_GBK" w:hAnsi="方正黑体_GBK" w:eastAsia="方正黑体_GBK" w:cs="方正黑体_GBK"/>
          <w:color w:val="000000"/>
          <w:sz w:val="32"/>
          <w:szCs w:val="32"/>
          <w:lang w:eastAsia="zh-CN"/>
        </w:rPr>
        <w:t>附件</w:t>
      </w:r>
      <w:r>
        <w:rPr>
          <w:rFonts w:hint="eastAsia" w:ascii="方正黑体_GBK" w:hAnsi="方正黑体_GBK" w:eastAsia="方正黑体_GBK" w:cs="方正黑体_GBK"/>
          <w:color w:val="000000"/>
          <w:sz w:val="32"/>
          <w:szCs w:val="32"/>
          <w:lang w:val="en-US" w:eastAsia="zh-CN"/>
        </w:rPr>
        <w:t>2</w:t>
      </w:r>
    </w:p>
    <w:p w14:paraId="798ACBFD">
      <w:pPr>
        <w:spacing w:beforeLines="0" w:afterLines="0" w:line="600" w:lineRule="exact"/>
        <w:rPr>
          <w:rFonts w:hint="eastAsia"/>
          <w:color w:val="000000"/>
        </w:rPr>
      </w:pPr>
    </w:p>
    <w:p w14:paraId="151CF667">
      <w:pPr>
        <w:pStyle w:val="2"/>
        <w:keepNext w:val="0"/>
        <w:keepLines w:val="0"/>
        <w:pageBreakBefore w:val="0"/>
        <w:widowControl w:val="0"/>
        <w:kinsoku/>
        <w:wordWrap/>
        <w:overflowPunct w:val="0"/>
        <w:topLinePunct w:val="0"/>
        <w:autoSpaceDE/>
        <w:autoSpaceDN/>
        <w:bidi w:val="0"/>
        <w:adjustRightInd/>
        <w:snapToGrid/>
        <w:spacing w:beforeLines="0" w:after="0" w:afterLines="0" w:line="600" w:lineRule="exact"/>
        <w:ind w:left="0" w:leftChars="0" w:firstLine="2" w:firstLineChars="0"/>
        <w:jc w:val="center"/>
        <w:textAlignment w:val="auto"/>
        <w:outlineLvl w:val="9"/>
        <w:rPr>
          <w:rFonts w:hint="eastAsia" w:ascii="方正小标宋简体" w:hAnsi="方正小标宋简体" w:eastAsia="方正小标宋简体" w:cs="方正小标宋简体"/>
          <w:color w:val="000000"/>
          <w:w w:val="98"/>
          <w:sz w:val="44"/>
          <w:szCs w:val="44"/>
        </w:rPr>
      </w:pPr>
      <w:bookmarkStart w:id="0" w:name="_GoBack"/>
      <w:r>
        <w:rPr>
          <w:rFonts w:hint="eastAsia" w:ascii="方正小标宋简体" w:hAnsi="方正小标宋简体" w:eastAsia="方正小标宋简体" w:cs="方正小标宋简体"/>
          <w:color w:val="000000"/>
          <w:w w:val="98"/>
          <w:sz w:val="44"/>
          <w:szCs w:val="44"/>
        </w:rPr>
        <w:t>关于《</w:t>
      </w:r>
      <w:r>
        <w:rPr>
          <w:rFonts w:hint="eastAsia" w:ascii="方正小标宋简体" w:hAnsi="方正小标宋简体" w:eastAsia="方正小标宋简体" w:cs="方正小标宋简体"/>
          <w:color w:val="000000"/>
          <w:sz w:val="44"/>
          <w:szCs w:val="44"/>
          <w:lang w:val="zh-CN" w:bidi="zh-CN"/>
        </w:rPr>
        <w:t>律师行业反洗钱工作管理办法</w:t>
      </w:r>
    </w:p>
    <w:p w14:paraId="36CE076E">
      <w:pPr>
        <w:pStyle w:val="2"/>
        <w:keepNext w:val="0"/>
        <w:keepLines w:val="0"/>
        <w:pageBreakBefore w:val="0"/>
        <w:widowControl w:val="0"/>
        <w:kinsoku/>
        <w:wordWrap/>
        <w:overflowPunct w:val="0"/>
        <w:topLinePunct w:val="0"/>
        <w:autoSpaceDE/>
        <w:autoSpaceDN/>
        <w:bidi w:val="0"/>
        <w:adjustRightInd/>
        <w:snapToGrid/>
        <w:spacing w:beforeLines="0" w:after="0" w:afterLines="0" w:line="600" w:lineRule="exact"/>
        <w:ind w:left="0" w:leftChars="0" w:firstLine="2" w:firstLineChars="0"/>
        <w:jc w:val="center"/>
        <w:textAlignment w:val="auto"/>
        <w:outlineLvl w:val="9"/>
        <w:rPr>
          <w:rFonts w:hint="eastAsia" w:ascii="方正小标宋简体" w:hAnsi="方正小标宋简体" w:eastAsia="方正小标宋简体" w:cs="方正小标宋简体"/>
          <w:color w:val="000000"/>
          <w:w w:val="98"/>
          <w:sz w:val="44"/>
          <w:szCs w:val="44"/>
          <w:lang w:eastAsia="zh-CN"/>
        </w:rPr>
      </w:pPr>
      <w:r>
        <w:rPr>
          <w:rFonts w:hint="eastAsia" w:ascii="方正小标宋简体" w:hAnsi="方正小标宋简体" w:eastAsia="方正小标宋简体" w:cs="方正小标宋简体"/>
          <w:color w:val="000000"/>
          <w:w w:val="98"/>
          <w:sz w:val="44"/>
          <w:szCs w:val="44"/>
        </w:rPr>
        <w:t>（</w:t>
      </w:r>
      <w:r>
        <w:rPr>
          <w:rFonts w:hint="eastAsia" w:ascii="方正小标宋简体" w:hAnsi="方正小标宋简体" w:eastAsia="方正小标宋简体" w:cs="方正小标宋简体"/>
          <w:color w:val="000000"/>
          <w:w w:val="98"/>
          <w:sz w:val="44"/>
          <w:szCs w:val="44"/>
          <w:lang w:eastAsia="zh-CN"/>
        </w:rPr>
        <w:t>征求意见稿</w:t>
      </w:r>
      <w:r>
        <w:rPr>
          <w:rFonts w:hint="eastAsia" w:ascii="方正小标宋简体" w:hAnsi="方正小标宋简体" w:eastAsia="方正小标宋简体" w:cs="方正小标宋简体"/>
          <w:color w:val="000000"/>
          <w:w w:val="98"/>
          <w:sz w:val="44"/>
          <w:szCs w:val="44"/>
        </w:rPr>
        <w:t>）》的</w:t>
      </w:r>
      <w:r>
        <w:rPr>
          <w:rFonts w:hint="eastAsia" w:ascii="方正小标宋简体" w:hAnsi="方正小标宋简体" w:eastAsia="方正小标宋简体" w:cs="方正小标宋简体"/>
          <w:color w:val="000000"/>
          <w:w w:val="98"/>
          <w:sz w:val="44"/>
          <w:szCs w:val="44"/>
          <w:lang w:eastAsia="zh-CN"/>
        </w:rPr>
        <w:t>说明</w:t>
      </w:r>
      <w:bookmarkEnd w:id="0"/>
    </w:p>
    <w:p w14:paraId="63648B46">
      <w:pPr>
        <w:keepNext w:val="0"/>
        <w:keepLines w:val="0"/>
        <w:pageBreakBefore w:val="0"/>
        <w:widowControl w:val="0"/>
        <w:kinsoku/>
        <w:wordWrap/>
        <w:overflowPunct/>
        <w:topLinePunct w:val="0"/>
        <w:autoSpaceDE/>
        <w:autoSpaceDN/>
        <w:bidi w:val="0"/>
        <w:adjustRightInd/>
        <w:snapToGrid/>
        <w:spacing w:beforeLines="0" w:afterLines="0" w:line="600" w:lineRule="exact"/>
        <w:textAlignment w:val="auto"/>
        <w:rPr>
          <w:rFonts w:hint="eastAsia" w:ascii="仿宋_GB2312" w:hAnsi="仿宋_GB2312" w:eastAsia="仿宋_GB2312" w:cs="仿宋_GB2312"/>
          <w:color w:val="000000"/>
          <w:sz w:val="32"/>
          <w:szCs w:val="32"/>
          <w:lang w:val="en-US" w:eastAsia="zh-CN"/>
        </w:rPr>
      </w:pPr>
    </w:p>
    <w:p w14:paraId="644C28E2">
      <w:pPr>
        <w:keepNext w:val="0"/>
        <w:keepLines w:val="0"/>
        <w:pageBreakBefore w:val="0"/>
        <w:widowControl w:val="0"/>
        <w:kinsoku/>
        <w:wordWrap/>
        <w:overflowPunct/>
        <w:topLinePunct w:val="0"/>
        <w:autoSpaceDE/>
        <w:autoSpaceDN/>
        <w:bidi w:val="0"/>
        <w:adjustRightInd/>
        <w:snapToGrid/>
        <w:spacing w:beforeLines="0" w:afterLines="0" w:line="60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为贯彻落实</w:t>
      </w:r>
      <w:r>
        <w:rPr>
          <w:rFonts w:hint="eastAsia" w:ascii="仿宋_GB2312" w:hAnsi="仿宋_GB2312" w:eastAsia="仿宋_GB2312" w:cs="仿宋_GB2312"/>
          <w:b w:val="0"/>
          <w:bCs w:val="0"/>
          <w:color w:val="000000"/>
          <w:sz w:val="32"/>
          <w:szCs w:val="32"/>
          <w:lang w:eastAsia="zh-CN"/>
        </w:rPr>
        <w:t>反洗钱法、律师法相关</w:t>
      </w:r>
      <w:r>
        <w:rPr>
          <w:rFonts w:hint="eastAsia" w:ascii="仿宋_GB2312" w:hAnsi="仿宋_GB2312" w:eastAsia="仿宋_GB2312" w:cs="仿宋_GB2312"/>
          <w:color w:val="000000"/>
          <w:sz w:val="32"/>
          <w:szCs w:val="32"/>
          <w:lang w:val="en-US" w:eastAsia="zh-CN"/>
        </w:rPr>
        <w:t>要求，提高律师行业反洗钱工作水平，司法部会同中国人民银行研究起草了《律师行业反洗钱工作管理办法（征求意见稿）》。现说明如下。</w:t>
      </w:r>
    </w:p>
    <w:p w14:paraId="027D47C0">
      <w:pPr>
        <w:keepNext w:val="0"/>
        <w:keepLines w:val="0"/>
        <w:pageBreakBefore w:val="0"/>
        <w:widowControl w:val="0"/>
        <w:kinsoku/>
        <w:wordWrap/>
        <w:overflowPunct/>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律师行业履行反洗钱义务是贯彻落实反洗钱法的要求。新修订的反洗钱法明确要求国务院有关特定非金融机构主管部门制定或者国务院反洗钱行政主管部门会同其制定特定非金融机构反洗钱管理规定，要求律师事务所履行</w:t>
      </w:r>
      <w:r>
        <w:rPr>
          <w:rFonts w:hint="eastAsia" w:ascii="仿宋_GB2312" w:hAnsi="仿宋_GB2312" w:eastAsia="仿宋_GB2312" w:cs="仿宋_GB2312"/>
          <w:sz w:val="32"/>
          <w:szCs w:val="32"/>
        </w:rPr>
        <w:t>特定非金融机构</w:t>
      </w:r>
      <w:r>
        <w:rPr>
          <w:rFonts w:hint="eastAsia" w:ascii="仿宋_GB2312" w:hAnsi="仿宋_GB2312" w:eastAsia="仿宋_GB2312" w:cs="仿宋_GB2312"/>
          <w:color w:val="000000"/>
          <w:sz w:val="32"/>
          <w:szCs w:val="32"/>
          <w:lang w:val="en-US" w:eastAsia="zh-CN"/>
        </w:rPr>
        <w:t>反洗钱义务。同时，律师行业履行反洗钱义务是国际反洗钱标准的重要指标之一。反洗钱国际金融组织</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color w:val="000000"/>
          <w:sz w:val="32"/>
          <w:szCs w:val="32"/>
          <w:lang w:val="en-US" w:eastAsia="zh-CN"/>
        </w:rPr>
        <w:t>金融行动特别工作组（FATF）在其制定的标准中，明确律师事务所为应当履行反洗钱义务的特定非金融机构。</w:t>
      </w:r>
    </w:p>
    <w:p w14:paraId="6A9DA5FC">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640" w:firstLineChars="200"/>
        <w:jc w:val="both"/>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color w:val="000000"/>
          <w:sz w:val="32"/>
          <w:szCs w:val="32"/>
          <w:lang w:val="zh-CN" w:bidi="zh-CN"/>
        </w:rPr>
        <w:t>律师行业反洗钱工作管理办法</w:t>
      </w:r>
      <w:r>
        <w:rPr>
          <w:rFonts w:hint="eastAsia" w:ascii="仿宋_GB2312" w:hAnsi="仿宋_GB2312" w:eastAsia="仿宋_GB2312" w:cs="仿宋_GB2312"/>
          <w:color w:val="000000"/>
          <w:sz w:val="32"/>
          <w:szCs w:val="32"/>
          <w:lang w:val="en-US" w:eastAsia="zh-CN"/>
        </w:rPr>
        <w:t>（征求意见稿）》共三十三条，</w:t>
      </w:r>
      <w:r>
        <w:rPr>
          <w:rFonts w:hint="eastAsia" w:ascii="仿宋_GB2312" w:hAnsi="仿宋_GB2312" w:eastAsia="仿宋_GB2312" w:cs="仿宋_GB2312"/>
          <w:color w:val="000000"/>
          <w:sz w:val="32"/>
          <w:szCs w:val="32"/>
          <w:lang w:eastAsia="zh-CN"/>
        </w:rPr>
        <w:t>主要内容如下</w:t>
      </w:r>
      <w:r>
        <w:rPr>
          <w:rFonts w:hint="eastAsia" w:ascii="仿宋_GB2312" w:hAnsi="仿宋_GB2312" w:eastAsia="仿宋_GB2312" w:cs="仿宋_GB2312"/>
          <w:color w:val="000000"/>
          <w:sz w:val="32"/>
          <w:szCs w:val="32"/>
          <w:lang w:val="en-US" w:eastAsia="zh-CN"/>
        </w:rPr>
        <w:t>：</w:t>
      </w:r>
    </w:p>
    <w:p w14:paraId="0EDA16F1">
      <w:pPr>
        <w:keepNext w:val="0"/>
        <w:keepLines w:val="0"/>
        <w:pageBreakBefore w:val="0"/>
        <w:widowControl/>
        <w:numPr>
          <w:ilvl w:val="0"/>
          <w:numId w:val="0"/>
        </w:numPr>
        <w:kinsoku/>
        <w:wordWrap/>
        <w:overflowPunct/>
        <w:topLinePunct w:val="0"/>
        <w:autoSpaceDE/>
        <w:autoSpaceDN/>
        <w:bidi w:val="0"/>
        <w:adjustRightInd/>
        <w:snapToGrid/>
        <w:spacing w:beforeLines="0" w:afterLines="0" w:line="600" w:lineRule="exact"/>
        <w:ind w:firstLine="640" w:firstLineChars="0"/>
        <w:jc w:val="left"/>
        <w:textAlignment w:val="auto"/>
        <w:rPr>
          <w:rFonts w:hint="eastAsia" w:ascii="仿宋_GB2312" w:hAnsi="仿宋_GB2312" w:eastAsia="仿宋_GB2312" w:cs="仿宋_GB2312"/>
          <w:b w:val="0"/>
          <w:bCs w:val="0"/>
          <w:color w:val="000000"/>
          <w:sz w:val="32"/>
          <w:szCs w:val="32"/>
          <w:lang w:eastAsia="zh-CN"/>
        </w:rPr>
      </w:pPr>
      <w:r>
        <w:rPr>
          <w:rFonts w:hint="eastAsia" w:ascii="楷体_GB2312" w:hAnsi="楷体_GB2312" w:eastAsia="楷体_GB2312" w:cs="楷体_GB2312"/>
          <w:b w:val="0"/>
          <w:bCs w:val="0"/>
          <w:color w:val="000000"/>
          <w:sz w:val="32"/>
          <w:szCs w:val="32"/>
          <w:lang w:val="en-US" w:eastAsia="zh-CN"/>
        </w:rPr>
        <w:t>一是明确适用范围。</w:t>
      </w:r>
      <w:r>
        <w:rPr>
          <w:rFonts w:hint="eastAsia" w:ascii="仿宋_GB2312" w:hAnsi="仿宋_GB2312" w:eastAsia="仿宋_GB2312" w:cs="仿宋_GB2312"/>
          <w:color w:val="000000"/>
          <w:sz w:val="32"/>
          <w:szCs w:val="32"/>
          <w:lang w:val="en-US" w:eastAsia="zh-CN"/>
        </w:rPr>
        <w:t>根据律师法和反洗钱法相关规定，</w:t>
      </w:r>
      <w:r>
        <w:rPr>
          <w:rFonts w:hint="eastAsia" w:ascii="仿宋_GB2312" w:hAnsi="仿宋" w:eastAsia="仿宋_GB2312"/>
          <w:color w:val="000000"/>
          <w:sz w:val="32"/>
          <w:szCs w:val="32"/>
          <w:highlight w:val="none"/>
          <w:u w:val="none"/>
          <w:lang w:eastAsia="zh-CN"/>
        </w:rPr>
        <w:t>提供</w:t>
      </w:r>
      <w:r>
        <w:rPr>
          <w:rFonts w:hint="eastAsia" w:ascii="仿宋_GB2312" w:hAnsi="仿宋" w:eastAsia="仿宋_GB2312"/>
          <w:color w:val="000000"/>
          <w:sz w:val="32"/>
          <w:szCs w:val="32"/>
          <w:highlight w:val="none"/>
          <w:u w:val="none"/>
        </w:rPr>
        <w:t>涉及反洗钱法第六十四条第二项规定</w:t>
      </w:r>
      <w:r>
        <w:rPr>
          <w:rFonts w:hint="eastAsia" w:ascii="仿宋_GB2312" w:hAnsi="仿宋" w:eastAsia="仿宋_GB2312"/>
          <w:color w:val="000000"/>
          <w:sz w:val="32"/>
          <w:szCs w:val="32"/>
          <w:highlight w:val="none"/>
          <w:u w:val="none"/>
          <w:lang w:eastAsia="zh-CN"/>
        </w:rPr>
        <w:t>事项法律服务</w:t>
      </w:r>
      <w:r>
        <w:rPr>
          <w:rFonts w:hint="eastAsia" w:ascii="仿宋_GB2312" w:hAnsi="仿宋" w:eastAsia="仿宋_GB2312"/>
          <w:color w:val="000000"/>
          <w:sz w:val="32"/>
          <w:szCs w:val="32"/>
          <w:highlight w:val="none"/>
          <w:u w:val="none"/>
        </w:rPr>
        <w:t>的律师事务所</w:t>
      </w:r>
      <w:r>
        <w:rPr>
          <w:rFonts w:hint="eastAsia" w:ascii="仿宋_GB2312" w:hAnsi="仿宋" w:eastAsia="仿宋_GB2312"/>
          <w:color w:val="000000"/>
          <w:sz w:val="32"/>
          <w:szCs w:val="32"/>
          <w:highlight w:val="none"/>
          <w:u w:val="none"/>
          <w:lang w:eastAsia="zh-CN"/>
        </w:rPr>
        <w:t>，应当遵守本办法</w:t>
      </w:r>
      <w:r>
        <w:rPr>
          <w:rFonts w:hint="eastAsia" w:ascii="仿宋_GB2312" w:hAnsi="仿宋" w:eastAsia="仿宋_GB2312"/>
          <w:color w:val="000000"/>
          <w:sz w:val="32"/>
          <w:szCs w:val="32"/>
          <w:lang w:eastAsia="zh-CN"/>
        </w:rPr>
        <w:t>。</w:t>
      </w:r>
      <w:r>
        <w:rPr>
          <w:rFonts w:hint="eastAsia" w:ascii="仿宋_GB2312" w:hAnsi="仿宋_GB2312" w:eastAsia="仿宋_GB2312" w:cs="仿宋_GB2312"/>
          <w:color w:val="000000"/>
          <w:sz w:val="32"/>
          <w:szCs w:val="32"/>
          <w:lang w:eastAsia="zh-CN"/>
        </w:rPr>
        <w:t>（第二条）</w:t>
      </w:r>
    </w:p>
    <w:p w14:paraId="56B19DE6">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640" w:firstLineChars="0"/>
        <w:jc w:val="both"/>
        <w:textAlignment w:val="auto"/>
        <w:rPr>
          <w:rFonts w:hint="eastAsia" w:ascii="仿宋_GB2312" w:hAnsi="仿宋_GB2312" w:eastAsia="仿宋_GB2312" w:cs="仿宋_GB2312"/>
          <w:color w:val="000000"/>
          <w:sz w:val="32"/>
          <w:szCs w:val="32"/>
          <w:lang w:eastAsia="zh-CN"/>
        </w:rPr>
      </w:pPr>
      <w:r>
        <w:rPr>
          <w:rFonts w:hint="eastAsia" w:ascii="楷体_GB2312" w:hAnsi="楷体_GB2312" w:eastAsia="楷体_GB2312" w:cs="楷体_GB2312"/>
          <w:b w:val="0"/>
          <w:bCs w:val="0"/>
          <w:color w:val="000000"/>
          <w:sz w:val="32"/>
          <w:szCs w:val="32"/>
          <w:lang w:eastAsia="zh-CN"/>
        </w:rPr>
        <w:t>二是明确司法行政部门和律师协会职责。</w:t>
      </w:r>
      <w:r>
        <w:rPr>
          <w:rFonts w:hint="eastAsia" w:ascii="仿宋_GB2312" w:hAnsi="仿宋_GB2312" w:eastAsia="仿宋_GB2312" w:cs="仿宋_GB2312"/>
          <w:color w:val="000000"/>
          <w:sz w:val="32"/>
          <w:szCs w:val="32"/>
          <w:lang w:eastAsia="zh-CN"/>
        </w:rPr>
        <w:t>明确司法行政部门作为律师行业反洗钱工作的主管部门，在职责范围内履行律师行业反洗钱监督管理职责；律师协会作为律师行业的自律组织，接受</w:t>
      </w:r>
      <w:r>
        <w:rPr>
          <w:rFonts w:hint="eastAsia" w:ascii="仿宋_GB2312" w:hAnsi="仿宋_GB2312" w:eastAsia="仿宋_GB2312" w:cs="仿宋_GB2312"/>
          <w:color w:val="000000"/>
          <w:sz w:val="32"/>
          <w:szCs w:val="32"/>
        </w:rPr>
        <w:t>司法</w:t>
      </w:r>
      <w:r>
        <w:rPr>
          <w:rFonts w:hint="eastAsia" w:ascii="仿宋_GB2312" w:hAnsi="仿宋_GB2312" w:eastAsia="仿宋_GB2312" w:cs="仿宋_GB2312"/>
          <w:color w:val="000000"/>
          <w:sz w:val="32"/>
          <w:szCs w:val="32"/>
          <w:lang w:eastAsia="zh-CN"/>
        </w:rPr>
        <w:t>行政部门</w:t>
      </w:r>
      <w:r>
        <w:rPr>
          <w:rFonts w:hint="eastAsia" w:ascii="仿宋_GB2312" w:hAnsi="仿宋_GB2312" w:eastAsia="仿宋_GB2312" w:cs="仿宋_GB2312"/>
          <w:color w:val="000000"/>
          <w:sz w:val="32"/>
          <w:szCs w:val="32"/>
        </w:rPr>
        <w:t>和</w:t>
      </w:r>
      <w:r>
        <w:rPr>
          <w:rFonts w:hint="eastAsia" w:ascii="仿宋_GB2312" w:hAnsi="仿宋_GB2312" w:eastAsia="仿宋_GB2312" w:cs="仿宋_GB2312"/>
          <w:color w:val="000000"/>
          <w:sz w:val="32"/>
          <w:szCs w:val="32"/>
          <w:lang w:eastAsia="zh-CN"/>
        </w:rPr>
        <w:t>反洗钱行政主管部门</w:t>
      </w:r>
      <w:r>
        <w:rPr>
          <w:rFonts w:hint="eastAsia" w:ascii="仿宋_GB2312" w:hAnsi="仿宋_GB2312" w:eastAsia="仿宋_GB2312" w:cs="仿宋_GB2312"/>
          <w:color w:val="000000"/>
          <w:sz w:val="32"/>
          <w:szCs w:val="32"/>
        </w:rPr>
        <w:t>的指导，</w:t>
      </w:r>
      <w:r>
        <w:rPr>
          <w:rFonts w:hint="eastAsia" w:ascii="仿宋_GB2312" w:hAnsi="仿宋_GB2312" w:eastAsia="仿宋_GB2312" w:cs="仿宋_GB2312"/>
          <w:color w:val="000000"/>
          <w:sz w:val="32"/>
          <w:szCs w:val="32"/>
          <w:lang w:eastAsia="zh-CN"/>
        </w:rPr>
        <w:t>开展律师行业反洗钱自律管理。同时，以列举的方式细化了司法行政部门的监督管理职责和律师协会的自律管理职责。（第三条、</w:t>
      </w:r>
      <w:r>
        <w:rPr>
          <w:rFonts w:hint="eastAsia" w:ascii="仿宋_GB2312" w:hAnsi="仿宋_GB2312" w:eastAsia="仿宋_GB2312" w:cs="仿宋_GB2312"/>
          <w:color w:val="000000"/>
          <w:sz w:val="32"/>
          <w:szCs w:val="32"/>
          <w:lang w:val="en-US" w:eastAsia="zh-CN"/>
        </w:rPr>
        <w:t>第五条</w:t>
      </w:r>
      <w:r>
        <w:rPr>
          <w:rFonts w:hint="eastAsia" w:ascii="仿宋_GB2312" w:hAnsi="仿宋_GB2312" w:eastAsia="仿宋_GB2312" w:cs="仿宋_GB2312"/>
          <w:color w:val="000000"/>
          <w:sz w:val="32"/>
          <w:szCs w:val="32"/>
          <w:lang w:eastAsia="zh-CN"/>
        </w:rPr>
        <w:t>）</w:t>
      </w:r>
    </w:p>
    <w:p w14:paraId="00D7E1B2">
      <w:pPr>
        <w:numPr>
          <w:ilvl w:val="0"/>
          <w:numId w:val="0"/>
        </w:numPr>
        <w:spacing w:beforeLines="0" w:afterLines="0" w:line="600" w:lineRule="exact"/>
        <w:ind w:firstLine="640" w:firstLineChars="200"/>
        <w:rPr>
          <w:rFonts w:hint="eastAsia" w:ascii="楷体_GB2312" w:hAnsi="楷体_GB2312" w:eastAsia="楷体_GB2312" w:cs="楷体_GB2312"/>
          <w:b w:val="0"/>
          <w:bCs w:val="0"/>
          <w:lang w:eastAsia="zh-CN"/>
        </w:rPr>
      </w:pPr>
      <w:r>
        <w:rPr>
          <w:rFonts w:hint="eastAsia" w:ascii="楷体_GB2312" w:hAnsi="楷体_GB2312" w:eastAsia="楷体_GB2312" w:cs="楷体_GB2312"/>
          <w:b w:val="0"/>
          <w:bCs w:val="0"/>
          <w:color w:val="000000"/>
          <w:sz w:val="32"/>
          <w:szCs w:val="32"/>
          <w:lang w:eastAsia="zh-CN"/>
        </w:rPr>
        <w:t>三是明确加强部门协作。</w:t>
      </w:r>
      <w:r>
        <w:rPr>
          <w:rFonts w:hint="eastAsia" w:ascii="仿宋_GB2312" w:hAnsi="仿宋_GB2312" w:eastAsia="仿宋_GB2312" w:cs="仿宋_GB2312"/>
          <w:b w:val="0"/>
          <w:bCs w:val="0"/>
          <w:color w:val="000000"/>
          <w:sz w:val="32"/>
          <w:szCs w:val="32"/>
          <w:lang w:eastAsia="zh-CN"/>
        </w:rPr>
        <w:t>明确</w:t>
      </w:r>
      <w:r>
        <w:rPr>
          <w:rFonts w:hint="eastAsia" w:ascii="仿宋_GB2312" w:hAnsi="仿宋_GB2312" w:eastAsia="仿宋_GB2312" w:cs="仿宋_GB2312"/>
          <w:color w:val="000000"/>
          <w:sz w:val="32"/>
          <w:szCs w:val="32"/>
          <w:highlight w:val="none"/>
          <w:u w:val="none"/>
          <w:vertAlign w:val="baseline"/>
          <w:lang w:val="en-US" w:eastAsia="zh-CN"/>
        </w:rPr>
        <w:t>司法行政部门和律师协会会同反洗钱行政主管部门建立工作沟通机制，加强协作，为律师事务所依法开展当事人尽职调查、提交可疑交易报告、获取相关名单等反洗钱工作提供必要的支持和便利。</w:t>
      </w:r>
      <w:r>
        <w:rPr>
          <w:rFonts w:hint="eastAsia" w:ascii="仿宋_GB2312" w:hAnsi="仿宋_GB2312" w:eastAsia="仿宋_GB2312" w:cs="仿宋_GB2312"/>
          <w:b w:val="0"/>
          <w:bCs w:val="0"/>
          <w:color w:val="000000"/>
          <w:sz w:val="32"/>
          <w:szCs w:val="32"/>
          <w:highlight w:val="none"/>
          <w:u w:val="none"/>
          <w:lang w:val="en-US" w:eastAsia="zh-CN"/>
        </w:rPr>
        <w:t>（第四条、第七条）</w:t>
      </w:r>
    </w:p>
    <w:p w14:paraId="673200AC">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640" w:firstLineChars="0"/>
        <w:jc w:val="both"/>
        <w:textAlignment w:val="auto"/>
        <w:rPr>
          <w:rFonts w:hint="eastAsia" w:ascii="Times New Roman" w:hAnsi="Times New Roman" w:eastAsia="仿宋_GB2312" w:cs="Times New Roman"/>
          <w:color w:val="000000"/>
          <w:sz w:val="32"/>
          <w:szCs w:val="32"/>
          <w:highlight w:val="none"/>
          <w:lang w:eastAsia="zh-CN"/>
        </w:rPr>
      </w:pPr>
      <w:r>
        <w:rPr>
          <w:rFonts w:hint="eastAsia" w:ascii="楷体_GB2312" w:hAnsi="楷体_GB2312" w:eastAsia="楷体_GB2312" w:cs="楷体_GB2312"/>
          <w:b w:val="0"/>
          <w:bCs w:val="0"/>
          <w:color w:val="000000"/>
          <w:sz w:val="32"/>
          <w:szCs w:val="32"/>
          <w:lang w:val="en-US" w:eastAsia="zh-CN"/>
        </w:rPr>
        <w:t>四是明确律师事务所反洗钱义务的主要内容。</w:t>
      </w:r>
      <w:r>
        <w:rPr>
          <w:rFonts w:hint="eastAsia" w:ascii="Times New Roman" w:hAnsi="Times New Roman" w:eastAsia="仿宋_GB2312" w:cs="Times New Roman"/>
          <w:color w:val="000000"/>
          <w:sz w:val="32"/>
          <w:szCs w:val="32"/>
          <w:highlight w:val="none"/>
          <w:lang w:val="en-US" w:eastAsia="zh-CN"/>
        </w:rPr>
        <w:t>明确律师事务所应当履行反洗钱义务，建立健全内部控制制度，包括洗钱风险评估、</w:t>
      </w:r>
      <w:r>
        <w:rPr>
          <w:rFonts w:hint="eastAsia" w:ascii="Times New Roman" w:hAnsi="Times New Roman" w:eastAsia="仿宋_GB2312" w:cs="Times New Roman"/>
          <w:color w:val="000000"/>
          <w:sz w:val="32"/>
          <w:szCs w:val="32"/>
          <w:highlight w:val="none"/>
          <w:lang w:eastAsia="zh-CN"/>
        </w:rPr>
        <w:t>当事人尽职调查、当事人身份资料和业务档案保存、可疑交易报告、反洗钱特别预防措施、内部审计和检查等。（第九条至二十四条）</w:t>
      </w:r>
    </w:p>
    <w:p w14:paraId="18B6733A">
      <w:pPr>
        <w:numPr>
          <w:ilvl w:val="0"/>
          <w:numId w:val="0"/>
        </w:numPr>
        <w:spacing w:beforeLines="0" w:afterLines="0" w:line="600" w:lineRule="exact"/>
        <w:ind w:firstLine="640" w:firstLineChars="200"/>
        <w:jc w:val="both"/>
        <w:rPr>
          <w:rFonts w:hint="eastAsia" w:ascii="Times New Roman" w:hAnsi="Times New Roman" w:eastAsia="仿宋_GB2312" w:cs="Times New Roman"/>
          <w:color w:val="000000"/>
          <w:sz w:val="32"/>
          <w:szCs w:val="32"/>
          <w:highlight w:val="none"/>
          <w:lang w:eastAsia="zh-CN"/>
        </w:rPr>
      </w:pPr>
      <w:r>
        <w:rPr>
          <w:rFonts w:hint="eastAsia" w:ascii="楷体_GB2312" w:hAnsi="楷体_GB2312" w:eastAsia="楷体_GB2312" w:cs="楷体_GB2312"/>
          <w:b w:val="0"/>
          <w:bCs w:val="0"/>
          <w:color w:val="000000"/>
          <w:sz w:val="32"/>
          <w:szCs w:val="32"/>
          <w:highlight w:val="none"/>
          <w:lang w:eastAsia="zh-CN"/>
        </w:rPr>
        <w:t>五是明确加强宣传教育培训和保密等内容。</w:t>
      </w:r>
      <w:r>
        <w:rPr>
          <w:rFonts w:hint="eastAsia" w:ascii="Times New Roman" w:hAnsi="Times New Roman" w:eastAsia="仿宋_GB2312" w:cs="Times New Roman"/>
          <w:color w:val="000000"/>
          <w:sz w:val="32"/>
          <w:szCs w:val="32"/>
          <w:highlight w:val="none"/>
          <w:lang w:eastAsia="zh-CN"/>
        </w:rPr>
        <w:t>明确</w:t>
      </w:r>
      <w:r>
        <w:rPr>
          <w:rFonts w:hint="eastAsia" w:eastAsia="仿宋_GB2312" w:cs="Times New Roman"/>
          <w:b w:val="0"/>
          <w:bCs w:val="0"/>
          <w:color w:val="000000"/>
          <w:sz w:val="32"/>
          <w:szCs w:val="32"/>
          <w:highlight w:val="none"/>
          <w:u w:val="none"/>
          <w:lang w:eastAsia="zh-CN"/>
        </w:rPr>
        <w:t>反洗钱行政主管部门会同司法行政部门、律师协会加强对律师事务所和律师的</w:t>
      </w:r>
      <w:r>
        <w:rPr>
          <w:rFonts w:hint="eastAsia" w:ascii="仿宋_GB2312" w:hAnsi="仿宋_GB2312" w:eastAsia="仿宋_GB2312" w:cs="仿宋_GB2312"/>
          <w:color w:val="000000"/>
          <w:sz w:val="32"/>
          <w:szCs w:val="32"/>
          <w:u w:val="none"/>
          <w:vertAlign w:val="baseline"/>
          <w:lang w:val="en-US" w:eastAsia="zh-CN"/>
        </w:rPr>
        <w:t>反洗钱公益宣传教育培训</w:t>
      </w:r>
      <w:r>
        <w:rPr>
          <w:rFonts w:hint="eastAsia" w:eastAsia="仿宋_GB2312" w:cs="Times New Roman"/>
          <w:b w:val="0"/>
          <w:bCs w:val="0"/>
          <w:color w:val="000000"/>
          <w:sz w:val="32"/>
          <w:szCs w:val="32"/>
          <w:highlight w:val="none"/>
          <w:u w:val="none"/>
          <w:lang w:eastAsia="zh-CN"/>
        </w:rPr>
        <w:t>；</w:t>
      </w:r>
      <w:r>
        <w:rPr>
          <w:rFonts w:hint="eastAsia" w:ascii="Times New Roman" w:hAnsi="Times New Roman" w:eastAsia="仿宋_GB2312" w:cs="Times New Roman"/>
          <w:color w:val="000000"/>
          <w:sz w:val="32"/>
          <w:szCs w:val="32"/>
          <w:highlight w:val="none"/>
          <w:lang w:eastAsia="zh-CN"/>
        </w:rPr>
        <w:t>对依法履行反洗钱职责或者义务获得的当事人身份资料和业务档案、反洗钱调查信息等反洗钱信息，应当予以保密。（第二十五条、第二十六条）</w:t>
      </w:r>
    </w:p>
    <w:p w14:paraId="424C92EA">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600" w:lineRule="exact"/>
        <w:ind w:firstLine="640" w:firstLineChars="0"/>
        <w:jc w:val="both"/>
        <w:textAlignment w:val="auto"/>
      </w:pPr>
      <w:r>
        <w:rPr>
          <w:rFonts w:hint="eastAsia" w:ascii="楷体_GB2312" w:hAnsi="楷体_GB2312" w:eastAsia="楷体_GB2312" w:cs="楷体_GB2312"/>
          <w:b w:val="0"/>
          <w:bCs w:val="0"/>
          <w:color w:val="000000"/>
          <w:sz w:val="32"/>
          <w:szCs w:val="32"/>
          <w:highlight w:val="none"/>
          <w:lang w:eastAsia="zh-CN"/>
        </w:rPr>
        <w:t>六是明确法律责任。</w:t>
      </w:r>
      <w:r>
        <w:rPr>
          <w:rFonts w:hint="eastAsia" w:ascii="Times New Roman" w:hAnsi="Times New Roman" w:eastAsia="仿宋_GB2312" w:cs="Times New Roman"/>
          <w:color w:val="000000"/>
          <w:sz w:val="32"/>
          <w:szCs w:val="32"/>
          <w:highlight w:val="none"/>
          <w:lang w:eastAsia="zh-CN"/>
        </w:rPr>
        <w:t>对律师事务所违反反洗钱义务，以及</w:t>
      </w:r>
      <w:r>
        <w:rPr>
          <w:rFonts w:hint="eastAsia" w:eastAsia="仿宋_GB2312" w:cs="Times New Roman"/>
          <w:color w:val="000000"/>
          <w:sz w:val="32"/>
          <w:szCs w:val="32"/>
          <w:highlight w:val="none"/>
          <w:u w:val="none"/>
          <w:lang w:eastAsia="zh-CN"/>
        </w:rPr>
        <w:t>司法行政部门、反洗钱行政主管部门从事反洗钱</w:t>
      </w:r>
      <w:r>
        <w:rPr>
          <w:rFonts w:hint="default" w:ascii="Times New Roman" w:hAnsi="Times New Roman" w:eastAsia="仿宋_GB2312" w:cs="Times New Roman"/>
          <w:color w:val="000000"/>
          <w:sz w:val="32"/>
          <w:szCs w:val="32"/>
          <w:highlight w:val="none"/>
          <w:u w:val="none"/>
        </w:rPr>
        <w:t>工作</w:t>
      </w:r>
      <w:r>
        <w:rPr>
          <w:rFonts w:hint="eastAsia" w:eastAsia="仿宋_GB2312" w:cs="Times New Roman"/>
          <w:color w:val="000000"/>
          <w:sz w:val="32"/>
          <w:szCs w:val="32"/>
          <w:highlight w:val="none"/>
          <w:u w:val="none"/>
          <w:lang w:eastAsia="zh-CN"/>
        </w:rPr>
        <w:t>的</w:t>
      </w:r>
      <w:r>
        <w:rPr>
          <w:rFonts w:hint="default" w:ascii="Times New Roman" w:hAnsi="Times New Roman" w:eastAsia="仿宋_GB2312" w:cs="Times New Roman"/>
          <w:color w:val="000000"/>
          <w:sz w:val="32"/>
          <w:szCs w:val="32"/>
          <w:highlight w:val="none"/>
          <w:u w:val="none"/>
        </w:rPr>
        <w:t>人员</w:t>
      </w:r>
      <w:r>
        <w:rPr>
          <w:rFonts w:hint="eastAsia" w:ascii="Times New Roman" w:hAnsi="Times New Roman" w:eastAsia="仿宋_GB2312" w:cs="Times New Roman"/>
          <w:color w:val="000000"/>
          <w:sz w:val="32"/>
          <w:szCs w:val="32"/>
          <w:highlight w:val="none"/>
          <w:lang w:eastAsia="zh-CN"/>
        </w:rPr>
        <w:t>违反规定的，明确法律责任。（第二十八条、第二十九条）</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altName w:val="微软雅黑"/>
    <w:panose1 w:val="02000000000000000000"/>
    <w:charset w:val="86"/>
    <w:family w:val="auto"/>
    <w:pitch w:val="default"/>
    <w:sig w:usb0="00000000" w:usb1="0000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4999D">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088810">
                          <w:pPr>
                            <w:pStyle w:val="3"/>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0A088810">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6E0CDE"/>
    <w:rsid w:val="266E0CDE"/>
    <w:rsid w:val="2CA31C87"/>
    <w:rsid w:val="5C4A6710"/>
    <w:rsid w:val="756368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w:basedOn w:val="1"/>
    <w:next w:val="1"/>
    <w:qFormat/>
    <w:uiPriority w:val="0"/>
    <w:pPr>
      <w:spacing w:line="600" w:lineRule="exact"/>
      <w:ind w:left="2078" w:leftChars="304" w:hanging="1440" w:hangingChars="400"/>
    </w:pPr>
    <w:rPr>
      <w:rFonts w:ascii="宋体"/>
      <w:sz w:val="36"/>
    </w:rPr>
  </w:style>
  <w:style w:type="paragraph" w:styleId="3">
    <w:name w:val="footer"/>
    <w:basedOn w:val="1"/>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2025-04-10T07:24:00Z</dcterms:created>
  <dc:creator>Snail  walk(慢节奏)</dc:creator>
  <cp:lastModifiedBy>Snail  walk(慢节奏)</cp:lastModifiedBy>
  <dcterms:modified xsi:type="dcterms:W3CDTF">2025-04-10T07:25:17Z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E33363ABD1F74562A051B41A06B46D7B_11</vt:lpwstr>
  </property>
  <property fmtid="{D5CDD505-2E9C-101B-9397-08002B2CF9AE}" pid="4" name="KSOTemplateDocerSaveRecord">
    <vt:lpwstr>eyJoZGlkIjoiNjhiNDRiNWYxMDFiOTQyODI0OWNhNWYxM2ZmNmI5ZWEiLCJ1c2VySWQiOiIyMDg5MDI1NTYifQ==</vt:lpwstr>
  </property>
</Properties>
</file>