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2F5E87">
      <w:pPr>
        <w:jc w:val="center"/>
        <w:outlineLvl w:val="0"/>
        <w:rPr>
          <w:rFonts w:hint="eastAsia" w:ascii="Times New Roman" w:hAnsi="Times New Roman" w:eastAsia="仿宋_GB2312"/>
          <w:b/>
          <w:bCs/>
          <w:sz w:val="36"/>
          <w:szCs w:val="36"/>
        </w:rPr>
      </w:pPr>
    </w:p>
    <w:p w14:paraId="1D7E70EB">
      <w:pPr>
        <w:jc w:val="center"/>
        <w:outlineLvl w:val="0"/>
        <w:rPr>
          <w:rFonts w:hint="eastAsia" w:ascii="Times New Roman" w:hAnsi="Times New Roman" w:eastAsia="仿宋_GB2312"/>
          <w:b/>
          <w:bCs/>
          <w:sz w:val="36"/>
          <w:szCs w:val="36"/>
        </w:rPr>
      </w:pPr>
      <w:r>
        <w:rPr>
          <w:rFonts w:hint="eastAsia" w:ascii="Times New Roman" w:hAnsi="Times New Roman" w:eastAsia="仿宋_GB2312"/>
          <w:b/>
          <w:bCs/>
          <w:sz w:val="36"/>
          <w:szCs w:val="36"/>
        </w:rPr>
        <w:t>《</w:t>
      </w:r>
      <w:r>
        <w:rPr>
          <w:rFonts w:hint="eastAsia" w:ascii="Times New Roman" w:hAnsi="Times New Roman" w:eastAsia="仿宋_GB2312"/>
          <w:b/>
          <w:bCs/>
          <w:sz w:val="36"/>
          <w:szCs w:val="36"/>
          <w:lang w:eastAsia="zh-CN"/>
        </w:rPr>
        <w:t>衡南县</w:t>
      </w:r>
      <w:r>
        <w:rPr>
          <w:rFonts w:hint="eastAsia" w:ascii="Times New Roman" w:hAnsi="Times New Roman" w:eastAsia="仿宋_GB2312"/>
          <w:b/>
          <w:bCs/>
          <w:sz w:val="36"/>
          <w:szCs w:val="36"/>
          <w:lang w:val="en-US" w:eastAsia="zh-CN"/>
        </w:rPr>
        <w:t>近尾洲</w:t>
      </w:r>
      <w:r>
        <w:rPr>
          <w:rFonts w:hint="eastAsia" w:ascii="Times New Roman" w:hAnsi="Times New Roman" w:eastAsia="仿宋_GB2312"/>
          <w:b/>
          <w:bCs/>
          <w:sz w:val="36"/>
          <w:szCs w:val="36"/>
        </w:rPr>
        <w:t>镇国土空间规划（2021—2035年）》</w:t>
      </w:r>
    </w:p>
    <w:p w14:paraId="1D3BEC99">
      <w:pPr>
        <w:jc w:val="center"/>
        <w:outlineLvl w:val="0"/>
        <w:rPr>
          <w:rFonts w:hint="eastAsia" w:ascii="Times New Roman" w:hAnsi="Times New Roman" w:eastAsia="仿宋_GB2312"/>
          <w:b/>
          <w:bCs/>
          <w:sz w:val="36"/>
          <w:szCs w:val="36"/>
        </w:rPr>
      </w:pPr>
    </w:p>
    <w:p w14:paraId="0E8072CD">
      <w:pPr>
        <w:numPr>
          <w:ilvl w:val="0"/>
          <w:numId w:val="1"/>
        </w:numPr>
        <w:outlineLvl w:val="0"/>
        <w:rPr>
          <w:rFonts w:hint="eastAsia" w:ascii="Times New Roman" w:hAnsi="Times New Roman" w:eastAsia="仿宋_GB2312"/>
          <w:b/>
          <w:bCs/>
          <w:sz w:val="32"/>
          <w:szCs w:val="32"/>
        </w:rPr>
      </w:pPr>
      <w:r>
        <w:rPr>
          <w:rFonts w:hint="eastAsia" w:ascii="Times New Roman" w:hAnsi="Times New Roman" w:eastAsia="仿宋_GB2312"/>
          <w:b/>
          <w:bCs/>
          <w:sz w:val="32"/>
          <w:szCs w:val="32"/>
        </w:rPr>
        <w:t>规划定位</w:t>
      </w:r>
    </w:p>
    <w:p w14:paraId="406C2DAF">
      <w:pPr>
        <w:autoSpaceDE w:val="0"/>
        <w:autoSpaceDN w:val="0"/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</w:rPr>
      </w:pPr>
      <w:bookmarkStart w:id="0" w:name="_Hlk67325957"/>
      <w:r>
        <w:rPr>
          <w:rFonts w:hint="eastAsia" w:ascii="Times New Roman" w:hAnsi="Times New Roman" w:eastAsia="仿宋_GB2312" w:cs="Times New Roman"/>
          <w:sz w:val="32"/>
          <w:szCs w:val="32"/>
        </w:rPr>
        <w:t>落实上位规划部署，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近尾洲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镇定位为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生态保护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型城镇，</w:t>
      </w:r>
      <w:bookmarkEnd w:id="0"/>
      <w:r>
        <w:rPr>
          <w:rFonts w:hint="eastAsia" w:ascii="Times New Roman" w:hAnsi="Times New Roman" w:eastAsia="仿宋_GB2312" w:cs="Times New Roman"/>
          <w:sz w:val="32"/>
          <w:szCs w:val="32"/>
        </w:rPr>
        <w:t>依托现有的湖南衡南莲湖湾国家湿地公园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,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积极推进镇域生态旅游发展，做好生态农业产业建设，发展湿地生态资源产业，将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近尾洲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镇打造成集生态休闲旅游、康养、生态有机农产品生产和加工的生态小镇。</w:t>
      </w:r>
    </w:p>
    <w:p w14:paraId="1890F200">
      <w:pPr>
        <w:numPr>
          <w:ilvl w:val="0"/>
          <w:numId w:val="1"/>
        </w:numPr>
        <w:outlineLvl w:val="0"/>
        <w:rPr>
          <w:rFonts w:hint="eastAsia" w:ascii="Times New Roman" w:hAnsi="Times New Roman" w:eastAsia="仿宋_GB2312"/>
          <w:b/>
          <w:bCs/>
          <w:sz w:val="32"/>
          <w:szCs w:val="32"/>
        </w:rPr>
      </w:pPr>
      <w:r>
        <w:rPr>
          <w:rFonts w:hint="eastAsia" w:ascii="Times New Roman" w:hAnsi="Times New Roman" w:eastAsia="仿宋_GB2312"/>
          <w:b/>
          <w:bCs/>
          <w:sz w:val="32"/>
          <w:szCs w:val="32"/>
        </w:rPr>
        <w:t>总体格局</w:t>
      </w:r>
    </w:p>
    <w:p w14:paraId="60C544B2">
      <w:pPr>
        <w:autoSpaceDE w:val="0"/>
        <w:autoSpaceDN w:val="0"/>
        <w:spacing w:line="600" w:lineRule="exact"/>
        <w:ind w:firstLine="640" w:firstLineChars="200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构建“一心两轴、一带两区”的国土空间总体格局。“一心”即近尾洲镇区综合服务中心；“两轴”为省道S222产业发展轴、县道X075栗江-近尾洲公路沿线村镇发展轴；“一带”即湘江生态绿带；“两区”为东部生态农业发展区（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沿途村、八宝村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重点发展生态种植业、养殖业）、西部生态涵养区（以管山村为中心，湿地公园沿岸开展生态修复、生态休闲旅游为主）。</w:t>
      </w:r>
    </w:p>
    <w:p w14:paraId="0D348C3F">
      <w:pPr>
        <w:numPr>
          <w:ilvl w:val="0"/>
          <w:numId w:val="1"/>
        </w:numPr>
        <w:outlineLvl w:val="0"/>
        <w:rPr>
          <w:rFonts w:ascii="Times New Roman" w:hAnsi="Times New Roman" w:eastAsia="仿宋_GB2312"/>
          <w:b/>
          <w:bCs/>
          <w:sz w:val="32"/>
          <w:szCs w:val="32"/>
        </w:rPr>
      </w:pPr>
      <w:r>
        <w:rPr>
          <w:rFonts w:hint="eastAsia" w:ascii="Times New Roman" w:hAnsi="Times New Roman" w:eastAsia="仿宋_GB2312"/>
          <w:b/>
          <w:bCs/>
          <w:sz w:val="32"/>
          <w:szCs w:val="32"/>
        </w:rPr>
        <w:t>三条控制线传导</w:t>
      </w:r>
    </w:p>
    <w:p w14:paraId="425E5E13">
      <w:pPr>
        <w:autoSpaceDE w:val="0"/>
        <w:autoSpaceDN w:val="0"/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至2035年，近尾洲镇耕地保护目标不低于21869.72亩；永久基本农田保护目标不低于19986.61亩；生态保护红线面积不低于2159.84公顷；划定城镇开发边界规模38.64公顷。</w:t>
      </w:r>
    </w:p>
    <w:p w14:paraId="3C8CF66C">
      <w:pPr>
        <w:numPr>
          <w:ilvl w:val="0"/>
          <w:numId w:val="1"/>
        </w:numPr>
        <w:outlineLvl w:val="0"/>
        <w:rPr>
          <w:rFonts w:hint="eastAsia" w:ascii="Times New Roman" w:hAnsi="Times New Roman" w:eastAsia="仿宋_GB2312"/>
          <w:b/>
          <w:bCs/>
          <w:sz w:val="32"/>
          <w:szCs w:val="32"/>
        </w:rPr>
      </w:pPr>
      <w:r>
        <w:rPr>
          <w:rFonts w:hint="eastAsia" w:ascii="Times New Roman" w:hAnsi="Times New Roman" w:eastAsia="仿宋_GB2312"/>
          <w:b/>
          <w:bCs/>
          <w:sz w:val="32"/>
          <w:szCs w:val="32"/>
        </w:rPr>
        <w:t>镇村体系规划</w:t>
      </w:r>
    </w:p>
    <w:p w14:paraId="5BA054D3">
      <w:pPr>
        <w:autoSpaceDE w:val="0"/>
        <w:autoSpaceDN w:val="0"/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构建“镇政府驻地—中心村—一般村”三个层次的镇村等级结构，镇域分为1个镇政府驻地、5个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中心村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、1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个一般村。镇政府驻地指蒸市村、羊角村、大梓村部分区域，是镇域政治、经济、文化中心，辐射带动全镇综合发展。</w:t>
      </w:r>
      <w:bookmarkStart w:id="1" w:name="_Toc16724"/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个中心村</w:t>
      </w:r>
      <w:bookmarkEnd w:id="1"/>
      <w:r>
        <w:rPr>
          <w:rFonts w:hint="eastAsia" w:ascii="Times New Roman" w:hAnsi="Times New Roman" w:eastAsia="仿宋_GB2312" w:cs="Times New Roman"/>
          <w:sz w:val="32"/>
          <w:szCs w:val="32"/>
        </w:rPr>
        <w:t>。包括义仁村、管山村、卿云村、蒸市村、沿途村。中心村是镇域各片区的核心节点，通过完善公服与基础设施，吸引和集聚周边地区的产业和经济活动，辐射带动片区内一般村发展。其余乡村为一般村，主要以农业生产、家庭副业生产等功能为主。</w:t>
      </w:r>
    </w:p>
    <w:p w14:paraId="7098F6B9">
      <w:pPr>
        <w:numPr>
          <w:ilvl w:val="0"/>
          <w:numId w:val="1"/>
        </w:numPr>
        <w:outlineLvl w:val="0"/>
        <w:rPr>
          <w:rFonts w:hint="eastAsia" w:ascii="Times New Roman" w:hAnsi="Times New Roman" w:eastAsia="仿宋_GB2312"/>
          <w:b/>
          <w:bCs/>
          <w:sz w:val="32"/>
          <w:szCs w:val="32"/>
        </w:rPr>
      </w:pPr>
      <w:r>
        <w:rPr>
          <w:rFonts w:hint="eastAsia" w:ascii="Times New Roman" w:hAnsi="Times New Roman" w:eastAsia="仿宋_GB2312"/>
          <w:b/>
          <w:bCs/>
          <w:sz w:val="32"/>
          <w:szCs w:val="32"/>
        </w:rPr>
        <w:t>镇政府驻地规划</w:t>
      </w:r>
    </w:p>
    <w:p w14:paraId="6D2A5F97">
      <w:pPr>
        <w:autoSpaceDE w:val="0"/>
        <w:autoSpaceDN w:val="0"/>
        <w:spacing w:line="600" w:lineRule="exact"/>
        <w:ind w:firstLine="640" w:firstLineChars="200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划定镇政府驻地范围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30.12</w:t>
      </w:r>
      <w:r>
        <w:rPr>
          <w:rFonts w:hint="eastAsia" w:ascii="Times New Roman" w:hAnsi="Times New Roman" w:eastAsia="仿宋_GB2312"/>
          <w:sz w:val="32"/>
          <w:szCs w:val="32"/>
        </w:rPr>
        <w:t>公顷，沿镇政府驻地以及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蒸市村、羊角村、大梓村</w:t>
      </w:r>
      <w:r>
        <w:rPr>
          <w:rFonts w:hint="eastAsia" w:ascii="Times New Roman" w:hAnsi="Times New Roman" w:eastAsia="仿宋_GB2312"/>
          <w:sz w:val="32"/>
          <w:szCs w:val="32"/>
        </w:rPr>
        <w:t>适当向外扩展，纳入镇政府驻地范围。镇区主要对镇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派出所、卫生院、养老院</w:t>
      </w:r>
      <w:r>
        <w:rPr>
          <w:rFonts w:hint="eastAsia" w:ascii="Times New Roman" w:hAnsi="Times New Roman" w:eastAsia="仿宋_GB2312"/>
          <w:sz w:val="32"/>
          <w:szCs w:val="32"/>
        </w:rPr>
        <w:t>扩建、并增加绿地与开敞空间用地、农村宅基地。具体用地布局和设施规划见规划图。</w:t>
      </w:r>
    </w:p>
    <w:p w14:paraId="181BFA7A">
      <w:pPr>
        <w:autoSpaceDE w:val="0"/>
        <w:autoSpaceDN w:val="0"/>
        <w:spacing w:line="600" w:lineRule="exact"/>
        <w:ind w:firstLine="640" w:firstLineChars="200"/>
        <w:rPr>
          <w:rFonts w:hint="eastAsia" w:ascii="Times New Roman" w:hAnsi="Times New Roman" w:eastAsia="仿宋_GB2312"/>
          <w:sz w:val="32"/>
          <w:szCs w:val="32"/>
        </w:rPr>
      </w:pPr>
    </w:p>
    <w:p w14:paraId="158F378C">
      <w:pPr>
        <w:autoSpaceDE w:val="0"/>
        <w:autoSpaceDN w:val="0"/>
        <w:spacing w:line="600" w:lineRule="exact"/>
        <w:ind w:firstLine="640" w:firstLineChars="200"/>
        <w:rPr>
          <w:rFonts w:hint="eastAsia" w:ascii="Times New Roman" w:hAnsi="Times New Roman" w:eastAsia="仿宋_GB2312"/>
          <w:sz w:val="32"/>
          <w:szCs w:val="32"/>
        </w:rPr>
      </w:pPr>
    </w:p>
    <w:p w14:paraId="16D74D63">
      <w:pPr>
        <w:autoSpaceDE w:val="0"/>
        <w:autoSpaceDN w:val="0"/>
        <w:spacing w:line="600" w:lineRule="exact"/>
        <w:ind w:firstLine="640" w:firstLineChars="200"/>
        <w:rPr>
          <w:rFonts w:hint="eastAsia" w:ascii="Times New Roman" w:hAnsi="Times New Roman" w:eastAsia="仿宋_GB2312"/>
          <w:sz w:val="32"/>
          <w:szCs w:val="32"/>
        </w:rPr>
      </w:pPr>
    </w:p>
    <w:p w14:paraId="7EAFEDB8">
      <w:pPr>
        <w:autoSpaceDE w:val="0"/>
        <w:autoSpaceDN w:val="0"/>
        <w:spacing w:line="600" w:lineRule="exact"/>
        <w:ind w:firstLine="720" w:firstLineChars="200"/>
        <w:rPr>
          <w:rFonts w:ascii="Times New Roman" w:hAnsi="Times New Roman" w:eastAsia="仿宋_GB2312"/>
          <w:sz w:val="36"/>
          <w:szCs w:val="36"/>
        </w:rPr>
      </w:pPr>
      <w:bookmarkStart w:id="2" w:name="_GoBack"/>
      <w:bookmarkEnd w:id="2"/>
    </w:p>
    <w:p w14:paraId="7C2EB952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4191F65"/>
    <w:multiLevelType w:val="singleLevel"/>
    <w:tmpl w:val="64191F6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zNTJkMTkzMDhjY2EwMzQ2MGY3MDcwY2QwYmJiNzEifQ=="/>
  </w:docVars>
  <w:rsids>
    <w:rsidRoot w:val="23732E21"/>
    <w:rsid w:val="23732E21"/>
    <w:rsid w:val="370B64B8"/>
    <w:rsid w:val="786F0373"/>
    <w:rsid w:val="7C212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after="120" w:afterLines="0" w:afterAutospacing="0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755</Words>
  <Characters>799</Characters>
  <Lines>0</Lines>
  <Paragraphs>0</Paragraphs>
  <TotalTime>13</TotalTime>
  <ScaleCrop>false</ScaleCrop>
  <LinksUpToDate>false</LinksUpToDate>
  <CharactersWithSpaces>799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2025-01-19T15:17:00Z</dcterms:created>
  <dc:creator>Administrator</dc:creator>
  <cp:lastModifiedBy>王君宝</cp:lastModifiedBy>
  <dcterms:modified xsi:type="dcterms:W3CDTF">2025-02-18T03:04:54Z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293BDA91981244F8BB3644C7024226AB_11</vt:lpwstr>
  </property>
  <property fmtid="{D5CDD505-2E9C-101B-9397-08002B2CF9AE}" pid="4" name="KSOTemplateDocerSaveRecord">
    <vt:lpwstr>eyJoZGlkIjoiNjlhNTlhOTlmOGM0OTE2YWI5MWE3M2VkZGU5M2ZhMDAiLCJ1c2VySWQiOiIxMTIwMzAzODg3In0=</vt:lpwstr>
  </property>
</Properties>
</file>