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66979">
      <w:pPr>
        <w:keepNext w:val="0"/>
        <w:keepLines w:val="0"/>
        <w:pageBreakBefore w:val="0"/>
        <w:widowControl/>
        <w:kinsoku/>
        <w:wordWrap/>
        <w:overflowPunct/>
        <w:topLinePunct w:val="0"/>
        <w:autoSpaceDE/>
        <w:autoSpaceDN/>
        <w:bidi w:val="0"/>
        <w:adjustRightInd/>
        <w:snapToGrid/>
        <w:spacing w:line="560" w:lineRule="exact"/>
        <w:ind w:left="0"/>
        <w:textAlignment w:val="auto"/>
        <w:outlineLvl w:val="9"/>
        <w:rPr>
          <w:rFonts w:eastAsia="方正小标宋简体"/>
          <w:kern w:val="0"/>
          <w:sz w:val="44"/>
          <w:szCs w:val="44"/>
        </w:rPr>
      </w:pPr>
      <w:r>
        <w:rPr>
          <w:rFonts w:hint="eastAsia" w:ascii="方正仿宋_GBK" w:hAnsi="方正仿宋_GBK" w:eastAsia="方正仿宋_GBK" w:cs="方正仿宋_GBK"/>
          <w:kern w:val="0"/>
          <w:sz w:val="32"/>
          <w:szCs w:val="32"/>
          <w:lang w:val="en-US" w:eastAsia="zh-CN"/>
        </w:rPr>
        <w:t>附件1：</w:t>
      </w:r>
    </w:p>
    <w:p w14:paraId="13658185">
      <w:pPr>
        <w:spacing w:line="579" w:lineRule="exact"/>
        <w:jc w:val="center"/>
        <w:rPr>
          <w:rFonts w:eastAsia="方正小标宋_GBK"/>
          <w:kern w:val="0"/>
          <w:sz w:val="44"/>
          <w:szCs w:val="44"/>
        </w:rPr>
      </w:pPr>
      <w:r>
        <w:rPr>
          <w:rFonts w:eastAsia="方正小标宋_GBK"/>
          <w:kern w:val="0"/>
          <w:sz w:val="44"/>
          <w:szCs w:val="44"/>
        </w:rPr>
        <w:t>湖南省消防安全重点单位界定标准</w:t>
      </w:r>
    </w:p>
    <w:p w14:paraId="0F6A0F71">
      <w:pPr>
        <w:spacing w:line="579" w:lineRule="exact"/>
        <w:jc w:val="center"/>
        <w:rPr>
          <w:rFonts w:eastAsia="楷体_GB2312"/>
          <w:b/>
          <w:kern w:val="0"/>
          <w:sz w:val="32"/>
          <w:szCs w:val="32"/>
        </w:rPr>
      </w:pPr>
      <w:r>
        <w:rPr>
          <w:rFonts w:eastAsia="方正楷体_GBK"/>
          <w:kern w:val="0"/>
          <w:sz w:val="32"/>
          <w:szCs w:val="32"/>
        </w:rPr>
        <w:t>（2023年修订）</w:t>
      </w:r>
    </w:p>
    <w:p w14:paraId="01EFB21B">
      <w:pPr>
        <w:spacing w:line="579" w:lineRule="exact"/>
        <w:ind w:firstLine="627" w:firstLineChars="196"/>
        <w:rPr>
          <w:rFonts w:eastAsia="方正黑体_GBK"/>
          <w:kern w:val="0"/>
          <w:sz w:val="32"/>
          <w:szCs w:val="32"/>
        </w:rPr>
      </w:pPr>
      <w:r>
        <w:rPr>
          <w:rFonts w:eastAsia="方正黑体_GBK"/>
          <w:kern w:val="0"/>
          <w:sz w:val="32"/>
          <w:szCs w:val="32"/>
        </w:rPr>
        <w:t>一、商场(市场)、宾馆(饭店)、体育场(馆)、会堂、公共娱乐场</w:t>
      </w:r>
      <w:r>
        <w:rPr>
          <w:rFonts w:hint="eastAsia" w:eastAsia="方正黑体_GBK"/>
          <w:kern w:val="0"/>
          <w:sz w:val="32"/>
          <w:szCs w:val="32"/>
        </w:rPr>
        <w:t>所</w:t>
      </w:r>
      <w:r>
        <w:rPr>
          <w:rFonts w:eastAsia="方正黑体_GBK"/>
          <w:kern w:val="0"/>
          <w:sz w:val="32"/>
          <w:szCs w:val="32"/>
        </w:rPr>
        <w:t>等公众聚集场所</w:t>
      </w:r>
    </w:p>
    <w:p w14:paraId="66A217B8">
      <w:pPr>
        <w:spacing w:line="579" w:lineRule="exact"/>
        <w:ind w:firstLine="627" w:firstLineChars="196"/>
        <w:rPr>
          <w:rFonts w:eastAsia="方正仿宋_GBK"/>
          <w:kern w:val="0"/>
          <w:sz w:val="32"/>
          <w:szCs w:val="32"/>
        </w:rPr>
      </w:pPr>
      <w:r>
        <w:rPr>
          <w:rFonts w:eastAsia="方正仿宋_GBK"/>
          <w:kern w:val="0"/>
          <w:sz w:val="32"/>
          <w:szCs w:val="32"/>
        </w:rPr>
        <w:t xml:space="preserve">（一）建筑面积1200平方米以上（含本数，下同）以及设置在地下、半地下建筑面积500平方米以上且经营可燃商品的商场（商店、市场）； </w:t>
      </w:r>
    </w:p>
    <w:p w14:paraId="6EA9C733">
      <w:pPr>
        <w:spacing w:line="579" w:lineRule="exact"/>
        <w:ind w:firstLine="627" w:firstLineChars="196"/>
        <w:rPr>
          <w:rFonts w:eastAsia="方正仿宋_GBK"/>
          <w:kern w:val="0"/>
          <w:sz w:val="32"/>
          <w:szCs w:val="32"/>
        </w:rPr>
      </w:pPr>
      <w:r>
        <w:rPr>
          <w:rFonts w:eastAsia="方正仿宋_GBK"/>
          <w:kern w:val="0"/>
          <w:sz w:val="32"/>
          <w:szCs w:val="32"/>
        </w:rPr>
        <w:t>（二）单体建筑内客房总数60间以上或者多栋建筑内客房总数100间以上或者设置于地下、半地下客房总数50间以上的旅馆场所；</w:t>
      </w:r>
    </w:p>
    <w:p w14:paraId="5088A97A">
      <w:pPr>
        <w:spacing w:line="579" w:lineRule="exact"/>
        <w:ind w:firstLine="627" w:firstLineChars="196"/>
        <w:rPr>
          <w:rFonts w:eastAsia="方正仿宋_GBK"/>
          <w:kern w:val="0"/>
          <w:sz w:val="32"/>
          <w:szCs w:val="32"/>
        </w:rPr>
      </w:pPr>
      <w:r>
        <w:rPr>
          <w:rFonts w:eastAsia="方正仿宋_GBK"/>
          <w:kern w:val="0"/>
          <w:sz w:val="32"/>
          <w:szCs w:val="32"/>
        </w:rPr>
        <w:t>（三）座位数3000个以上的室内公共体育场（馆）、座位数2000个以上的会堂；</w:t>
      </w:r>
    </w:p>
    <w:p w14:paraId="7E6D0A36">
      <w:pPr>
        <w:spacing w:line="579" w:lineRule="exact"/>
        <w:ind w:firstLine="627" w:firstLineChars="196"/>
        <w:rPr>
          <w:rFonts w:eastAsia="方正仿宋_GBK"/>
          <w:b/>
          <w:kern w:val="0"/>
          <w:sz w:val="32"/>
          <w:szCs w:val="32"/>
        </w:rPr>
      </w:pPr>
      <w:r>
        <w:rPr>
          <w:rFonts w:eastAsia="方正仿宋_GBK"/>
          <w:kern w:val="0"/>
          <w:sz w:val="32"/>
          <w:szCs w:val="32"/>
        </w:rPr>
        <w:t>（四）建筑面积600平方米以上的公共娱乐场所；</w:t>
      </w:r>
    </w:p>
    <w:p w14:paraId="1624CAD6">
      <w:pPr>
        <w:spacing w:line="579" w:lineRule="exact"/>
        <w:ind w:firstLine="627" w:firstLineChars="196"/>
        <w:rPr>
          <w:rFonts w:eastAsia="方正仿宋_GBK"/>
          <w:b/>
          <w:kern w:val="0"/>
          <w:sz w:val="32"/>
          <w:szCs w:val="32"/>
        </w:rPr>
      </w:pPr>
      <w:r>
        <w:rPr>
          <w:rFonts w:eastAsia="方正仿宋_GBK"/>
          <w:kern w:val="0"/>
          <w:sz w:val="32"/>
          <w:szCs w:val="32"/>
        </w:rPr>
        <w:t>（五）建筑面积2000平方米以上的公共餐饮场所。</w:t>
      </w:r>
    </w:p>
    <w:p w14:paraId="262E5C44">
      <w:pPr>
        <w:spacing w:line="579" w:lineRule="exact"/>
        <w:ind w:firstLine="627" w:firstLineChars="196"/>
        <w:rPr>
          <w:rFonts w:eastAsia="方正黑体_GBK"/>
          <w:kern w:val="0"/>
          <w:sz w:val="32"/>
          <w:szCs w:val="32"/>
        </w:rPr>
      </w:pPr>
      <w:r>
        <w:rPr>
          <w:rFonts w:eastAsia="方正黑体_GBK"/>
          <w:kern w:val="0"/>
          <w:sz w:val="32"/>
          <w:szCs w:val="32"/>
        </w:rPr>
        <w:t>二、医疗机构、康复机构、老年人照料设施、儿童福利机构、母婴服务机构和寄宿制的学校、托管机构、托儿所、幼儿园</w:t>
      </w:r>
    </w:p>
    <w:p w14:paraId="69FFF9ED">
      <w:pPr>
        <w:spacing w:line="579" w:lineRule="exact"/>
        <w:ind w:firstLine="627" w:firstLineChars="196"/>
        <w:rPr>
          <w:rFonts w:eastAsia="方正仿宋_GBK"/>
          <w:kern w:val="0"/>
          <w:sz w:val="32"/>
          <w:szCs w:val="32"/>
        </w:rPr>
      </w:pPr>
      <w:r>
        <w:rPr>
          <w:rFonts w:eastAsia="方正仿宋_GBK"/>
          <w:kern w:val="0"/>
          <w:sz w:val="32"/>
          <w:szCs w:val="32"/>
        </w:rPr>
        <w:t>（一）单体建筑内住院（住宿）床位50张以上或多栋建筑床位合计100张以上的医院、医养机构、康复机构；</w:t>
      </w:r>
    </w:p>
    <w:p w14:paraId="78EC8DAE">
      <w:pPr>
        <w:spacing w:line="579" w:lineRule="exact"/>
        <w:ind w:firstLine="627" w:firstLineChars="196"/>
        <w:rPr>
          <w:rFonts w:eastAsia="方正仿宋_GBK"/>
          <w:kern w:val="0"/>
          <w:sz w:val="32"/>
          <w:szCs w:val="32"/>
        </w:rPr>
      </w:pPr>
      <w:r>
        <w:rPr>
          <w:rFonts w:eastAsia="方正仿宋_GBK"/>
          <w:kern w:val="0"/>
          <w:sz w:val="32"/>
          <w:szCs w:val="32"/>
        </w:rPr>
        <w:t>（二）单体建筑内住宿床位50张以上或多栋建筑床位合计90张以上的老年人照料设施、福利机构；</w:t>
      </w:r>
    </w:p>
    <w:p w14:paraId="6CEE0F53">
      <w:pPr>
        <w:spacing w:line="579" w:lineRule="exact"/>
        <w:ind w:firstLine="627" w:firstLineChars="196"/>
        <w:rPr>
          <w:rFonts w:eastAsia="方正仿宋_GBK"/>
          <w:kern w:val="0"/>
          <w:sz w:val="32"/>
          <w:szCs w:val="32"/>
        </w:rPr>
      </w:pPr>
      <w:r>
        <w:rPr>
          <w:rFonts w:eastAsia="方正仿宋_GBK"/>
          <w:kern w:val="0"/>
          <w:sz w:val="32"/>
          <w:szCs w:val="32"/>
        </w:rPr>
        <w:t>（三）单体建筑内住院（住宿）床位50张以上或多栋建筑床位合计100张以上的母婴服务机构；</w:t>
      </w:r>
    </w:p>
    <w:p w14:paraId="4433F1DA">
      <w:pPr>
        <w:spacing w:line="579" w:lineRule="exact"/>
        <w:ind w:firstLine="627" w:firstLineChars="196"/>
        <w:rPr>
          <w:rFonts w:eastAsia="方正仿宋_GBK"/>
          <w:kern w:val="0"/>
          <w:sz w:val="32"/>
          <w:szCs w:val="32"/>
        </w:rPr>
      </w:pPr>
      <w:r>
        <w:rPr>
          <w:rFonts w:eastAsia="方正仿宋_GBK"/>
          <w:kern w:val="0"/>
          <w:sz w:val="32"/>
          <w:szCs w:val="32"/>
        </w:rPr>
        <w:t>（四）学生住宿（夜间）床位100张以上的寄宿制学校、托管机构；</w:t>
      </w:r>
    </w:p>
    <w:p w14:paraId="39BFC09B">
      <w:pPr>
        <w:spacing w:line="579" w:lineRule="exact"/>
        <w:ind w:firstLine="627" w:firstLineChars="196"/>
        <w:rPr>
          <w:rFonts w:eastAsia="方正仿宋_GBK"/>
          <w:kern w:val="0"/>
          <w:sz w:val="32"/>
          <w:szCs w:val="32"/>
        </w:rPr>
      </w:pPr>
      <w:r>
        <w:rPr>
          <w:rFonts w:eastAsia="方正仿宋_GBK"/>
          <w:kern w:val="0"/>
          <w:sz w:val="32"/>
          <w:szCs w:val="32"/>
        </w:rPr>
        <w:t>（五）幼儿住宿（夜间）床位50张以上的托儿所、幼儿园以及大型托儿所（8个班及以上）、幼儿园（9个班及以上）。</w:t>
      </w:r>
    </w:p>
    <w:p w14:paraId="1BA77E5F">
      <w:pPr>
        <w:spacing w:line="579" w:lineRule="exact"/>
        <w:ind w:firstLine="627" w:firstLineChars="196"/>
        <w:rPr>
          <w:rFonts w:eastAsia="方正黑体_GBK"/>
          <w:kern w:val="0"/>
          <w:sz w:val="32"/>
          <w:szCs w:val="32"/>
        </w:rPr>
      </w:pPr>
      <w:r>
        <w:rPr>
          <w:rFonts w:eastAsia="方正黑体_GBK"/>
          <w:kern w:val="0"/>
          <w:sz w:val="32"/>
          <w:szCs w:val="32"/>
        </w:rPr>
        <w:t>三、国家机关</w:t>
      </w:r>
    </w:p>
    <w:p w14:paraId="55D9A24F">
      <w:pPr>
        <w:spacing w:line="579" w:lineRule="exact"/>
        <w:ind w:firstLine="627" w:firstLineChars="196"/>
        <w:rPr>
          <w:rFonts w:eastAsia="方正仿宋_GBK"/>
          <w:kern w:val="0"/>
          <w:sz w:val="32"/>
          <w:szCs w:val="32"/>
        </w:rPr>
      </w:pPr>
      <w:r>
        <w:rPr>
          <w:rFonts w:eastAsia="方正仿宋_GBK"/>
          <w:kern w:val="0"/>
          <w:sz w:val="32"/>
          <w:szCs w:val="32"/>
        </w:rPr>
        <w:t>（一）县级以上的党委、人大、政府、政协办公场所及配套服务场所；</w:t>
      </w:r>
    </w:p>
    <w:p w14:paraId="12FA9873">
      <w:pPr>
        <w:spacing w:line="579" w:lineRule="exact"/>
        <w:ind w:firstLine="627" w:firstLineChars="196"/>
        <w:rPr>
          <w:rFonts w:eastAsia="方正仿宋_GBK"/>
          <w:kern w:val="0"/>
          <w:sz w:val="32"/>
          <w:szCs w:val="32"/>
        </w:rPr>
      </w:pPr>
      <w:r>
        <w:rPr>
          <w:rFonts w:eastAsia="方正仿宋_GBK"/>
          <w:kern w:val="0"/>
          <w:sz w:val="32"/>
          <w:szCs w:val="32"/>
        </w:rPr>
        <w:t>（二）县级以上的人民检察院、人民法院办公场所及配套服务场所；</w:t>
      </w:r>
    </w:p>
    <w:p w14:paraId="58B02AF2">
      <w:pPr>
        <w:spacing w:line="579" w:lineRule="exact"/>
        <w:ind w:firstLine="627" w:firstLineChars="196"/>
        <w:rPr>
          <w:rFonts w:eastAsia="方正仿宋_GBK"/>
          <w:kern w:val="0"/>
          <w:sz w:val="32"/>
          <w:szCs w:val="32"/>
        </w:rPr>
      </w:pPr>
      <w:r>
        <w:rPr>
          <w:rFonts w:eastAsia="方正仿宋_GBK"/>
          <w:kern w:val="0"/>
          <w:sz w:val="32"/>
          <w:szCs w:val="32"/>
        </w:rPr>
        <w:t>（三）县级以上的政务服务中心办公场所及配套服务场所。</w:t>
      </w:r>
    </w:p>
    <w:p w14:paraId="6FD28248">
      <w:pPr>
        <w:spacing w:line="579" w:lineRule="exact"/>
        <w:ind w:firstLine="627" w:firstLineChars="196"/>
        <w:rPr>
          <w:rFonts w:eastAsia="方正黑体_GBK"/>
          <w:kern w:val="0"/>
          <w:sz w:val="32"/>
          <w:szCs w:val="32"/>
        </w:rPr>
      </w:pPr>
      <w:r>
        <w:rPr>
          <w:rFonts w:eastAsia="方正黑体_GBK"/>
          <w:kern w:val="0"/>
          <w:sz w:val="32"/>
          <w:szCs w:val="32"/>
        </w:rPr>
        <w:t>四、广播、电视和邮政、通信枢纽</w:t>
      </w:r>
    </w:p>
    <w:p w14:paraId="103179B9">
      <w:pPr>
        <w:spacing w:line="579" w:lineRule="exact"/>
        <w:ind w:firstLine="627" w:firstLineChars="196"/>
        <w:rPr>
          <w:rFonts w:eastAsia="方正仿宋_GBK"/>
          <w:kern w:val="0"/>
          <w:sz w:val="32"/>
          <w:szCs w:val="32"/>
        </w:rPr>
      </w:pPr>
      <w:r>
        <w:rPr>
          <w:rFonts w:eastAsia="方正仿宋_GBK"/>
          <w:kern w:val="0"/>
          <w:sz w:val="32"/>
          <w:szCs w:val="32"/>
        </w:rPr>
        <w:t>（一）县级以上的广播电台、电视台；</w:t>
      </w:r>
    </w:p>
    <w:p w14:paraId="4FF9C014">
      <w:pPr>
        <w:spacing w:line="579" w:lineRule="exact"/>
        <w:ind w:firstLine="627" w:firstLineChars="196"/>
        <w:rPr>
          <w:rFonts w:eastAsia="方正仿宋_GBK"/>
          <w:kern w:val="0"/>
          <w:sz w:val="32"/>
          <w:szCs w:val="32"/>
        </w:rPr>
      </w:pPr>
      <w:r>
        <w:rPr>
          <w:rFonts w:eastAsia="方正仿宋_GBK"/>
          <w:kern w:val="0"/>
          <w:sz w:val="32"/>
          <w:szCs w:val="32"/>
        </w:rPr>
        <w:t>（二）县级以上的邮政和通信枢纽单位；</w:t>
      </w:r>
    </w:p>
    <w:p w14:paraId="727FEF2D">
      <w:pPr>
        <w:spacing w:line="579" w:lineRule="exact"/>
        <w:ind w:firstLine="627" w:firstLineChars="196"/>
        <w:rPr>
          <w:rFonts w:eastAsia="方正仿宋_GBK"/>
          <w:kern w:val="0"/>
          <w:sz w:val="32"/>
          <w:szCs w:val="32"/>
        </w:rPr>
      </w:pPr>
      <w:r>
        <w:rPr>
          <w:rFonts w:eastAsia="方正仿宋_GBK"/>
          <w:kern w:val="0"/>
          <w:sz w:val="32"/>
          <w:szCs w:val="32"/>
        </w:rPr>
        <w:t>（三）</w:t>
      </w:r>
      <w:r>
        <w:rPr>
          <w:rFonts w:hint="eastAsia" w:eastAsia="方正仿宋_GBK"/>
          <w:kern w:val="0"/>
          <w:sz w:val="32"/>
          <w:szCs w:val="32"/>
        </w:rPr>
        <w:t>B</w:t>
      </w:r>
      <w:r>
        <w:rPr>
          <w:rFonts w:eastAsia="方正仿宋_GBK"/>
          <w:kern w:val="0"/>
          <w:sz w:val="32"/>
          <w:szCs w:val="32"/>
        </w:rPr>
        <w:t>级以上的数据中心。</w:t>
      </w:r>
    </w:p>
    <w:p w14:paraId="6C6FF356">
      <w:pPr>
        <w:spacing w:line="579" w:lineRule="exact"/>
        <w:ind w:firstLine="627" w:firstLineChars="196"/>
        <w:rPr>
          <w:rFonts w:eastAsia="方正黑体_GBK"/>
          <w:kern w:val="0"/>
          <w:sz w:val="32"/>
          <w:szCs w:val="32"/>
        </w:rPr>
      </w:pPr>
      <w:r>
        <w:rPr>
          <w:rFonts w:eastAsia="方正黑体_GBK"/>
          <w:kern w:val="0"/>
          <w:sz w:val="32"/>
          <w:szCs w:val="32"/>
        </w:rPr>
        <w:t>五、客运车站、码头、民用机场</w:t>
      </w:r>
    </w:p>
    <w:p w14:paraId="65C001D4">
      <w:pPr>
        <w:spacing w:line="579" w:lineRule="exact"/>
        <w:ind w:firstLine="627" w:firstLineChars="196"/>
        <w:rPr>
          <w:rFonts w:eastAsia="方正仿宋_GBK"/>
          <w:kern w:val="0"/>
          <w:sz w:val="32"/>
          <w:szCs w:val="32"/>
        </w:rPr>
      </w:pPr>
      <w:r>
        <w:rPr>
          <w:rFonts w:eastAsia="方正仿宋_GBK"/>
          <w:kern w:val="0"/>
          <w:sz w:val="32"/>
          <w:szCs w:val="32"/>
        </w:rPr>
        <w:t>（一）候车厅、候船厅的建筑面积在1000 平方米以上的客运车站和客运码头；</w:t>
      </w:r>
    </w:p>
    <w:p w14:paraId="72CF7453">
      <w:pPr>
        <w:spacing w:line="579" w:lineRule="exact"/>
        <w:ind w:firstLine="627" w:firstLineChars="196"/>
        <w:rPr>
          <w:rFonts w:eastAsia="方正仿宋_GBK"/>
          <w:kern w:val="0"/>
          <w:sz w:val="32"/>
          <w:szCs w:val="32"/>
        </w:rPr>
      </w:pPr>
      <w:r>
        <w:rPr>
          <w:rFonts w:eastAsia="方正仿宋_GBK"/>
          <w:kern w:val="0"/>
          <w:sz w:val="32"/>
          <w:szCs w:val="32"/>
        </w:rPr>
        <w:t>（二）大型港口；</w:t>
      </w:r>
    </w:p>
    <w:p w14:paraId="0D45E83A">
      <w:pPr>
        <w:spacing w:line="579" w:lineRule="exact"/>
        <w:ind w:firstLine="627" w:firstLineChars="196"/>
        <w:rPr>
          <w:rFonts w:eastAsia="方正仿宋_GBK"/>
          <w:kern w:val="0"/>
          <w:sz w:val="32"/>
          <w:szCs w:val="32"/>
        </w:rPr>
      </w:pPr>
      <w:r>
        <w:rPr>
          <w:rFonts w:eastAsia="方正仿宋_GBK"/>
          <w:kern w:val="0"/>
          <w:sz w:val="32"/>
          <w:szCs w:val="32"/>
        </w:rPr>
        <w:t>（三）民用机场。</w:t>
      </w:r>
    </w:p>
    <w:p w14:paraId="5EE6816C">
      <w:pPr>
        <w:spacing w:line="579" w:lineRule="exact"/>
        <w:ind w:firstLine="627" w:firstLineChars="196"/>
        <w:rPr>
          <w:rFonts w:eastAsia="方正黑体_GBK"/>
          <w:kern w:val="0"/>
          <w:sz w:val="32"/>
          <w:szCs w:val="32"/>
        </w:rPr>
      </w:pPr>
      <w:r>
        <w:rPr>
          <w:rFonts w:eastAsia="方正黑体_GBK"/>
          <w:kern w:val="0"/>
          <w:sz w:val="32"/>
          <w:szCs w:val="32"/>
        </w:rPr>
        <w:t>六、公共图书馆、展览馆、博物馆、档案馆、宗教活动场所以及具有火灾危险性的文物保护单位、旅游景区</w:t>
      </w:r>
    </w:p>
    <w:p w14:paraId="4BE6A884">
      <w:pPr>
        <w:spacing w:line="579" w:lineRule="exact"/>
        <w:ind w:firstLine="627" w:firstLineChars="196"/>
        <w:rPr>
          <w:rFonts w:eastAsia="方正仿宋_GBK"/>
          <w:kern w:val="0"/>
          <w:sz w:val="32"/>
          <w:szCs w:val="32"/>
        </w:rPr>
      </w:pPr>
      <w:r>
        <w:rPr>
          <w:rFonts w:eastAsia="方正仿宋_GBK"/>
          <w:kern w:val="0"/>
          <w:sz w:val="32"/>
          <w:szCs w:val="32"/>
        </w:rPr>
        <w:t>（一）任一层建筑面积 1500 平方米以上或者总建筑面积3000平方米以上的展览馆，藏书50万册以上的公共图书馆；</w:t>
      </w:r>
    </w:p>
    <w:p w14:paraId="3C397BF2">
      <w:pPr>
        <w:spacing w:line="579" w:lineRule="exact"/>
        <w:ind w:firstLine="627" w:firstLineChars="196"/>
        <w:rPr>
          <w:rFonts w:eastAsia="方正仿宋_GBK"/>
          <w:kern w:val="0"/>
          <w:sz w:val="32"/>
          <w:szCs w:val="32"/>
        </w:rPr>
      </w:pPr>
      <w:r>
        <w:rPr>
          <w:rFonts w:eastAsia="方正仿宋_GBK"/>
          <w:kern w:val="0"/>
          <w:sz w:val="32"/>
          <w:szCs w:val="32"/>
        </w:rPr>
        <w:t>（二）</w:t>
      </w:r>
      <w:r>
        <w:rPr>
          <w:rFonts w:hint="eastAsia" w:eastAsia="方正仿宋_GBK"/>
          <w:kern w:val="0"/>
          <w:sz w:val="32"/>
          <w:szCs w:val="32"/>
        </w:rPr>
        <w:t>国家</w:t>
      </w:r>
      <w:r>
        <w:rPr>
          <w:rFonts w:eastAsia="方正仿宋_GBK"/>
          <w:kern w:val="0"/>
          <w:sz w:val="32"/>
          <w:szCs w:val="32"/>
        </w:rPr>
        <w:t>二级以上的博物馆，县级以上的档案馆；</w:t>
      </w:r>
    </w:p>
    <w:p w14:paraId="55902CF2">
      <w:pPr>
        <w:spacing w:line="579" w:lineRule="exact"/>
        <w:ind w:firstLine="627" w:firstLineChars="196"/>
        <w:rPr>
          <w:rFonts w:eastAsia="方正仿宋_GBK"/>
          <w:kern w:val="0"/>
          <w:sz w:val="32"/>
          <w:szCs w:val="32"/>
        </w:rPr>
      </w:pPr>
      <w:r>
        <w:rPr>
          <w:rFonts w:eastAsia="方正仿宋_GBK"/>
          <w:kern w:val="0"/>
          <w:sz w:val="32"/>
          <w:szCs w:val="32"/>
        </w:rPr>
        <w:t>（三）建筑面积2500平方米以上的宗教活动场所；</w:t>
      </w:r>
    </w:p>
    <w:p w14:paraId="2594CE5B">
      <w:pPr>
        <w:spacing w:line="579" w:lineRule="exact"/>
        <w:ind w:firstLine="627" w:firstLineChars="196"/>
        <w:rPr>
          <w:rFonts w:eastAsia="方正仿宋_GBK"/>
          <w:kern w:val="0"/>
          <w:sz w:val="32"/>
          <w:szCs w:val="32"/>
        </w:rPr>
      </w:pPr>
      <w:r>
        <w:rPr>
          <w:rFonts w:eastAsia="方正仿宋_GBK"/>
          <w:kern w:val="0"/>
          <w:sz w:val="32"/>
          <w:szCs w:val="32"/>
        </w:rPr>
        <w:t>（四）具有火灾危险性县级以上的文物保护单位；</w:t>
      </w:r>
    </w:p>
    <w:p w14:paraId="107FDE25">
      <w:pPr>
        <w:spacing w:line="579" w:lineRule="exact"/>
        <w:ind w:firstLine="627" w:firstLineChars="196"/>
        <w:rPr>
          <w:rFonts w:eastAsia="方正仿宋_GBK"/>
          <w:kern w:val="0"/>
          <w:sz w:val="32"/>
          <w:szCs w:val="32"/>
        </w:rPr>
      </w:pPr>
      <w:r>
        <w:rPr>
          <w:rFonts w:eastAsia="方正仿宋_GBK"/>
          <w:kern w:val="0"/>
          <w:sz w:val="32"/>
          <w:szCs w:val="32"/>
        </w:rPr>
        <w:t>（五）具有火灾危险性3A级以上的旅游景区。</w:t>
      </w:r>
    </w:p>
    <w:p w14:paraId="7F597D88">
      <w:pPr>
        <w:spacing w:line="579" w:lineRule="exact"/>
        <w:ind w:firstLine="627" w:firstLineChars="196"/>
        <w:rPr>
          <w:rFonts w:eastAsia="方正黑体_GBK"/>
          <w:kern w:val="0"/>
          <w:sz w:val="32"/>
          <w:szCs w:val="32"/>
        </w:rPr>
      </w:pPr>
      <w:r>
        <w:rPr>
          <w:rFonts w:eastAsia="方正黑体_GBK"/>
          <w:kern w:val="0"/>
          <w:sz w:val="32"/>
          <w:szCs w:val="32"/>
        </w:rPr>
        <w:t>七、发电厂(站)和电网调度中心</w:t>
      </w:r>
    </w:p>
    <w:p w14:paraId="7D9BFC5C">
      <w:pPr>
        <w:spacing w:line="579" w:lineRule="exact"/>
        <w:ind w:firstLine="627" w:firstLineChars="196"/>
        <w:rPr>
          <w:rFonts w:eastAsia="方正仿宋_GBK"/>
          <w:kern w:val="0"/>
          <w:sz w:val="32"/>
          <w:szCs w:val="32"/>
        </w:rPr>
      </w:pPr>
      <w:r>
        <w:rPr>
          <w:rFonts w:eastAsia="方正仿宋_GBK"/>
          <w:kern w:val="0"/>
          <w:sz w:val="32"/>
          <w:szCs w:val="32"/>
        </w:rPr>
        <w:t>（一）大型以上的发电厂；</w:t>
      </w:r>
    </w:p>
    <w:p w14:paraId="58006D98">
      <w:pPr>
        <w:spacing w:line="579" w:lineRule="exact"/>
        <w:ind w:firstLine="627" w:firstLineChars="196"/>
        <w:rPr>
          <w:rFonts w:eastAsia="方正仿宋_GBK"/>
          <w:kern w:val="0"/>
          <w:sz w:val="32"/>
          <w:szCs w:val="32"/>
        </w:rPr>
      </w:pPr>
      <w:r>
        <w:rPr>
          <w:rFonts w:eastAsia="方正仿宋_GBK"/>
          <w:kern w:val="0"/>
          <w:sz w:val="32"/>
          <w:szCs w:val="32"/>
        </w:rPr>
        <w:t>（二）500KV以上电压等级的变电站（换流站）；</w:t>
      </w:r>
    </w:p>
    <w:p w14:paraId="6C1C5BA6">
      <w:pPr>
        <w:spacing w:line="579" w:lineRule="exact"/>
        <w:ind w:firstLine="627" w:firstLineChars="196"/>
        <w:rPr>
          <w:rFonts w:eastAsia="方正仿宋_GBK"/>
          <w:kern w:val="0"/>
          <w:sz w:val="32"/>
          <w:szCs w:val="32"/>
        </w:rPr>
      </w:pPr>
      <w:r>
        <w:rPr>
          <w:rFonts w:eastAsia="方正仿宋_GBK"/>
          <w:kern w:val="0"/>
          <w:sz w:val="32"/>
          <w:szCs w:val="32"/>
        </w:rPr>
        <w:t>（三）50MW以上的电化学储能电站；</w:t>
      </w:r>
    </w:p>
    <w:p w14:paraId="2344803E">
      <w:pPr>
        <w:spacing w:line="579" w:lineRule="exact"/>
        <w:ind w:firstLine="627" w:firstLineChars="196"/>
        <w:rPr>
          <w:rFonts w:eastAsia="方正仿宋_GBK"/>
          <w:kern w:val="0"/>
          <w:sz w:val="32"/>
          <w:szCs w:val="32"/>
        </w:rPr>
      </w:pPr>
      <w:r>
        <w:rPr>
          <w:rFonts w:eastAsia="方正仿宋_GBK"/>
          <w:kern w:val="0"/>
          <w:sz w:val="32"/>
          <w:szCs w:val="32"/>
        </w:rPr>
        <w:t>（四）县级以上的电网调度中心。</w:t>
      </w:r>
    </w:p>
    <w:p w14:paraId="68382612">
      <w:pPr>
        <w:spacing w:line="579" w:lineRule="exact"/>
        <w:ind w:firstLine="627" w:firstLineChars="196"/>
        <w:rPr>
          <w:rFonts w:eastAsia="方正黑体_GBK"/>
          <w:kern w:val="0"/>
          <w:sz w:val="32"/>
          <w:szCs w:val="32"/>
        </w:rPr>
      </w:pPr>
      <w:r>
        <w:rPr>
          <w:rFonts w:eastAsia="方正黑体_GBK"/>
          <w:kern w:val="0"/>
          <w:sz w:val="32"/>
          <w:szCs w:val="32"/>
        </w:rPr>
        <w:t>八、易燃易爆化学物品的生产、充装、储存、供应、销售单位</w:t>
      </w:r>
    </w:p>
    <w:p w14:paraId="36ACA9E7">
      <w:pPr>
        <w:spacing w:line="579" w:lineRule="exact"/>
        <w:ind w:firstLine="627" w:firstLineChars="196"/>
        <w:rPr>
          <w:rFonts w:eastAsia="方正仿宋_GBK"/>
          <w:kern w:val="0"/>
          <w:sz w:val="32"/>
          <w:szCs w:val="32"/>
        </w:rPr>
      </w:pPr>
      <w:r>
        <w:rPr>
          <w:rFonts w:eastAsia="方正仿宋_GBK"/>
          <w:kern w:val="0"/>
          <w:sz w:val="32"/>
          <w:szCs w:val="32"/>
        </w:rPr>
        <w:t>（一）建筑面积2000平方米以上生产易燃易爆化学物品的工厂；</w:t>
      </w:r>
    </w:p>
    <w:p w14:paraId="2A4A36B1">
      <w:pPr>
        <w:spacing w:line="579" w:lineRule="exact"/>
        <w:ind w:firstLine="627" w:firstLineChars="196"/>
        <w:rPr>
          <w:rFonts w:eastAsia="方正仿宋_GBK"/>
          <w:kern w:val="0"/>
          <w:sz w:val="32"/>
          <w:szCs w:val="32"/>
        </w:rPr>
      </w:pPr>
      <w:r>
        <w:rPr>
          <w:rFonts w:eastAsia="方正仿宋_GBK"/>
          <w:kern w:val="0"/>
          <w:sz w:val="32"/>
          <w:szCs w:val="32"/>
        </w:rPr>
        <w:t>（二）建筑面积300平方米以上或者危险化学品最大储量达到重大危险源临界量的储存易燃易爆化学物品的专用仓库（堆场、储罐场所）；</w:t>
      </w:r>
    </w:p>
    <w:p w14:paraId="7E44086D">
      <w:pPr>
        <w:spacing w:line="579" w:lineRule="exact"/>
        <w:ind w:firstLine="627" w:firstLineChars="196"/>
        <w:rPr>
          <w:rFonts w:eastAsia="方正仿宋_GBK"/>
          <w:kern w:val="0"/>
          <w:sz w:val="32"/>
          <w:szCs w:val="32"/>
        </w:rPr>
      </w:pPr>
      <w:r>
        <w:rPr>
          <w:rFonts w:eastAsia="方正仿宋_GBK"/>
          <w:kern w:val="0"/>
          <w:sz w:val="32"/>
          <w:szCs w:val="32"/>
        </w:rPr>
        <w:t>（三）易燃易爆气体和液体的灌装站、调压站；</w:t>
      </w:r>
    </w:p>
    <w:p w14:paraId="4C0071DA">
      <w:pPr>
        <w:spacing w:line="579" w:lineRule="exact"/>
        <w:ind w:firstLine="627" w:firstLineChars="196"/>
        <w:rPr>
          <w:rFonts w:eastAsia="方正仿宋_GBK"/>
          <w:kern w:val="0"/>
          <w:sz w:val="32"/>
          <w:szCs w:val="32"/>
        </w:rPr>
      </w:pPr>
      <w:r>
        <w:rPr>
          <w:rFonts w:eastAsia="方正仿宋_GBK"/>
          <w:kern w:val="0"/>
          <w:sz w:val="32"/>
          <w:szCs w:val="32"/>
        </w:rPr>
        <w:t>（四）营业性汽车加油站、加气站、加氢站及合建站，燃气供应站；</w:t>
      </w:r>
    </w:p>
    <w:p w14:paraId="2AF2E04A">
      <w:pPr>
        <w:spacing w:line="579" w:lineRule="exact"/>
        <w:ind w:firstLine="627" w:firstLineChars="196"/>
        <w:rPr>
          <w:rFonts w:eastAsia="方正仿宋_GBK"/>
          <w:kern w:val="0"/>
          <w:sz w:val="32"/>
          <w:szCs w:val="32"/>
        </w:rPr>
      </w:pPr>
      <w:r>
        <w:rPr>
          <w:rFonts w:eastAsia="方正仿宋_GBK"/>
          <w:kern w:val="0"/>
          <w:sz w:val="32"/>
          <w:szCs w:val="32"/>
        </w:rPr>
        <w:t>（五）建筑面积300平方米以上的易燃易爆化学物品专营商店；</w:t>
      </w:r>
    </w:p>
    <w:p w14:paraId="4EB05090">
      <w:pPr>
        <w:spacing w:line="579" w:lineRule="exact"/>
        <w:ind w:firstLine="627" w:firstLineChars="196"/>
        <w:rPr>
          <w:rFonts w:eastAsia="方正仿宋_GBK"/>
          <w:kern w:val="0"/>
          <w:sz w:val="32"/>
          <w:szCs w:val="32"/>
        </w:rPr>
      </w:pPr>
      <w:r>
        <w:rPr>
          <w:rFonts w:eastAsia="方正仿宋_GBK"/>
          <w:kern w:val="0"/>
          <w:sz w:val="32"/>
          <w:szCs w:val="32"/>
        </w:rPr>
        <w:t>（六）化工装置设备及其附属建构筑物占地面积5000平方米以上的企业。</w:t>
      </w:r>
    </w:p>
    <w:p w14:paraId="71491D9E">
      <w:pPr>
        <w:spacing w:line="579" w:lineRule="exact"/>
        <w:ind w:firstLine="627" w:firstLineChars="196"/>
        <w:rPr>
          <w:rFonts w:eastAsia="方正黑体_GBK"/>
          <w:kern w:val="0"/>
          <w:sz w:val="32"/>
          <w:szCs w:val="32"/>
        </w:rPr>
      </w:pPr>
      <w:r>
        <w:rPr>
          <w:rFonts w:eastAsia="方正黑体_GBK"/>
          <w:kern w:val="0"/>
          <w:sz w:val="32"/>
          <w:szCs w:val="32"/>
        </w:rPr>
        <w:t>九、生产、加工企业和仓储物流场所</w:t>
      </w:r>
    </w:p>
    <w:p w14:paraId="4174AD71">
      <w:pPr>
        <w:spacing w:line="579" w:lineRule="exact"/>
        <w:ind w:firstLine="627" w:firstLineChars="196"/>
        <w:rPr>
          <w:rFonts w:eastAsia="方正仿宋_GBK"/>
          <w:kern w:val="0"/>
          <w:sz w:val="32"/>
          <w:szCs w:val="32"/>
        </w:rPr>
      </w:pPr>
      <w:r>
        <w:rPr>
          <w:rFonts w:eastAsia="方正仿宋_GBK"/>
          <w:kern w:val="0"/>
          <w:sz w:val="32"/>
          <w:szCs w:val="32"/>
        </w:rPr>
        <w:t>（一）企业员工总数1000人以上，或者在同一时段内生产车间员工总数在300人以上，或者员工集体宿舍单体建筑内床位数100张以上的服装、鞋帽、玩具、木制品、家具、塑料、食品加工、纺织、印染、印刷等劳动密集型企业；</w:t>
      </w:r>
    </w:p>
    <w:p w14:paraId="7B9781B1">
      <w:pPr>
        <w:spacing w:line="579" w:lineRule="exact"/>
        <w:ind w:firstLine="627" w:firstLineChars="196"/>
        <w:rPr>
          <w:rFonts w:eastAsia="方正仿宋_GBK"/>
          <w:kern w:val="0"/>
          <w:sz w:val="32"/>
          <w:szCs w:val="32"/>
        </w:rPr>
      </w:pPr>
      <w:r>
        <w:rPr>
          <w:rFonts w:eastAsia="方正仿宋_GBK"/>
          <w:kern w:val="0"/>
          <w:sz w:val="32"/>
          <w:szCs w:val="32"/>
        </w:rPr>
        <w:t>（二）具有火灾危险性的大型生产、加工企业；</w:t>
      </w:r>
    </w:p>
    <w:p w14:paraId="0AA4DA94">
      <w:pPr>
        <w:spacing w:line="579" w:lineRule="exact"/>
        <w:ind w:firstLine="627" w:firstLineChars="196"/>
        <w:rPr>
          <w:rFonts w:eastAsia="方正仿宋_GBK"/>
          <w:kern w:val="0"/>
          <w:sz w:val="32"/>
          <w:szCs w:val="32"/>
        </w:rPr>
      </w:pPr>
      <w:r>
        <w:rPr>
          <w:rFonts w:eastAsia="方正仿宋_GBK"/>
          <w:kern w:val="0"/>
          <w:sz w:val="32"/>
          <w:szCs w:val="32"/>
        </w:rPr>
        <w:t>（三）单体建筑内所有企业的从业人员总数、营业收入总额同时达到大型生产、加工企业界定标准的建筑；</w:t>
      </w:r>
    </w:p>
    <w:p w14:paraId="3E6456B8">
      <w:pPr>
        <w:spacing w:line="579" w:lineRule="exact"/>
        <w:ind w:firstLine="627" w:firstLineChars="196"/>
        <w:rPr>
          <w:rFonts w:eastAsia="方正仿宋_GBK"/>
          <w:kern w:val="0"/>
          <w:sz w:val="32"/>
          <w:szCs w:val="32"/>
        </w:rPr>
      </w:pPr>
      <w:r>
        <w:rPr>
          <w:rFonts w:eastAsia="方正仿宋_GBK"/>
          <w:kern w:val="0"/>
          <w:sz w:val="32"/>
          <w:szCs w:val="32"/>
        </w:rPr>
        <w:t>（四）国家物资储备库；</w:t>
      </w:r>
    </w:p>
    <w:p w14:paraId="45F65D38">
      <w:pPr>
        <w:spacing w:line="579" w:lineRule="exact"/>
        <w:ind w:firstLine="627" w:firstLineChars="196"/>
        <w:rPr>
          <w:rFonts w:eastAsia="方正仿宋_GBK"/>
          <w:kern w:val="0"/>
          <w:sz w:val="32"/>
          <w:szCs w:val="32"/>
        </w:rPr>
      </w:pPr>
      <w:r>
        <w:rPr>
          <w:rFonts w:eastAsia="方正仿宋_GBK"/>
          <w:kern w:val="0"/>
          <w:sz w:val="32"/>
          <w:szCs w:val="32"/>
        </w:rPr>
        <w:t>（五）每座占地面积1500平方米以上或总建筑面积3000平方米以上的易燃可燃物品仓储物流场所。</w:t>
      </w:r>
    </w:p>
    <w:p w14:paraId="51057ECD">
      <w:pPr>
        <w:spacing w:line="579" w:lineRule="exact"/>
        <w:ind w:firstLine="627" w:firstLineChars="196"/>
        <w:rPr>
          <w:rFonts w:eastAsia="方正黑体_GBK"/>
          <w:kern w:val="0"/>
          <w:sz w:val="32"/>
          <w:szCs w:val="32"/>
        </w:rPr>
      </w:pPr>
      <w:r>
        <w:rPr>
          <w:rFonts w:eastAsia="方正黑体_GBK"/>
          <w:kern w:val="0"/>
          <w:sz w:val="32"/>
          <w:szCs w:val="32"/>
        </w:rPr>
        <w:t>十、高层建筑、城市地下铁道、地下观光隧道、公路隧道、重点工程的施工现场</w:t>
      </w:r>
    </w:p>
    <w:p w14:paraId="018C971C">
      <w:pPr>
        <w:spacing w:line="579" w:lineRule="exact"/>
        <w:ind w:firstLine="627" w:firstLineChars="196"/>
        <w:rPr>
          <w:rFonts w:eastAsia="方正仿宋_GBK"/>
          <w:kern w:val="0"/>
          <w:sz w:val="32"/>
          <w:szCs w:val="32"/>
        </w:rPr>
      </w:pPr>
      <w:r>
        <w:rPr>
          <w:rFonts w:eastAsia="方正仿宋_GBK"/>
          <w:kern w:val="0"/>
          <w:sz w:val="32"/>
          <w:szCs w:val="32"/>
        </w:rPr>
        <w:t>（一）高层公共建筑、超高层住宅小区；</w:t>
      </w:r>
    </w:p>
    <w:p w14:paraId="1A573F64">
      <w:pPr>
        <w:spacing w:line="579" w:lineRule="exact"/>
        <w:ind w:firstLine="627" w:firstLineChars="196"/>
        <w:rPr>
          <w:rFonts w:eastAsia="方正仿宋_GBK"/>
          <w:kern w:val="0"/>
          <w:sz w:val="32"/>
          <w:szCs w:val="32"/>
        </w:rPr>
      </w:pPr>
      <w:r>
        <w:rPr>
          <w:rFonts w:eastAsia="方正仿宋_GBK"/>
          <w:kern w:val="0"/>
          <w:sz w:val="32"/>
          <w:szCs w:val="32"/>
        </w:rPr>
        <w:t>（二）城市地下铁道、地下观光隧道等地下场所和长度超过一千米的公路隧道；</w:t>
      </w:r>
    </w:p>
    <w:p w14:paraId="4070B7E9">
      <w:pPr>
        <w:spacing w:line="579" w:lineRule="exact"/>
        <w:ind w:firstLine="627" w:firstLineChars="196"/>
        <w:rPr>
          <w:rFonts w:eastAsia="方正仿宋_GBK"/>
          <w:kern w:val="0"/>
          <w:sz w:val="32"/>
          <w:szCs w:val="32"/>
        </w:rPr>
      </w:pPr>
      <w:r>
        <w:rPr>
          <w:rFonts w:eastAsia="方正仿宋_GBK"/>
          <w:kern w:val="0"/>
          <w:sz w:val="32"/>
          <w:szCs w:val="32"/>
        </w:rPr>
        <w:t>（三）国家和省级重点工程的施工现场。</w:t>
      </w:r>
    </w:p>
    <w:p w14:paraId="5320F597">
      <w:pPr>
        <w:spacing w:line="579" w:lineRule="exact"/>
        <w:ind w:firstLine="627" w:firstLineChars="196"/>
        <w:rPr>
          <w:rFonts w:eastAsia="方正黑体_GBK"/>
          <w:kern w:val="0"/>
          <w:sz w:val="32"/>
          <w:szCs w:val="32"/>
        </w:rPr>
      </w:pPr>
      <w:r>
        <w:rPr>
          <w:rFonts w:eastAsia="方正黑体_GBK"/>
          <w:kern w:val="0"/>
          <w:sz w:val="32"/>
          <w:szCs w:val="32"/>
        </w:rPr>
        <w:t>十一、其他发生火灾可能性较大以及一旦发生火灾可能造成人身重大伤亡或者财产重大损失的单位</w:t>
      </w:r>
    </w:p>
    <w:p w14:paraId="39B081A9">
      <w:pPr>
        <w:spacing w:line="579" w:lineRule="exact"/>
        <w:ind w:firstLine="627" w:firstLineChars="196"/>
        <w:rPr>
          <w:rFonts w:eastAsia="方正仿宋_GBK"/>
          <w:kern w:val="0"/>
          <w:sz w:val="32"/>
          <w:szCs w:val="32"/>
        </w:rPr>
      </w:pPr>
      <w:r>
        <w:rPr>
          <w:rFonts w:eastAsia="方正仿宋_GBK"/>
          <w:kern w:val="0"/>
          <w:sz w:val="32"/>
          <w:szCs w:val="32"/>
        </w:rPr>
        <w:t>（一）科研实验中具有火灾危险性的省部级以上科研单位；</w:t>
      </w:r>
    </w:p>
    <w:p w14:paraId="4A3D3CF8">
      <w:pPr>
        <w:spacing w:line="579" w:lineRule="exact"/>
        <w:ind w:firstLine="627" w:firstLineChars="196"/>
        <w:rPr>
          <w:rFonts w:eastAsia="方正仿宋_GBK"/>
          <w:kern w:val="0"/>
          <w:sz w:val="32"/>
          <w:szCs w:val="32"/>
        </w:rPr>
      </w:pPr>
      <w:r>
        <w:rPr>
          <w:rFonts w:eastAsia="方正仿宋_GBK"/>
          <w:kern w:val="0"/>
          <w:sz w:val="32"/>
          <w:szCs w:val="32"/>
        </w:rPr>
        <w:t>（二）二级分行以上的银行，市级以上的非银行金融机构；</w:t>
      </w:r>
    </w:p>
    <w:p w14:paraId="23C7C59E">
      <w:pPr>
        <w:spacing w:line="579" w:lineRule="exact"/>
        <w:ind w:firstLine="627" w:firstLineChars="196"/>
        <w:rPr>
          <w:rFonts w:eastAsia="方正仿宋_GBK"/>
          <w:kern w:val="0"/>
          <w:sz w:val="32"/>
          <w:szCs w:val="32"/>
        </w:rPr>
      </w:pPr>
      <w:r>
        <w:rPr>
          <w:rFonts w:eastAsia="方正仿宋_GBK"/>
          <w:kern w:val="0"/>
          <w:sz w:val="32"/>
          <w:szCs w:val="32"/>
        </w:rPr>
        <w:t>（三）除劳动密集型企业外，单体建筑内人员密集场所总建筑面积之和3000平方米以上或任一层人员密集场所总建筑面积之和1500平方米以上的综合楼；</w:t>
      </w:r>
    </w:p>
    <w:p w14:paraId="57C969A5">
      <w:r>
        <w:rPr>
          <w:rFonts w:eastAsia="方正仿宋_GBK"/>
          <w:kern w:val="0"/>
          <w:sz w:val="32"/>
          <w:szCs w:val="32"/>
        </w:rPr>
        <w:t>（四）其他发生火灾可能性较大以及一旦发生火灾可能造成人身重大伤亡或者财产重大损失的单位。</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3213D"/>
    <w:rsid w:val="7DE32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2025-02-11T02:23:00Z</dcterms:created>
  <dc:creator>Administrator</dc:creator>
  <cp:lastModifiedBy>Administrator</cp:lastModifiedBy>
  <dcterms:modified xsi:type="dcterms:W3CDTF">2025-02-11T02:24:56Z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64178F998FD64B35BC04B9D1BBE953D9_11</vt:lpwstr>
  </property>
  <property fmtid="{D5CDD505-2E9C-101B-9397-08002B2CF9AE}" pid="4" name="KSOTemplateDocerSaveRecord">
    <vt:lpwstr>eyJoZGlkIjoiNzBhYjQ4YmU4NWVhODQzOGZkMTY0NGEyMzZjYTAzZmQifQ==</vt:lpwstr>
  </property>
</Properties>
</file>