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59205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bookmarkStart w:id="0" w:name="_GoBack"/>
      <w:bookmarkEnd w:id="0"/>
    </w:p>
    <w:p w14:paraId="572AC84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791FEF4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仿宋" w:hAnsi="仿宋" w:eastAsia="仿宋" w:cs="仿宋"/>
          <w:color w:val="auto"/>
          <w:sz w:val="32"/>
          <w:szCs w:val="32"/>
        </w:rPr>
      </w:pPr>
    </w:p>
    <w:p w14:paraId="0300328B">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66</w:t>
      </w:r>
      <w:r>
        <w:rPr>
          <w:rFonts w:hint="eastAsia" w:ascii="仿宋" w:hAnsi="仿宋" w:eastAsia="仿宋" w:cs="仿宋"/>
          <w:color w:val="auto"/>
          <w:sz w:val="32"/>
          <w:szCs w:val="32"/>
        </w:rPr>
        <w:t>号</w:t>
      </w:r>
    </w:p>
    <w:p w14:paraId="68E06EA0">
      <w:pPr>
        <w:spacing w:line="600" w:lineRule="exact"/>
        <w:jc w:val="center"/>
        <w:rPr>
          <w:rFonts w:ascii="仿宋" w:hAnsi="仿宋" w:eastAsia="仿宋" w:cs="仿宋"/>
          <w:color w:val="auto"/>
          <w:sz w:val="32"/>
          <w:szCs w:val="32"/>
        </w:rPr>
      </w:pPr>
    </w:p>
    <w:p w14:paraId="0456D7DB">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p>
    <w:p w14:paraId="7EA2E0C6">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关于《衡南县辰宇煤矸石加工厂资源化利用珠晖区原中盐天友及学宫路遗留废渣技术</w:t>
      </w:r>
    </w:p>
    <w:p w14:paraId="5F18735A">
      <w:pPr>
        <w:keepNext w:val="0"/>
        <w:keepLines w:val="0"/>
        <w:pageBreakBefore w:val="0"/>
        <w:widowControl w:val="0"/>
        <w:kinsoku/>
        <w:wordWrap/>
        <w:overflowPunct/>
        <w:topLinePunct w:val="0"/>
        <w:autoSpaceDE w:val="0"/>
        <w:autoSpaceDN w:val="0"/>
        <w:bidi w:val="0"/>
        <w:adjustRightInd/>
        <w:snapToGrid/>
        <w:spacing w:line="660" w:lineRule="exact"/>
        <w:ind w:firstLine="0" w:firstLineChars="0"/>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改造项目环境影响报告表》的批复</w:t>
      </w:r>
    </w:p>
    <w:p w14:paraId="1601E844">
      <w:pPr>
        <w:ind w:firstLine="0" w:firstLineChars="0"/>
        <w:jc w:val="left"/>
        <w:rPr>
          <w:rFonts w:hint="eastAsia" w:ascii="仿宋" w:hAnsi="仿宋" w:eastAsia="仿宋" w:cs="仿宋"/>
          <w:color w:val="000000" w:themeColor="text1"/>
          <w:sz w:val="32"/>
          <w:szCs w:val="32"/>
          <w14:textFill>
            <w14:solidFill>
              <w14:schemeClr w14:val="tx1"/>
            </w14:solidFill>
          </w14:textFill>
        </w:rPr>
      </w:pPr>
    </w:p>
    <w:p w14:paraId="232AA36B">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0" w:firstLineChars="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衡南县辰宇煤矸石加工厂：</w:t>
      </w:r>
    </w:p>
    <w:p w14:paraId="45FD6409">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你公司报送的《衡南县辰宇煤矸石加工厂资源化利用珠晖区原中盐天友及学宫路遗留废渣技术改造项目环境影响报告表》(报批稿)及专家组评审意见均已收悉，经研究，批复如下：</w:t>
      </w:r>
    </w:p>
    <w:p w14:paraId="53BB848B">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一、项目技术改造的主要内容：衡南县辰宇煤矸石加工厂坐落于衡南县咸塘镇柴冲村沙子珑组，2011年建成年产3000万块烧结页岩砖</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一烘两烧</w:t>
      </w:r>
      <w:r>
        <w:rPr>
          <w:rFonts w:hint="eastAsia" w:ascii="仿宋_GB2312" w:hAnsi="仿宋_GB2312" w:eastAsia="仿宋_GB2312" w:cs="仿宋_GB2312"/>
          <w:color w:val="000000" w:themeColor="text1"/>
          <w:sz w:val="32"/>
          <w:szCs w:val="32"/>
          <w14:textFill>
            <w14:solidFill>
              <w14:schemeClr w14:val="tx1"/>
            </w14:solidFill>
          </w14:textFill>
        </w:rPr>
        <w:t>隧道窑生产线</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2016年3月在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原</w:t>
      </w:r>
      <w:r>
        <w:rPr>
          <w:rFonts w:hint="eastAsia" w:ascii="仿宋_GB2312" w:hAnsi="仿宋_GB2312" w:eastAsia="仿宋_GB2312" w:cs="仿宋_GB2312"/>
          <w:color w:val="000000" w:themeColor="text1"/>
          <w:sz w:val="32"/>
          <w:szCs w:val="32"/>
          <w14:textFill>
            <w14:solidFill>
              <w14:schemeClr w14:val="tx1"/>
            </w14:solidFill>
          </w14:textFill>
        </w:rPr>
        <w:t>衡南县</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环境保护</w:t>
      </w:r>
      <w:r>
        <w:rPr>
          <w:rFonts w:hint="eastAsia" w:ascii="仿宋_GB2312" w:hAnsi="仿宋_GB2312" w:eastAsia="仿宋_GB2312" w:cs="仿宋_GB2312"/>
          <w:color w:val="000000" w:themeColor="text1"/>
          <w:sz w:val="32"/>
          <w:szCs w:val="32"/>
          <w14:textFill>
            <w14:solidFill>
              <w14:schemeClr w14:val="tx1"/>
            </w14:solidFill>
          </w14:textFill>
        </w:rPr>
        <w:t>局</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完成环评</w:t>
      </w:r>
      <w:r>
        <w:rPr>
          <w:rFonts w:hint="eastAsia" w:ascii="仿宋_GB2312" w:hAnsi="仿宋_GB2312" w:eastAsia="仿宋_GB2312" w:cs="仿宋_GB2312"/>
          <w:color w:val="000000" w:themeColor="text1"/>
          <w:sz w:val="32"/>
          <w:szCs w:val="32"/>
          <w14:textFill>
            <w14:solidFill>
              <w14:schemeClr w14:val="tx1"/>
            </w14:solidFill>
          </w14:textFill>
        </w:rPr>
        <w:t>备案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手续，2020年5月取得排污许可证（证号：91430422MA4L4RBD5R001V）</w:t>
      </w:r>
      <w:r>
        <w:rPr>
          <w:rFonts w:hint="eastAsia" w:ascii="仿宋_GB2312" w:hAnsi="仿宋_GB2312" w:eastAsia="仿宋_GB2312" w:cs="仿宋_GB2312"/>
          <w:color w:val="000000" w:themeColor="text1"/>
          <w:sz w:val="32"/>
          <w:szCs w:val="32"/>
          <w14:textFill>
            <w14:solidFill>
              <w14:schemeClr w14:val="tx1"/>
            </w14:solidFill>
          </w14:textFill>
        </w:rPr>
        <w:t>。衡南县辰宇煤矸石加工厂</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本次技术改造主要是</w:t>
      </w:r>
      <w:r>
        <w:rPr>
          <w:rFonts w:hint="eastAsia" w:ascii="仿宋_GB2312" w:hAnsi="仿宋_GB2312" w:eastAsia="仿宋_GB2312" w:cs="仿宋_GB2312"/>
          <w:color w:val="000000" w:themeColor="text1"/>
          <w:sz w:val="32"/>
          <w:szCs w:val="32"/>
          <w14:textFill>
            <w14:solidFill>
              <w14:schemeClr w14:val="tx1"/>
            </w14:solidFill>
          </w14:textFill>
        </w:rPr>
        <w:t>拟投资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75</w:t>
      </w:r>
      <w:r>
        <w:rPr>
          <w:rFonts w:hint="eastAsia" w:ascii="仿宋_GB2312" w:hAnsi="仿宋_GB2312" w:eastAsia="仿宋_GB2312" w:cs="仿宋_GB2312"/>
          <w:color w:val="000000" w:themeColor="text1"/>
          <w:sz w:val="32"/>
          <w:szCs w:val="32"/>
          <w:lang w:val="en-US"/>
          <w14:textFill>
            <w14:solidFill>
              <w14:schemeClr w14:val="tx1"/>
            </w14:solidFill>
          </w14:textFill>
        </w:rPr>
        <w:t>.8</w:t>
      </w:r>
      <w:r>
        <w:rPr>
          <w:rFonts w:hint="eastAsia" w:ascii="仿宋_GB2312" w:hAnsi="仿宋_GB2312" w:eastAsia="仿宋_GB2312" w:cs="仿宋_GB2312"/>
          <w:color w:val="000000" w:themeColor="text1"/>
          <w:sz w:val="32"/>
          <w:szCs w:val="32"/>
          <w14:textFill>
            <w14:solidFill>
              <w14:schemeClr w14:val="tx1"/>
            </w14:solidFill>
          </w14:textFill>
        </w:rPr>
        <w:t>万元依托现有生产线，不新增</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用</w:t>
      </w:r>
      <w:r>
        <w:rPr>
          <w:rFonts w:hint="eastAsia" w:ascii="仿宋_GB2312" w:hAnsi="仿宋_GB2312" w:eastAsia="仿宋_GB2312" w:cs="仿宋_GB2312"/>
          <w:color w:val="000000" w:themeColor="text1"/>
          <w:sz w:val="32"/>
          <w:szCs w:val="32"/>
          <w14:textFill>
            <w14:solidFill>
              <w14:schemeClr w14:val="tx1"/>
            </w14:solidFill>
          </w14:textFill>
        </w:rPr>
        <w:t>地，不增加生产规模，只</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w:t>
      </w:r>
      <w:r>
        <w:rPr>
          <w:rFonts w:hint="eastAsia" w:ascii="仿宋_GB2312" w:hAnsi="仿宋_GB2312" w:eastAsia="仿宋_GB2312" w:cs="仿宋_GB2312"/>
          <w:color w:val="000000" w:themeColor="text1"/>
          <w:sz w:val="32"/>
          <w:szCs w:val="32"/>
          <w14:textFill>
            <w14:solidFill>
              <w14:schemeClr w14:val="tx1"/>
            </w14:solidFill>
          </w14:textFill>
        </w:rPr>
        <w:t>原料</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中按一定比例</w:t>
      </w:r>
      <w:r>
        <w:rPr>
          <w:rFonts w:hint="eastAsia" w:ascii="仿宋_GB2312" w:hAnsi="仿宋_GB2312" w:eastAsia="仿宋_GB2312" w:cs="仿宋_GB2312"/>
          <w:color w:val="000000" w:themeColor="text1"/>
          <w:sz w:val="32"/>
          <w:szCs w:val="32"/>
          <w14:textFill>
            <w14:solidFill>
              <w14:schemeClr w14:val="tx1"/>
            </w14:solidFill>
          </w14:textFill>
        </w:rPr>
        <w:t>掺配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属于</w:t>
      </w:r>
      <w:r>
        <w:rPr>
          <w:rFonts w:hint="eastAsia" w:ascii="仿宋_GB2312" w:hAnsi="仿宋_GB2312" w:eastAsia="仿宋_GB2312" w:cs="仿宋_GB2312"/>
          <w:color w:val="000000" w:themeColor="text1"/>
          <w:sz w:val="32"/>
          <w:szCs w:val="32"/>
          <w14:textFill>
            <w14:solidFill>
              <w14:schemeClr w14:val="tx1"/>
            </w14:solidFill>
          </w14:textFill>
        </w:rPr>
        <w:t>一般固废</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总利用量</w:t>
      </w:r>
      <w:r>
        <w:rPr>
          <w:rFonts w:hint="eastAsia" w:ascii="仿宋_GB2312" w:hAnsi="仿宋_GB2312" w:eastAsia="仿宋_GB2312" w:cs="仿宋_GB2312"/>
          <w:color w:val="000000" w:themeColor="text1"/>
          <w:sz w:val="32"/>
          <w:szCs w:val="32"/>
          <w:lang w:val="en-US"/>
          <w14:textFill>
            <w14:solidFill>
              <w14:schemeClr w14:val="tx1"/>
            </w14:solidFill>
          </w14:textFill>
        </w:rPr>
        <w:t>0.675</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该遗留废渣于</w:t>
      </w:r>
      <w:r>
        <w:rPr>
          <w:rFonts w:hint="eastAsia" w:ascii="仿宋_GB2312" w:hAnsi="仿宋_GB2312" w:eastAsia="仿宋_GB2312" w:cs="仿宋_GB2312"/>
          <w:color w:val="000000" w:themeColor="text1"/>
          <w:sz w:val="32"/>
          <w:szCs w:val="32"/>
          <w14:textFill>
            <w14:solidFill>
              <w14:schemeClr w14:val="tx1"/>
            </w14:solidFill>
          </w14:textFill>
        </w:rPr>
        <w:t>2024年6月获得衡阳市生态环境局关于《衡阳市珠晖区原中盐天友化工有限公司及学宫路附近遗留废渣整治项目实施方案》的审查意见</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。技术改造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主要</w:t>
      </w:r>
      <w:r>
        <w:rPr>
          <w:rFonts w:hint="eastAsia" w:ascii="仿宋_GB2312" w:hAnsi="仿宋_GB2312" w:eastAsia="仿宋_GB2312" w:cs="仿宋_GB2312"/>
          <w:color w:val="000000" w:themeColor="text1"/>
          <w:sz w:val="32"/>
          <w:szCs w:val="32"/>
          <w14:textFill>
            <w14:solidFill>
              <w14:schemeClr w14:val="tx1"/>
            </w14:solidFill>
          </w14:textFill>
        </w:rPr>
        <w:t>内容：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掺配</w:t>
      </w:r>
      <w:r>
        <w:rPr>
          <w:rFonts w:hint="eastAsia" w:ascii="仿宋_GB2312" w:hAnsi="仿宋_GB2312" w:eastAsia="仿宋_GB2312" w:cs="仿宋_GB2312"/>
          <w:color w:val="000000" w:themeColor="text1"/>
          <w:sz w:val="32"/>
          <w:szCs w:val="32"/>
          <w:lang w:val="en-US"/>
          <w14:textFill>
            <w14:solidFill>
              <w14:schemeClr w14:val="tx1"/>
            </w14:solidFill>
          </w14:textFill>
        </w:rPr>
        <w:t>0.675</w:t>
      </w:r>
      <w:r>
        <w:rPr>
          <w:rFonts w:hint="eastAsia" w:ascii="仿宋_GB2312" w:hAnsi="仿宋_GB2312" w:eastAsia="仿宋_GB2312" w:cs="仿宋_GB2312"/>
          <w:color w:val="000000" w:themeColor="text1"/>
          <w:sz w:val="32"/>
          <w:szCs w:val="32"/>
          <w14:textFill>
            <w14:solidFill>
              <w14:schemeClr w14:val="tx1"/>
            </w14:solidFill>
          </w14:textFill>
        </w:rPr>
        <w:t>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吨原珠晖区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作为原料，</w:t>
      </w:r>
      <w:r>
        <w:rPr>
          <w:rFonts w:hint="eastAsia" w:ascii="仿宋_GB2312" w:hAnsi="仿宋_GB2312" w:eastAsia="仿宋_GB2312" w:cs="仿宋_GB2312"/>
          <w:color w:val="000000" w:themeColor="text1"/>
          <w:sz w:val="32"/>
          <w:szCs w:val="32"/>
          <w14:textFill>
            <w14:solidFill>
              <w14:schemeClr w14:val="tx1"/>
            </w14:solidFill>
          </w14:textFill>
        </w:rPr>
        <w:t>新建原料堆棚（1000</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），新建一般固废贮存场（1300m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改造脱硫塔排气筒高度增至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30</w:t>
      </w:r>
      <w:r>
        <w:rPr>
          <w:rFonts w:hint="eastAsia" w:ascii="仿宋_GB2312" w:hAnsi="仿宋_GB2312" w:eastAsia="仿宋_GB2312" w:cs="仿宋_GB2312"/>
          <w:color w:val="000000" w:themeColor="text1"/>
          <w:sz w:val="32"/>
          <w:szCs w:val="32"/>
          <w14:textFill>
            <w14:solidFill>
              <w14:schemeClr w14:val="tx1"/>
            </w14:solidFill>
          </w14:textFill>
        </w:rPr>
        <w:t>m，新建烟气在线监控设备。该技术改造项目环境影响报告表提出的污染防治措施客观可行，从环保角度分析，同意该技术改造项目建设。</w:t>
      </w:r>
    </w:p>
    <w:p w14:paraId="4E575EDF">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14:textFill>
            <w14:solidFill>
              <w14:schemeClr w14:val="tx1"/>
            </w14:solidFill>
          </w14:textFill>
        </w:rPr>
        <w:t>在项目建设和运行中，必须严格执行环保法律法规，认真落实报告表提出的各项污染防治措施，并着重做好以下工作：</w:t>
      </w:r>
    </w:p>
    <w:p w14:paraId="20E0FB05">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w:t>
      </w:r>
      <w:r>
        <w:rPr>
          <w:rFonts w:hint="eastAsia" w:ascii="仿宋_GB2312" w:hAnsi="仿宋_GB2312" w:eastAsia="仿宋_GB2312" w:cs="仿宋_GB2312"/>
          <w:color w:val="000000" w:themeColor="text1"/>
          <w:sz w:val="32"/>
          <w:szCs w:val="32"/>
          <w14:textFill>
            <w14:solidFill>
              <w14:schemeClr w14:val="tx1"/>
            </w14:solidFill>
          </w14:textFill>
        </w:rPr>
        <w:t>严格落实大气污染防治措施。破碎、筛分粉尘经集尘罩收集后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由</w:t>
      </w:r>
      <w:r>
        <w:rPr>
          <w:rFonts w:hint="eastAsia" w:ascii="仿宋_GB2312" w:hAnsi="仿宋_GB2312" w:eastAsia="仿宋_GB2312" w:cs="仿宋_GB2312"/>
          <w:color w:val="000000" w:themeColor="text1"/>
          <w:sz w:val="32"/>
          <w:szCs w:val="32"/>
          <w14:textFill>
            <w14:solidFill>
              <w14:schemeClr w14:val="tx1"/>
            </w14:solidFill>
          </w14:textFill>
        </w:rPr>
        <w:t>布袋除尘器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处理再通过</w:t>
      </w:r>
      <w:r>
        <w:rPr>
          <w:rFonts w:hint="eastAsia" w:ascii="仿宋_GB2312" w:hAnsi="仿宋_GB2312" w:eastAsia="仿宋_GB2312" w:cs="仿宋_GB2312"/>
          <w:color w:val="000000" w:themeColor="text1"/>
          <w:sz w:val="32"/>
          <w:szCs w:val="32"/>
          <w14:textFill>
            <w14:solidFill>
              <w14:schemeClr w14:val="tx1"/>
            </w14:solidFill>
          </w14:textFill>
        </w:rPr>
        <w:t>15m排气筒（DA001）达标排放；隧道窑烟气经风机引入双碱脱硫除尘设施处理后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通过</w:t>
      </w:r>
      <w:r>
        <w:rPr>
          <w:rFonts w:hint="eastAsia" w:ascii="仿宋_GB2312" w:hAnsi="仿宋_GB2312" w:eastAsia="仿宋_GB2312" w:cs="仿宋_GB2312"/>
          <w:color w:val="000000" w:themeColor="text1"/>
          <w:sz w:val="32"/>
          <w:szCs w:val="32"/>
          <w:lang w:val="en-US"/>
          <w14:textFill>
            <w14:solidFill>
              <w14:schemeClr w14:val="tx1"/>
            </w14:solidFill>
          </w14:textFill>
        </w:rPr>
        <w:t>30</w:t>
      </w:r>
      <w:r>
        <w:rPr>
          <w:rFonts w:hint="eastAsia" w:ascii="仿宋_GB2312" w:hAnsi="仿宋_GB2312" w:eastAsia="仿宋_GB2312" w:cs="仿宋_GB2312"/>
          <w:color w:val="000000" w:themeColor="text1"/>
          <w:sz w:val="32"/>
          <w:szCs w:val="32"/>
          <w14:textFill>
            <w14:solidFill>
              <w14:schemeClr w14:val="tx1"/>
            </w14:solidFill>
          </w14:textFill>
        </w:rPr>
        <w:t>m排气筒（DA002）达标排放；原料堆场粉尘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通过采取围挡、</w:t>
      </w:r>
      <w:r>
        <w:rPr>
          <w:rFonts w:hint="eastAsia" w:ascii="仿宋_GB2312" w:hAnsi="仿宋_GB2312" w:eastAsia="仿宋_GB2312" w:cs="仿宋_GB2312"/>
          <w:color w:val="000000" w:themeColor="text1"/>
          <w:sz w:val="32"/>
          <w:szCs w:val="32"/>
          <w14:textFill>
            <w14:solidFill>
              <w14:schemeClr w14:val="tx1"/>
            </w14:solidFill>
          </w14:textFill>
        </w:rPr>
        <w:t>配备炮雾机、洒水抑尘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等措施，无组织达标排放</w:t>
      </w:r>
      <w:r>
        <w:rPr>
          <w:rFonts w:hint="eastAsia" w:ascii="仿宋_GB2312" w:hAnsi="仿宋_GB2312" w:eastAsia="仿宋_GB2312" w:cs="仿宋_GB2312"/>
          <w:color w:val="000000" w:themeColor="text1"/>
          <w:sz w:val="32"/>
          <w:szCs w:val="32"/>
          <w14:textFill>
            <w14:solidFill>
              <w14:schemeClr w14:val="tx1"/>
            </w14:solidFill>
          </w14:textFill>
        </w:rPr>
        <w:t>；运输扬尘采取减速慢行、洒水抑尘、加盖篷布运输等措施减少扬尘。</w:t>
      </w:r>
    </w:p>
    <w:p w14:paraId="2058F304">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严格落实水污染防治措施。厂区采取雨污分流；初期雨水收集后用于厂区洒水降尘；生活污水经化粪池处理后用做农肥，不排放。</w:t>
      </w:r>
    </w:p>
    <w:p w14:paraId="7E641F88">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加强各类固废管理，并采取有效措施防止二次污染。</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建立原珠晖区</w:t>
      </w:r>
      <w:r>
        <w:rPr>
          <w:rFonts w:hint="eastAsia" w:ascii="仿宋_GB2312" w:hAnsi="仿宋_GB2312" w:eastAsia="仿宋_GB2312" w:cs="仿宋_GB2312"/>
          <w:color w:val="000000" w:themeColor="text1"/>
          <w:sz w:val="32"/>
          <w:szCs w:val="32"/>
          <w14:textFill>
            <w14:solidFill>
              <w14:schemeClr w14:val="tx1"/>
            </w14:solidFill>
          </w14:textFill>
        </w:rPr>
        <w:t>中盐天友化工有限公司及学宫路遗留废渣转运台账。生活垃圾由当地环卫部门统一清运处理；废砖坯、废砖及除尘器收集的粉尘、沉淀池沉渣等均回用于生产；废机油收集暂存危废间定期委托有危废经营资质单位进行处置，并办理好危险废物转移手续。一般工业固废暂存间按照《一般工业固体废物贮存和填埋污染控制标准》(GB18599-2020)要求建设；危险废物暂存间严格按照《危险废物贮存污染控制标准》(GB18597-2023)要求建设。</w:t>
      </w:r>
    </w:p>
    <w:p w14:paraId="7228819C">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做好噪声污染控制工作。项目生产设备噪声通过厂房隔噪，选用低噪声设备，采取消声减振并对设备合理布置等措施，确保营运期厂界噪声达到《工业企业厂界环境噪声排放标准》(GB12348-2008)中的2类标准限值要求。</w:t>
      </w:r>
    </w:p>
    <w:p w14:paraId="397E2CEC">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w:t>
      </w:r>
      <w:r>
        <w:rPr>
          <w:rFonts w:hint="eastAsia" w:ascii="仿宋_GB2312" w:hAnsi="仿宋_GB2312" w:eastAsia="仿宋_GB2312" w:cs="仿宋_GB2312"/>
          <w:color w:val="000000" w:themeColor="text1"/>
          <w:sz w:val="32"/>
          <w:szCs w:val="32"/>
          <w14:textFill>
            <w14:solidFill>
              <w14:schemeClr w14:val="tx1"/>
            </w14:solidFill>
          </w14:textFill>
        </w:rPr>
        <w:t>加强日常环境管理。建设单位应安排专职环保管理人员，建立健全环境管理制度，制定有效的风险防范措施和应急预案，防止发生环境风险事故。</w:t>
      </w:r>
    </w:p>
    <w:p w14:paraId="74F87584">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56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w:t>
      </w:r>
      <w:r>
        <w:rPr>
          <w:rFonts w:hint="eastAsia" w:ascii="仿宋_GB2312" w:hAnsi="仿宋_GB2312" w:eastAsia="仿宋_GB2312" w:cs="仿宋_GB2312"/>
          <w:color w:val="000000" w:themeColor="text1"/>
          <w:sz w:val="32"/>
          <w:szCs w:val="32"/>
          <w14:textFill>
            <w14:solidFill>
              <w14:schemeClr w14:val="tx1"/>
            </w14:solidFill>
          </w14:textFill>
        </w:rPr>
        <w:t>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11E27523">
      <w:pPr>
        <w:keepNext w:val="0"/>
        <w:keepLines w:val="0"/>
        <w:pageBreakBefore w:val="0"/>
        <w:widowControl w:val="0"/>
        <w:kinsoku/>
        <w:wordWrap/>
        <w:overflowPunct/>
        <w:topLinePunct w:val="0"/>
        <w:autoSpaceDE w:val="0"/>
        <w:autoSpaceDN w:val="0"/>
        <w:bidi w:val="0"/>
        <w:adjustRightInd/>
        <w:snapToGrid/>
        <w:spacing w:line="580" w:lineRule="exact"/>
        <w:ind w:left="0" w:leftChars="0" w:firstLine="4480" w:firstLineChars="14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14:paraId="6FF64995">
      <w:pPr>
        <w:keepNext w:val="0"/>
        <w:keepLines w:val="0"/>
        <w:pageBreakBefore w:val="0"/>
        <w:widowControl w:val="0"/>
        <w:kinsoku/>
        <w:wordWrap/>
        <w:overflowPunct/>
        <w:topLinePunct w:val="0"/>
        <w:autoSpaceDE w:val="0"/>
        <w:autoSpaceDN w:val="0"/>
        <w:bidi w:val="0"/>
        <w:adjustRightInd/>
        <w:snapToGrid/>
        <w:spacing w:line="580" w:lineRule="exact"/>
        <w:ind w:left="0" w:leftChars="0" w:right="480" w:rightChars="200" w:firstLine="5120" w:firstLineChars="1600"/>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衡阳市生态环境局 </w:t>
      </w:r>
    </w:p>
    <w:p w14:paraId="4800AAFF">
      <w:pPr>
        <w:keepNext w:val="0"/>
        <w:keepLines w:val="0"/>
        <w:pageBreakBefore w:val="0"/>
        <w:widowControl w:val="0"/>
        <w:kinsoku/>
        <w:wordWrap/>
        <w:overflowPunct/>
        <w:topLinePunct w:val="0"/>
        <w:autoSpaceDE w:val="0"/>
        <w:autoSpaceDN w:val="0"/>
        <w:bidi w:val="0"/>
        <w:adjustRightInd/>
        <w:snapToGrid/>
        <w:spacing w:line="580" w:lineRule="exact"/>
        <w:ind w:left="0" w:leftChars="0" w:right="480" w:rightChars="200" w:firstLine="5120" w:firstLineChars="160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2024年</w:t>
      </w:r>
      <w:r>
        <w:rPr>
          <w:rFonts w:hint="eastAsia" w:ascii="仿宋_GB2312" w:hAnsi="仿宋_GB2312" w:eastAsia="仿宋_GB2312" w:cs="仿宋_GB2312"/>
          <w:color w:val="000000" w:themeColor="text1"/>
          <w:sz w:val="32"/>
          <w:szCs w:val="32"/>
          <w:lang w:val="en-US"/>
          <w14:textFill>
            <w14:solidFill>
              <w14:schemeClr w14:val="tx1"/>
            </w14:solidFill>
          </w14:textFill>
        </w:rPr>
        <w:t>12</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14:textFill>
            <w14:solidFill>
              <w14:schemeClr w14:val="tx1"/>
            </w14:solidFill>
          </w14:textFill>
        </w:rPr>
        <w:t>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14:textFill>
            <w14:solidFill>
              <w14:schemeClr w14:val="tx1"/>
            </w14:solidFill>
          </w14:textFill>
        </w:rPr>
        <w:t>日</w:t>
      </w:r>
    </w:p>
    <w:sectPr>
      <w:headerReference r:id="rId7" w:type="first"/>
      <w:footerReference r:id="rId10" w:type="first"/>
      <w:headerReference r:id="rId5" w:type="default"/>
      <w:footerReference r:id="rId8" w:type="default"/>
      <w:headerReference r:id="rId6" w:type="even"/>
      <w:footerReference r:id="rId9" w:type="even"/>
      <w:pgSz w:w="11906" w:h="16838"/>
      <w:pgMar w:top="1701" w:right="1701" w:bottom="1701" w:left="1701" w:header="851" w:footer="992" w:gutter="0"/>
      <w:paperSrc/>
      <w:cols w:space="0" w:num="1"/>
      <w:rtlGutter w:val="0"/>
      <w:docGrid w:type="lines" w:linePitch="32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2745D">
    <w:pPr>
      <w:pStyle w:val="4"/>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4EE7EAA">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34EE7EAA">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3B564">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4571C">
    <w:pPr>
      <w:pStyle w:val="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59D37">
    <w:pPr>
      <w:pStyle w:val="5"/>
      <w:pBdr>
        <w:bottom w:val="none" w:color="auto" w:sz="0" w:space="1"/>
      </w:pBdr>
      <w:tabs>
        <w:tab w:val="left" w:pos="472"/>
      </w:tabs>
      <w:ind w:firstLine="360"/>
      <w:jc w:val="left"/>
      <w:rPr>
        <w:rFonts w:hint="eastAsia" w:eastAsia="宋体"/>
        <w:lang w:eastAsia="zh-CN"/>
      </w:rPr>
    </w:pPr>
    <w:r>
      <w:rPr>
        <w:rFonts w:hint="eastAsia"/>
        <w:lang w:eastAsia="zh-CN"/>
      </w:rPr>
      <w:tab/>
    </w:r>
    <w:r>
      <w:rPr>
        <w:rFonts w:hint="eastAsia"/>
        <w:lang w:eastAsia="zh-CN"/>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9F34E">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6463">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64"/>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4E22"/>
    <w:rsid w:val="00084E22"/>
    <w:rsid w:val="000878A0"/>
    <w:rsid w:val="000F62D9"/>
    <w:rsid w:val="00262C52"/>
    <w:rsid w:val="004748E9"/>
    <w:rsid w:val="005969B1"/>
    <w:rsid w:val="006E7DC0"/>
    <w:rsid w:val="00783453"/>
    <w:rsid w:val="007F0C4A"/>
    <w:rsid w:val="008A7184"/>
    <w:rsid w:val="008B7C6F"/>
    <w:rsid w:val="00A777BA"/>
    <w:rsid w:val="00AC14AE"/>
    <w:rsid w:val="00B976C5"/>
    <w:rsid w:val="00BD347F"/>
    <w:rsid w:val="00C60B94"/>
    <w:rsid w:val="00D11856"/>
    <w:rsid w:val="00D703AE"/>
    <w:rsid w:val="04B073F7"/>
    <w:rsid w:val="0A150130"/>
    <w:rsid w:val="106A6FF4"/>
    <w:rsid w:val="10E66437"/>
    <w:rsid w:val="11CC15E8"/>
    <w:rsid w:val="13CE4A89"/>
    <w:rsid w:val="14465682"/>
    <w:rsid w:val="147966E6"/>
    <w:rsid w:val="16B27132"/>
    <w:rsid w:val="188F7A9E"/>
    <w:rsid w:val="1BD45C69"/>
    <w:rsid w:val="1D631052"/>
    <w:rsid w:val="1DA60B64"/>
    <w:rsid w:val="1F316F2E"/>
    <w:rsid w:val="25057744"/>
    <w:rsid w:val="2509042D"/>
    <w:rsid w:val="26A81E60"/>
    <w:rsid w:val="277465D4"/>
    <w:rsid w:val="27C41CE4"/>
    <w:rsid w:val="292606E9"/>
    <w:rsid w:val="2EC658E5"/>
    <w:rsid w:val="2F5C5965"/>
    <w:rsid w:val="31041AFA"/>
    <w:rsid w:val="317A4765"/>
    <w:rsid w:val="333F5C66"/>
    <w:rsid w:val="366370C2"/>
    <w:rsid w:val="39911EEB"/>
    <w:rsid w:val="3B2A4FC4"/>
    <w:rsid w:val="3BD11425"/>
    <w:rsid w:val="3C1F2244"/>
    <w:rsid w:val="44EB08B2"/>
    <w:rsid w:val="45FF375F"/>
    <w:rsid w:val="4CB579F4"/>
    <w:rsid w:val="52B7716F"/>
    <w:rsid w:val="61734BA9"/>
    <w:rsid w:val="629B0027"/>
    <w:rsid w:val="64833355"/>
    <w:rsid w:val="650A75D2"/>
    <w:rsid w:val="66E46762"/>
    <w:rsid w:val="67B7688E"/>
    <w:rsid w:val="6C335661"/>
    <w:rsid w:val="6D51140F"/>
    <w:rsid w:val="73FA6ADE"/>
    <w:rsid w:val="748F386A"/>
    <w:rsid w:val="76CE3CC5"/>
    <w:rsid w:val="77361C42"/>
    <w:rsid w:val="776246DC"/>
    <w:rsid w:val="78CC028E"/>
    <w:rsid w:val="791409AF"/>
    <w:rsid w:val="7D841A70"/>
    <w:rsid w:val="7FDD17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widowControl w:val="0"/>
      <w:autoSpaceDE w:val="0"/>
      <w:autoSpaceDN w:val="0"/>
      <w:spacing w:line="360" w:lineRule="auto"/>
      <w:ind w:firstLine="643" w:firstLineChars="200"/>
      <w:jc w:val="both"/>
    </w:pPr>
    <w:rPr>
      <w:rFonts w:ascii="Times New Roman" w:hAnsi="Times New Roman" w:eastAsia="宋体" w:cs="宋体"/>
      <w:sz w:val="24"/>
      <w:szCs w:val="24"/>
      <w:lang w:val="zh-CN" w:eastAsia="zh-CN" w:bidi="zh-CN"/>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0正文唐"/>
    <w:basedOn w:val="1"/>
    <w:qFormat/>
    <w:uiPriority w:val="0"/>
    <w:pPr>
      <w:spacing w:line="360" w:lineRule="auto"/>
      <w:ind w:firstLine="720" w:firstLineChars="200"/>
      <w:jc w:val="left"/>
    </w:pPr>
    <w:rPr>
      <w:rFonts w:ascii="Times New Roman" w:hAnsi="Times New Roman" w:eastAsia="宋体" w:cs="Times New Roman"/>
      <w:sz w:val="28"/>
    </w:rPr>
  </w:style>
  <w:style w:type="paragraph" w:styleId="3">
    <w:name w:val="Body Text Indent"/>
    <w:basedOn w:val="1"/>
    <w:next w:val="1"/>
    <w:qFormat/>
    <w:uiPriority w:val="0"/>
    <w:pPr>
      <w:spacing w:after="120"/>
      <w:ind w:left="420" w:leftChars="200"/>
    </w:pPr>
    <w:rPr>
      <w:rFonts w:ascii="Arial" w:hAnsi="Arial" w:eastAsia="仿宋" w:cs="Arial"/>
      <w:snapToGrid w:val="0"/>
      <w:color w:val="000000"/>
      <w:szCs w:val="20"/>
      <w:lang w:val="en-US" w:bidi="ar-SA"/>
    </w:rPr>
  </w:style>
  <w:style w:type="paragraph" w:styleId="4">
    <w:name w:val="footer"/>
    <w:basedOn w:val="1"/>
    <w:link w:val="13"/>
    <w:qFormat/>
    <w:uiPriority w:val="0"/>
    <w:pPr>
      <w:tabs>
        <w:tab w:val="center" w:pos="4153"/>
        <w:tab w:val="right" w:pos="8306"/>
      </w:tabs>
      <w:snapToGrid w:val="0"/>
      <w:spacing w:line="240" w:lineRule="auto"/>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customStyle="1" w:styleId="8">
    <w:name w:val="图和表"/>
    <w:basedOn w:val="1"/>
    <w:qFormat/>
    <w:uiPriority w:val="0"/>
    <w:pPr>
      <w:jc w:val="center"/>
    </w:pPr>
    <w:rPr>
      <w:rFonts w:ascii="宋体" w:hAnsi="宋体"/>
      <w:b/>
      <w:bCs/>
      <w:sz w:val="21"/>
      <w:szCs w:val="21"/>
    </w:rPr>
  </w:style>
  <w:style w:type="paragraph" w:customStyle="1" w:styleId="9">
    <w:name w:val="一级标题"/>
    <w:basedOn w:val="1"/>
    <w:qFormat/>
    <w:uiPriority w:val="0"/>
    <w:pPr>
      <w:spacing w:before="283" w:line="223" w:lineRule="auto"/>
      <w:ind w:left="4195"/>
      <w:outlineLvl w:val="0"/>
    </w:pPr>
    <w:rPr>
      <w:rFonts w:ascii="宋体" w:hAnsi="宋体"/>
      <w:b/>
      <w:snapToGrid w:val="0"/>
      <w:color w:val="000000"/>
      <w:spacing w:val="3"/>
      <w:sz w:val="43"/>
      <w:szCs w:val="43"/>
    </w:rPr>
  </w:style>
  <w:style w:type="paragraph" w:customStyle="1" w:styleId="10">
    <w:name w:val="一级标题（1）"/>
    <w:basedOn w:val="1"/>
    <w:qFormat/>
    <w:uiPriority w:val="0"/>
    <w:pPr>
      <w:ind w:firstLine="0" w:firstLineChars="0"/>
      <w:jc w:val="center"/>
    </w:pPr>
    <w:rPr>
      <w:rFonts w:eastAsia="Times New Roman" w:cs="Times New Roman"/>
      <w:b/>
      <w:bCs/>
      <w:spacing w:val="2"/>
      <w:kern w:val="2"/>
      <w:sz w:val="35"/>
      <w:szCs w:val="35"/>
      <w:lang w:val="en-US" w:bidi="ar-SA"/>
    </w:rPr>
  </w:style>
  <w:style w:type="paragraph" w:customStyle="1" w:styleId="11">
    <w:name w:val="正文1"/>
    <w:basedOn w:val="1"/>
    <w:qFormat/>
    <w:uiPriority w:val="0"/>
    <w:pPr>
      <w:spacing w:before="20" w:line="377" w:lineRule="auto"/>
      <w:ind w:left="23" w:firstLine="480"/>
    </w:pPr>
    <w:rPr>
      <w:rFonts w:ascii="宋体" w:hAnsi="宋体"/>
      <w:spacing w:val="16"/>
      <w:kern w:val="2"/>
      <w:sz w:val="23"/>
      <w:szCs w:val="23"/>
      <w:lang w:val="en-US" w:bidi="ar-SA"/>
    </w:rPr>
  </w:style>
  <w:style w:type="character" w:customStyle="1" w:styleId="12">
    <w:name w:val="页眉 Char"/>
    <w:basedOn w:val="7"/>
    <w:link w:val="5"/>
    <w:qFormat/>
    <w:uiPriority w:val="0"/>
    <w:rPr>
      <w:rFonts w:ascii="Times New Roman" w:hAnsi="Times New Roman" w:eastAsia="宋体" w:cs="宋体"/>
      <w:sz w:val="18"/>
      <w:szCs w:val="18"/>
      <w:lang w:val="zh-CN" w:bidi="zh-CN"/>
    </w:rPr>
  </w:style>
  <w:style w:type="character" w:customStyle="1" w:styleId="13">
    <w:name w:val="页脚 Char"/>
    <w:basedOn w:val="7"/>
    <w:link w:val="4"/>
    <w:qFormat/>
    <w:uiPriority w:val="0"/>
    <w:rPr>
      <w:rFonts w:ascii="Times New Roman" w:hAnsi="Times New Roman" w:eastAsia="宋体" w:cs="宋体"/>
      <w:sz w:val="18"/>
      <w:szCs w:val="18"/>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1362</Words>
  <Characters>1477</Characters>
  <Lines>9</Lines>
  <Paragraphs>2</Paragraphs>
  <TotalTime>1</TotalTime>
  <ScaleCrop>false</ScaleCrop>
  <LinksUpToDate>false</LinksUpToDate>
  <CharactersWithSpaces>1483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2021-08-12T00:31:00Z</dcterms:created>
  <dc:creator>Administrator</dc:creator>
  <cp:lastModifiedBy>haiy(•̀⌄•́)</cp:lastModifiedBy>
  <cp:lastPrinted>2024-12-30T01:15:32Z</cp:lastPrinted>
  <dcterms:modified xsi:type="dcterms:W3CDTF">2024-12-30T01:17:36Z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7D08D415D4A046EBB943E810561B99FD</vt:lpwstr>
  </property>
  <property fmtid="{D5CDD505-2E9C-101B-9397-08002B2CF9AE}" pid="4" name="KSOTemplateDocerSaveRecord">
    <vt:lpwstr>eyJoZGlkIjoiOTE2OTNhMWViNzg0YzYxM2ZhZTIyNjBiMzY1NjYzYzMiLCJ1c2VySWQiOiIyNzg1Njk2NjAifQ==</vt:lpwstr>
  </property>
</Properties>
</file>