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C7E5F86">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仿宋_GB2312" w:hAnsi="仿宋_GB2312" w:eastAsia="仿宋_GB2312" w:cs="仿宋_GB2312"/>
          <w:sz w:val="32"/>
          <w:szCs w:val="32"/>
        </w:rPr>
      </w:pPr>
    </w:p>
    <w:p w14:paraId="57236BE6">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仿宋_GB2312" w:hAnsi="仿宋_GB2312" w:eastAsia="仿宋_GB2312" w:cs="仿宋_GB2312"/>
          <w:sz w:val="32"/>
          <w:szCs w:val="32"/>
        </w:rPr>
      </w:pPr>
    </w:p>
    <w:p w14:paraId="04EF36B1">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仿宋_GB2312" w:hAnsi="仿宋_GB2312" w:eastAsia="仿宋_GB2312" w:cs="仿宋_GB2312"/>
          <w:sz w:val="32"/>
          <w:szCs w:val="32"/>
        </w:rPr>
      </w:pPr>
    </w:p>
    <w:p w14:paraId="6811D97F">
      <w:pPr>
        <w:jc w:val="right"/>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衡清环审字</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2024</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54</w:t>
      </w:r>
      <w:r>
        <w:rPr>
          <w:rFonts w:hint="eastAsia" w:ascii="仿宋_GB2312" w:hAnsi="仿宋_GB2312" w:eastAsia="仿宋_GB2312" w:cs="仿宋_GB2312"/>
          <w:b w:val="0"/>
          <w:bCs w:val="0"/>
          <w:sz w:val="32"/>
          <w:szCs w:val="32"/>
        </w:rPr>
        <w:t>号</w:t>
      </w:r>
    </w:p>
    <w:p w14:paraId="0FD1DBFE">
      <w:pPr>
        <w:jc w:val="center"/>
        <w:rPr>
          <w:rFonts w:ascii="仿宋_GB2312" w:hAnsi="仿宋_GB2312" w:eastAsia="仿宋_GB2312" w:cs="仿宋_GB2312"/>
          <w:b/>
          <w:bCs/>
          <w:sz w:val="32"/>
          <w:szCs w:val="32"/>
        </w:rPr>
      </w:pPr>
    </w:p>
    <w:p w14:paraId="6C0DD1BC">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衡阳市生态环境局</w:t>
      </w:r>
      <w:bookmarkStart w:id="0" w:name="_GoBack"/>
      <w:bookmarkEnd w:id="0"/>
    </w:p>
    <w:p w14:paraId="01A38A24">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关于《衡南县栗江电灌站灌区续建配套与</w:t>
      </w:r>
    </w:p>
    <w:p w14:paraId="00F2D507">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节水改造工程项目环境影响报告表》的批复</w:t>
      </w:r>
    </w:p>
    <w:p w14:paraId="3B7F8AB3">
      <w:pPr>
        <w:spacing w:line="360" w:lineRule="auto"/>
        <w:rPr>
          <w:rFonts w:ascii="仿宋" w:hAnsi="仿宋" w:eastAsia="仿宋" w:cs="仿宋"/>
          <w:bCs/>
          <w:sz w:val="32"/>
          <w:szCs w:val="32"/>
        </w:rPr>
      </w:pPr>
    </w:p>
    <w:p w14:paraId="23FDC0D4">
      <w:pPr>
        <w:keepNext w:val="0"/>
        <w:keepLines w:val="0"/>
        <w:pageBreakBefore w:val="0"/>
        <w:kinsoku/>
        <w:wordWrap/>
        <w:overflowPunct/>
        <w:topLinePunct w:val="0"/>
        <w:autoSpaceDE/>
        <w:autoSpaceDN/>
        <w:bidi w:val="0"/>
        <w:adjustRightInd/>
        <w:snapToGrid/>
        <w:spacing w:line="600" w:lineRule="exact"/>
        <w:ind w:left="0" w:leftChars="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衡南县农村水利站：</w:t>
      </w:r>
    </w:p>
    <w:p w14:paraId="67CA2CF7">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你</w:t>
      </w:r>
      <w:r>
        <w:rPr>
          <w:rFonts w:hint="eastAsia" w:ascii="仿宋_GB2312" w:hAnsi="仿宋_GB2312" w:eastAsia="仿宋_GB2312" w:cs="仿宋_GB2312"/>
          <w:bCs/>
          <w:sz w:val="32"/>
          <w:szCs w:val="32"/>
          <w:lang w:val="en-US" w:eastAsia="zh-CN"/>
        </w:rPr>
        <w:t>站</w:t>
      </w:r>
      <w:r>
        <w:rPr>
          <w:rFonts w:hint="eastAsia" w:ascii="仿宋_GB2312" w:hAnsi="仿宋_GB2312" w:eastAsia="仿宋_GB2312" w:cs="仿宋_GB2312"/>
          <w:bCs/>
          <w:sz w:val="32"/>
          <w:szCs w:val="32"/>
        </w:rPr>
        <w:t>报送的《衡南县栗江电灌站灌区续建配套与节水改造工程项目环境影响报告表》（报批稿）及专家组评审意见收悉</w:t>
      </w:r>
      <w:r>
        <w:rPr>
          <w:rFonts w:hint="eastAsia" w:ascii="仿宋_GB2312" w:hAnsi="仿宋_GB2312" w:eastAsia="仿宋_GB2312" w:cs="仿宋_GB2312"/>
          <w:bCs/>
          <w:sz w:val="32"/>
          <w:szCs w:val="32"/>
          <w:lang w:eastAsia="zh-CN"/>
        </w:rPr>
        <w:t>。</w:t>
      </w:r>
      <w:r>
        <w:rPr>
          <w:rFonts w:hint="eastAsia" w:ascii="仿宋_GB2312" w:hAnsi="仿宋_GB2312" w:eastAsia="仿宋_GB2312" w:cs="仿宋_GB2312"/>
          <w:bCs/>
          <w:sz w:val="32"/>
          <w:szCs w:val="32"/>
        </w:rPr>
        <w:t xml:space="preserve">经研究，批复如下：     </w:t>
      </w:r>
    </w:p>
    <w:p w14:paraId="742BE609">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sz w:val="32"/>
          <w:szCs w:val="32"/>
        </w:rPr>
        <w:t>一、项目建设的主要内容。衡南县农村水利站拟投资14186.57万元在衡南县栗江镇、硫市镇、松江镇、车江街道建设衡南县栗江电灌站灌区续建配套与节水改造工程项目，主要建设内容包</w:t>
      </w:r>
      <w:r>
        <w:rPr>
          <w:rFonts w:hint="eastAsia" w:ascii="仿宋_GB2312" w:hAnsi="仿宋_GB2312" w:eastAsia="仿宋_GB2312" w:cs="仿宋_GB2312"/>
          <w:bCs/>
          <w:color w:val="000000" w:themeColor="text1"/>
          <w:sz w:val="32"/>
          <w:szCs w:val="32"/>
          <w14:textFill>
            <w14:solidFill>
              <w14:schemeClr w14:val="tx1"/>
            </w14:solidFill>
          </w14:textFill>
        </w:rPr>
        <w:t>括：拟设置 28 处临时施工场地，每处临时施工场地占地50m</w:t>
      </w:r>
      <w:r>
        <w:rPr>
          <w:rFonts w:hint="eastAsia" w:ascii="仿宋_GB2312" w:hAnsi="仿宋_GB2312" w:eastAsia="仿宋_GB2312" w:cs="仿宋_GB2312"/>
          <w:bCs/>
          <w:color w:val="000000" w:themeColor="text1"/>
          <w:sz w:val="32"/>
          <w:szCs w:val="32"/>
          <w:vertAlign w:val="superscript"/>
          <w14:textFill>
            <w14:solidFill>
              <w14:schemeClr w14:val="tx1"/>
            </w14:solidFill>
          </w14:textFill>
        </w:rPr>
        <w:t>2</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渠道防渗衬砌及加固总长52.997km，其中高干渠7.416km，低干渠5.351km，14条支渠（含斗渠）40.23km；共有渡槽91处，总长10982m，直接利用13座,改造78座</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其中局部修复74座8179m，拆除重建3座289m，新建1座88m</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；暗涵改造78处，总长5425m</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其中加固改造65处4807m，清淤9处179m，拆除重建2处183m，新建2处256m</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；涉及隧洞19条，总长3424m，直接利用原隧洞4条595m</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隧洞改造15处2829m</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其中清淤5处432m；改造9处1912m，续建1处485m</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险工险段处理4处284m</w:t>
      </w:r>
      <w:r>
        <w:rPr>
          <w:rFonts w:hint="eastAsia" w:ascii="仿宋_GB2312" w:hAnsi="仿宋_GB2312" w:eastAsia="仿宋_GB2312" w:cs="仿宋_GB2312"/>
          <w:bCs/>
          <w:color w:val="000000" w:themeColor="text1"/>
          <w:sz w:val="32"/>
          <w:szCs w:val="32"/>
          <w:lang w:eastAsia="zh-CN"/>
          <w14:textFill>
            <w14:solidFill>
              <w14:schemeClr w14:val="tx1"/>
            </w14:solidFill>
          </w14:textFill>
        </w:rPr>
        <w:t>）</w:t>
      </w:r>
      <w:r>
        <w:rPr>
          <w:rFonts w:hint="eastAsia" w:ascii="仿宋_GB2312" w:hAnsi="仿宋_GB2312" w:eastAsia="仿宋_GB2312" w:cs="仿宋_GB2312"/>
          <w:bCs/>
          <w:color w:val="000000" w:themeColor="text1"/>
          <w:sz w:val="32"/>
          <w:szCs w:val="32"/>
          <w14:textFill>
            <w14:solidFill>
              <w14:schemeClr w14:val="tx1"/>
            </w14:solidFill>
          </w14:textFill>
        </w:rPr>
        <w:t>；拆除重建或新建各类水闸共17处，其中泄洪闸3处，节制闸2处，分水闸12处；</w:t>
      </w:r>
      <w:r>
        <w:rPr>
          <w:rFonts w:hint="eastAsia" w:ascii="仿宋_GB2312" w:hAnsi="仿宋_GB2312" w:eastAsia="仿宋_GB2312" w:cs="仿宋_GB2312"/>
          <w:bCs/>
          <w:sz w:val="32"/>
          <w:szCs w:val="32"/>
        </w:rPr>
        <w:t>拆除重建人行桥32座，机耕桥10座，新建下渠踏步60处；新建安全警示牌80处，标志牌30处，修缮办公楼屋顶防水保温隔热363m</w:t>
      </w:r>
      <w:r>
        <w:rPr>
          <w:rFonts w:hint="eastAsia" w:ascii="仿宋_GB2312" w:hAnsi="仿宋_GB2312" w:eastAsia="仿宋_GB2312" w:cs="仿宋_GB2312"/>
          <w:bCs/>
          <w:sz w:val="32"/>
          <w:szCs w:val="32"/>
          <w:vertAlign w:val="superscript"/>
        </w:rPr>
        <w:t>2</w:t>
      </w:r>
      <w:r>
        <w:rPr>
          <w:rFonts w:hint="eastAsia" w:ascii="仿宋_GB2312" w:hAnsi="仿宋_GB2312" w:eastAsia="仿宋_GB2312" w:cs="仿宋_GB2312"/>
          <w:bCs/>
          <w:sz w:val="32"/>
          <w:szCs w:val="32"/>
        </w:rPr>
        <w:t>；新建高干渠、低干渠巡渠便道长23.533km，其中高干渠13.303km，低干渠10.23km；新建 11 处量水观测站，其中 6 处水位监测站，5 处巴歇尔测流站，新增高低主干渠光纤通讯系统等。本项目禁止进行河道采砂,项目施工工期12个月。该项目环境影响报告表提出的污染防治措施和生态保护措施客观可行，从环保角度分析，同意该项目建设。</w:t>
      </w:r>
    </w:p>
    <w:p w14:paraId="70541F59">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二、在项目建设和运行中，你</w:t>
      </w:r>
      <w:r>
        <w:rPr>
          <w:rFonts w:hint="eastAsia" w:ascii="仿宋_GB2312" w:hAnsi="仿宋_GB2312" w:eastAsia="仿宋_GB2312" w:cs="仿宋_GB2312"/>
          <w:bCs/>
          <w:sz w:val="32"/>
          <w:szCs w:val="32"/>
          <w:lang w:val="en-US" w:eastAsia="zh-CN"/>
        </w:rPr>
        <w:t>站</w:t>
      </w:r>
      <w:r>
        <w:rPr>
          <w:rFonts w:hint="eastAsia" w:ascii="仿宋_GB2312" w:hAnsi="仿宋_GB2312" w:eastAsia="仿宋_GB2312" w:cs="仿宋_GB2312"/>
          <w:bCs/>
          <w:sz w:val="32"/>
          <w:szCs w:val="32"/>
        </w:rPr>
        <w:t>必须严格执行环保法律法规，认真落实报告表提出的各项污染防治措施，并着重做好以下工作：</w:t>
      </w:r>
    </w:p>
    <w:p w14:paraId="3347F38A">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严格落实水污染防治措施。项目不设施工营地，施工人员食宿依托周边农户生活设施。施工废水经沉淀处理后用于洒水降尘，不外排。合理选择施工期，避免雨季和灌溉期施工。禁止在栗江镇湘江饮用水水源保护区设置施工营地、施工场地等临时工程。</w:t>
      </w:r>
    </w:p>
    <w:p w14:paraId="344A9CD1">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（二）严格落实大气污染防治措施。施工场地达到“六个100%”要求:设立施工围挡，冲洗平台及设备;施工道路硬化;施工场地内裸土、建筑垃圾、散装颗粒材料覆盖，配备湿法降尘设备;运输车辆封闭覆盖达到100%。</w:t>
      </w:r>
    </w:p>
    <w:p w14:paraId="464F4F44">
      <w:pPr>
        <w:keepNext w:val="0"/>
        <w:keepLines w:val="0"/>
        <w:pageBreakBefore w:val="0"/>
        <w:kinsoku/>
        <w:wordWrap/>
        <w:overflowPunct/>
        <w:topLinePunct w:val="0"/>
        <w:autoSpaceDE/>
        <w:autoSpaceDN/>
        <w:bidi w:val="0"/>
        <w:adjustRightInd/>
        <w:snapToGrid/>
        <w:spacing w:line="600" w:lineRule="exact"/>
        <w:ind w:left="0" w:lef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严格落实噪声污染防治措施。合理布局施工现场，规范施工作业时间，选用低噪声设备，采取减振基座、围挡等措施减少施工噪声干扰，确保施工场界噪声满足《建筑施工场界环境噪声排放标准》（GB12523-2011）。</w:t>
      </w:r>
    </w:p>
    <w:p w14:paraId="49477B76">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Cs/>
          <w:color w:val="4472C4" w:themeColor="accent5"/>
          <w:sz w:val="32"/>
          <w:szCs w:val="32"/>
          <w14:textFill>
            <w14:solidFill>
              <w14:schemeClr w14:val="accent5"/>
            </w14:solidFill>
          </w14:textFill>
        </w:rPr>
      </w:pPr>
      <w:r>
        <w:rPr>
          <w:rFonts w:hint="eastAsia" w:ascii="仿宋_GB2312" w:hAnsi="仿宋_GB2312" w:eastAsia="仿宋_GB2312" w:cs="仿宋_GB2312"/>
          <w:bCs/>
          <w:sz w:val="32"/>
          <w:szCs w:val="32"/>
        </w:rPr>
        <w:t>（四）加强各类固废管理，并采取有效措施防止二次污染。长洞支渠施工过程中产生的废弃土石方、建筑垃圾转运至弃渣场堆存，并做好相关污染防治措施；其他工程土石方、建筑垃圾就地回填处置。</w:t>
      </w:r>
    </w:p>
    <w:p w14:paraId="76DD4EDC">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Cs/>
          <w:color w:val="000000" w:themeColor="text1"/>
          <w:sz w:val="32"/>
          <w:szCs w:val="32"/>
          <w14:textFill>
            <w14:solidFill>
              <w14:schemeClr w14:val="tx1"/>
            </w14:solidFill>
          </w14:textFill>
        </w:rPr>
      </w:pPr>
      <w:r>
        <w:rPr>
          <w:rFonts w:hint="eastAsia" w:ascii="仿宋_GB2312" w:hAnsi="仿宋_GB2312" w:eastAsia="仿宋_GB2312" w:cs="仿宋_GB2312"/>
          <w:bCs/>
          <w:sz w:val="32"/>
          <w:szCs w:val="32"/>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Cs/>
          <w:color w:val="000000" w:themeColor="text1"/>
          <w:sz w:val="32"/>
          <w:szCs w:val="32"/>
          <w14:textFill>
            <w14:solidFill>
              <w14:schemeClr w14:val="tx1"/>
            </w14:solidFill>
          </w14:textFill>
        </w:rPr>
        <w:t>项目实施前须取得自然资源、林业等相关部门审批手续。</w:t>
      </w:r>
    </w:p>
    <w:p w14:paraId="2DEEB11C">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六）项目应加强环境风险防范。建立健全风险防控体系,强化风险管理和事故的预防，做好环境风险的巡查、监控等管理，杜绝环境风险事故发生。制定突发环境事件应急预案，配备相应的应急物资，确保环境风险得到有效控制。</w:t>
      </w:r>
    </w:p>
    <w:p w14:paraId="456EC63E">
      <w:pPr>
        <w:keepNext w:val="0"/>
        <w:keepLines w:val="0"/>
        <w:pageBreakBefore w:val="0"/>
        <w:widowControl/>
        <w:kinsoku/>
        <w:wordWrap/>
        <w:overflowPunct/>
        <w:topLinePunct w:val="0"/>
        <w:autoSpaceDE/>
        <w:autoSpaceDN/>
        <w:bidi w:val="0"/>
        <w:adjustRightInd/>
        <w:snapToGrid/>
        <w:spacing w:line="600" w:lineRule="exact"/>
        <w:ind w:left="0" w:leftChars="0" w:firstLine="6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74CC9C02">
      <w:pPr>
        <w:keepNext w:val="0"/>
        <w:keepLines w:val="0"/>
        <w:pageBreakBefore w:val="0"/>
        <w:widowControl/>
        <w:kinsoku/>
        <w:wordWrap/>
        <w:overflowPunct/>
        <w:topLinePunct w:val="0"/>
        <w:autoSpaceDE/>
        <w:autoSpaceDN/>
        <w:bidi w:val="0"/>
        <w:adjustRightInd/>
        <w:snapToGrid/>
        <w:spacing w:line="600" w:lineRule="exact"/>
        <w:ind w:left="4201" w:leftChars="0" w:hanging="4201" w:hangingChars="1313"/>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w:t>
      </w:r>
    </w:p>
    <w:p w14:paraId="0DD3A94A">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衡阳市生态环境局                                    2024年10月16日</w:t>
      </w:r>
    </w:p>
    <w:sectPr>
      <w:footerReference r:id="rId3" w:type="default"/>
      <w:pgSz w:w="11906" w:h="16838"/>
      <w:pgMar w:top="1701"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FF9C9">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BB2B74">
                          <w:pPr>
                            <w:pStyle w:val="15"/>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7BB2B74">
                    <w:pPr>
                      <w:pStyle w:val="15"/>
                    </w:pP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D17984"/>
    <w:rsid w:val="00036438"/>
    <w:rsid w:val="000B6E7A"/>
    <w:rsid w:val="002F685D"/>
    <w:rsid w:val="00307618"/>
    <w:rsid w:val="003501A6"/>
    <w:rsid w:val="003E4DFA"/>
    <w:rsid w:val="004D2C26"/>
    <w:rsid w:val="00593D7B"/>
    <w:rsid w:val="006048DA"/>
    <w:rsid w:val="00673FAE"/>
    <w:rsid w:val="006758DC"/>
    <w:rsid w:val="009B7556"/>
    <w:rsid w:val="009F275A"/>
    <w:rsid w:val="00CC406E"/>
    <w:rsid w:val="00CF38CA"/>
    <w:rsid w:val="00D17984"/>
    <w:rsid w:val="00D35C9D"/>
    <w:rsid w:val="00D40457"/>
    <w:rsid w:val="00F606E4"/>
    <w:rsid w:val="013235DA"/>
    <w:rsid w:val="01467775"/>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111A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6810A7"/>
    <w:rsid w:val="10857F61"/>
    <w:rsid w:val="108A636D"/>
    <w:rsid w:val="10AD6FD4"/>
    <w:rsid w:val="10FA5473"/>
    <w:rsid w:val="113678B0"/>
    <w:rsid w:val="11485BA4"/>
    <w:rsid w:val="11B465DF"/>
    <w:rsid w:val="11C01DEC"/>
    <w:rsid w:val="12143490"/>
    <w:rsid w:val="12555F1D"/>
    <w:rsid w:val="1257421A"/>
    <w:rsid w:val="129153D8"/>
    <w:rsid w:val="12A964AA"/>
    <w:rsid w:val="12BB197C"/>
    <w:rsid w:val="13011988"/>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7F30477"/>
    <w:rsid w:val="1829412D"/>
    <w:rsid w:val="18434DBA"/>
    <w:rsid w:val="1849099E"/>
    <w:rsid w:val="18653167"/>
    <w:rsid w:val="18881DEC"/>
    <w:rsid w:val="18A401A4"/>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455550"/>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1666"/>
    <w:rsid w:val="321D77FA"/>
    <w:rsid w:val="32A97091"/>
    <w:rsid w:val="32CD75B6"/>
    <w:rsid w:val="32FC55D3"/>
    <w:rsid w:val="33093365"/>
    <w:rsid w:val="33562DAE"/>
    <w:rsid w:val="33BB5D83"/>
    <w:rsid w:val="33CC76D2"/>
    <w:rsid w:val="344E1BDE"/>
    <w:rsid w:val="34E66A4D"/>
    <w:rsid w:val="352320EA"/>
    <w:rsid w:val="355F0639"/>
    <w:rsid w:val="35610782"/>
    <w:rsid w:val="35C27A99"/>
    <w:rsid w:val="35D514B2"/>
    <w:rsid w:val="35F37C79"/>
    <w:rsid w:val="35FE2C59"/>
    <w:rsid w:val="365E47FB"/>
    <w:rsid w:val="36DA177F"/>
    <w:rsid w:val="3732231A"/>
    <w:rsid w:val="37560CCA"/>
    <w:rsid w:val="377B33AF"/>
    <w:rsid w:val="37A22522"/>
    <w:rsid w:val="385F0A74"/>
    <w:rsid w:val="38BA6E2B"/>
    <w:rsid w:val="38D87288"/>
    <w:rsid w:val="390271F0"/>
    <w:rsid w:val="39052E16"/>
    <w:rsid w:val="39433A40"/>
    <w:rsid w:val="39BD38AC"/>
    <w:rsid w:val="39C06CFF"/>
    <w:rsid w:val="39CB3E3C"/>
    <w:rsid w:val="3A050E2B"/>
    <w:rsid w:val="3A7E5E2A"/>
    <w:rsid w:val="3ABA1F71"/>
    <w:rsid w:val="3AC745D7"/>
    <w:rsid w:val="3AD64FE5"/>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06256F1"/>
    <w:rsid w:val="51623296"/>
    <w:rsid w:val="51AB22AB"/>
    <w:rsid w:val="51D06BCC"/>
    <w:rsid w:val="51DD05B7"/>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67594"/>
    <w:rsid w:val="578B78DB"/>
    <w:rsid w:val="57AB7AA9"/>
    <w:rsid w:val="57D54A3D"/>
    <w:rsid w:val="58055326"/>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BF6300"/>
    <w:rsid w:val="5FC448F7"/>
    <w:rsid w:val="600B0BFA"/>
    <w:rsid w:val="601E7BC3"/>
    <w:rsid w:val="603B5BAA"/>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1F6970"/>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unhideWhenUsed/>
    <w:uiPriority w:val="1"/>
  </w:style>
  <w:style w:type="table" w:default="1" w:styleId="19">
    <w:name w:val="Normal Table"/>
    <w:semiHidden/>
    <w:unhideWhenUsed/>
    <w:uiPriority w:val="99"/>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widowControl/>
      <w:adjustRightInd w:val="0"/>
      <w:snapToGrid w:val="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2">
    <w:name w:val="Default"/>
    <w:basedOn w:val="23"/>
    <w:next w:val="12"/>
    <w:qFormat/>
    <w:uiPriority w:val="0"/>
    <w:pPr>
      <w:autoSpaceDE w:val="0"/>
      <w:autoSpaceDN w:val="0"/>
      <w:adjustRightInd w:val="0"/>
    </w:pPr>
    <w:rPr>
      <w:rFonts w:ascii="Times New Roman" w:hAnsi="Times New Roman" w:eastAsia="宋体" w:cs="Times New Roman"/>
      <w:color w:val="000000"/>
      <w:kern w:val="0"/>
      <w:sz w:val="24"/>
    </w:rPr>
  </w:style>
  <w:style w:type="paragraph" w:customStyle="1" w:styleId="23">
    <w:name w:val="纯文本1"/>
    <w:basedOn w:val="1"/>
    <w:qFormat/>
    <w:uiPriority w:val="0"/>
    <w:rPr>
      <w:rFonts w:ascii="宋体" w:hAnsi="Courier New"/>
    </w:rPr>
  </w:style>
  <w:style w:type="paragraph" w:customStyle="1" w:styleId="24">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rPr>
  </w:style>
  <w:style w:type="paragraph" w:customStyle="1" w:styleId="41">
    <w:name w:val="文本正文"/>
    <w:basedOn w:val="1"/>
    <w:qFormat/>
    <w:uiPriority w:val="0"/>
    <w:pPr>
      <w:spacing w:line="360" w:lineRule="auto"/>
      <w:ind w:firstLine="480" w:firstLineChars="200"/>
    </w:pPr>
    <w:rPr>
      <w:sz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1正文"/>
    <w:qFormat/>
    <w:uiPriority w:val="0"/>
    <w:pPr>
      <w:adjustRightInd w:val="0"/>
      <w:snapToGrid w:val="0"/>
      <w:spacing w:line="360" w:lineRule="auto"/>
      <w:ind w:firstLine="200" w:firstLineChars="200"/>
      <w:jc w:val="both"/>
    </w:pPr>
    <w:rPr>
      <w:rFonts w:ascii="Times New Roman" w:hAnsi="Times New Roman" w:eastAsia="宋体" w:cs="Times New Roman"/>
      <w:kern w:val="2"/>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1484</Words>
  <Characters>1644</Characters>
  <Lines>14</Lines>
  <Paragraphs>4</Paragraphs>
  <TotalTime>2</TotalTime>
  <ScaleCrop>false</ScaleCrop>
  <LinksUpToDate>false</LinksUpToDate>
  <CharactersWithSpaces>1980</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2023-03-09T03:37:00Z</cp:lastPrinted>
  <dcterms:modified xsi:type="dcterms:W3CDTF">2024-10-16T03:14:20Z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B6F88157A0E34CD3AA7962DA532A2FF2_13</vt:lpwstr>
  </property>
</Properties>
</file>