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C1A24C">
      <w:pPr>
        <w:spacing w:line="600" w:lineRule="exact"/>
        <w:jc w:val="center"/>
        <w:rPr>
          <w:rFonts w:ascii="仿宋" w:hAnsi="仿宋" w:eastAsia="仿宋" w:cs="仿宋"/>
          <w:color w:val="FF0000"/>
          <w:sz w:val="32"/>
          <w:szCs w:val="32"/>
        </w:rPr>
      </w:pPr>
    </w:p>
    <w:p w14:paraId="13FEEE3D">
      <w:pPr>
        <w:spacing w:line="600" w:lineRule="exact"/>
        <w:jc w:val="center"/>
        <w:rPr>
          <w:rFonts w:ascii="仿宋" w:hAnsi="仿宋" w:eastAsia="仿宋" w:cs="仿宋"/>
          <w:color w:val="FF0000"/>
          <w:sz w:val="32"/>
          <w:szCs w:val="32"/>
        </w:rPr>
      </w:pPr>
    </w:p>
    <w:p w14:paraId="3E84819F">
      <w:pPr>
        <w:spacing w:line="600" w:lineRule="exact"/>
        <w:jc w:val="center"/>
        <w:rPr>
          <w:rFonts w:ascii="仿宋" w:hAnsi="仿宋" w:eastAsia="仿宋" w:cs="仿宋"/>
          <w:color w:val="FF0000"/>
          <w:sz w:val="32"/>
          <w:szCs w:val="32"/>
        </w:rPr>
      </w:pPr>
    </w:p>
    <w:p w14:paraId="582B2122">
      <w:pPr>
        <w:spacing w:line="600" w:lineRule="exact"/>
        <w:jc w:val="center"/>
        <w:rPr>
          <w:rFonts w:ascii="仿宋" w:hAnsi="仿宋" w:eastAsia="仿宋" w:cs="仿宋"/>
          <w:color w:val="FF0000"/>
          <w:sz w:val="32"/>
          <w:szCs w:val="32"/>
        </w:rPr>
      </w:pPr>
      <w:r>
        <w:rPr>
          <w:rFonts w:hint="eastAsia" w:ascii="仿宋" w:hAnsi="仿宋" w:eastAsia="仿宋" w:cs="仿宋"/>
          <w:color w:val="FF0000"/>
          <w:sz w:val="32"/>
          <w:szCs w:val="32"/>
        </w:rPr>
        <w:t xml:space="preserve">                               </w:t>
      </w:r>
      <w:r>
        <w:rPr>
          <w:rFonts w:hint="eastAsia" w:ascii="仿宋" w:hAnsi="仿宋" w:eastAsia="仿宋" w:cs="仿宋"/>
          <w:color w:val="000000" w:themeColor="text1"/>
          <w:sz w:val="32"/>
          <w:szCs w:val="32"/>
          <w14:textFill>
            <w14:solidFill>
              <w14:schemeClr w14:val="tx1"/>
            </w14:solidFill>
          </w14:textFill>
        </w:rPr>
        <w:t>衡清环审字〔2024〕</w:t>
      </w:r>
      <w:r>
        <w:rPr>
          <w:rFonts w:hint="eastAsia" w:ascii="仿宋" w:hAnsi="仿宋" w:eastAsia="仿宋" w:cs="仿宋"/>
          <w:color w:val="000000" w:themeColor="text1"/>
          <w:sz w:val="32"/>
          <w:szCs w:val="32"/>
          <w:lang w:val="en-US" w:eastAsia="zh-CN"/>
          <w14:textFill>
            <w14:solidFill>
              <w14:schemeClr w14:val="tx1"/>
            </w14:solidFill>
          </w14:textFill>
        </w:rPr>
        <w:t>49</w:t>
      </w:r>
      <w:r>
        <w:rPr>
          <w:rFonts w:hint="eastAsia" w:ascii="仿宋" w:hAnsi="仿宋" w:eastAsia="仿宋" w:cs="仿宋"/>
          <w:color w:val="000000" w:themeColor="text1"/>
          <w:sz w:val="32"/>
          <w:szCs w:val="32"/>
          <w14:textFill>
            <w14:solidFill>
              <w14:schemeClr w14:val="tx1"/>
            </w14:solidFill>
          </w14:textFill>
        </w:rPr>
        <w:t>号</w:t>
      </w:r>
    </w:p>
    <w:p w14:paraId="1E9C0B1D">
      <w:pPr>
        <w:spacing w:line="600" w:lineRule="exact"/>
        <w:jc w:val="center"/>
        <w:rPr>
          <w:rFonts w:ascii="仿宋" w:hAnsi="仿宋" w:eastAsia="仿宋" w:cs="仿宋"/>
          <w:color w:val="000000" w:themeColor="text1"/>
          <w:sz w:val="32"/>
          <w:szCs w:val="32"/>
          <w14:textFill>
            <w14:solidFill>
              <w14:schemeClr w14:val="tx1"/>
            </w14:solidFill>
          </w14:textFill>
        </w:rPr>
      </w:pPr>
    </w:p>
    <w:p w14:paraId="668FCCCA">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t>衡阳市生态环境局</w:t>
      </w:r>
    </w:p>
    <w:p w14:paraId="56E2344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t>关于《衡南县顺发加油站迁建项目环境影响</w:t>
      </w:r>
    </w:p>
    <w:p w14:paraId="43A4B787">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bCs/>
          <w:color w:val="000000" w:themeColor="text1"/>
          <w:sz w:val="44"/>
          <w:szCs w:val="44"/>
          <w14:textFill>
            <w14:solidFill>
              <w14:schemeClr w14:val="tx1"/>
            </w14:solidFill>
          </w14:textFill>
        </w:rPr>
        <w:t>报告表》的批复</w:t>
      </w:r>
      <w:bookmarkStart w:id="1" w:name="_GoBack"/>
      <w:bookmarkEnd w:id="1"/>
    </w:p>
    <w:p w14:paraId="24BC0A99">
      <w:pPr>
        <w:spacing w:line="460" w:lineRule="atLeast"/>
        <w:rPr>
          <w:rStyle w:val="50"/>
          <w:rFonts w:ascii="仿宋" w:hAnsi="仿宋" w:eastAsia="仿宋" w:cs="仿宋"/>
          <w:color w:val="000000" w:themeColor="text1"/>
          <w:sz w:val="32"/>
          <w:szCs w:val="32"/>
          <w14:textFill>
            <w14:solidFill>
              <w14:schemeClr w14:val="tx1"/>
            </w14:solidFill>
          </w14:textFill>
        </w:rPr>
      </w:pPr>
    </w:p>
    <w:p w14:paraId="00D1E480">
      <w:pPr>
        <w:spacing w:line="600" w:lineRule="exact"/>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衡南县顺发加油站：</w:t>
      </w:r>
    </w:p>
    <w:p w14:paraId="1FDA6370">
      <w:pPr>
        <w:widowControl/>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你公司报送的《衡南县顺发加油站迁建项目环境影响报告表》（报批稿）及专家组评审意见均已收悉，经研究，批复如下：</w:t>
      </w:r>
    </w:p>
    <w:p w14:paraId="517F8921">
      <w:pPr>
        <w:pStyle w:val="51"/>
        <w:numPr>
          <w:ilvl w:val="0"/>
          <w:numId w:val="4"/>
        </w:numPr>
        <w:adjustRightInd w:val="0"/>
        <w:snapToGrid w:val="0"/>
        <w:spacing w:line="600" w:lineRule="exact"/>
        <w:ind w:firstLine="640" w:firstLineChars="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项目建设的主要内容。衡南县顺发加油站拟拆除现有加油站</w:t>
      </w:r>
      <w:r>
        <w:rPr>
          <w:rStyle w:val="50"/>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50"/>
          <w:rFonts w:hint="eastAsia" w:ascii="仿宋_GB2312" w:hAnsi="仿宋_GB2312" w:eastAsia="仿宋_GB2312" w:cs="仿宋_GB2312"/>
          <w:color w:val="000000" w:themeColor="text1"/>
          <w:sz w:val="32"/>
          <w:szCs w:val="32"/>
          <w14:textFill>
            <w14:solidFill>
              <w14:schemeClr w14:val="tx1"/>
            </w14:solidFill>
          </w14:textFill>
        </w:rPr>
        <w:t>投资300万元</w:t>
      </w:r>
      <w:r>
        <w:rPr>
          <w:rStyle w:val="50"/>
          <w:rFonts w:hint="eastAsia" w:ascii="仿宋_GB2312" w:hAnsi="仿宋_GB2312" w:eastAsia="仿宋_GB2312" w:cs="仿宋_GB2312"/>
          <w:color w:val="000000" w:themeColor="text1"/>
          <w:sz w:val="32"/>
          <w:szCs w:val="32"/>
          <w:lang w:eastAsia="zh-CN"/>
          <w14:textFill>
            <w14:solidFill>
              <w14:schemeClr w14:val="tx1"/>
            </w14:solidFill>
          </w14:textFill>
        </w:rPr>
        <w:t>在</w:t>
      </w:r>
      <w:r>
        <w:rPr>
          <w:rStyle w:val="50"/>
          <w:rFonts w:hint="eastAsia" w:ascii="仿宋_GB2312" w:hAnsi="仿宋_GB2312" w:eastAsia="仿宋_GB2312" w:cs="仿宋_GB2312"/>
          <w:color w:val="000000" w:themeColor="text1"/>
          <w:sz w:val="32"/>
          <w:szCs w:val="32"/>
          <w14:textFill>
            <w14:solidFill>
              <w14:schemeClr w14:val="tx1"/>
            </w14:solidFill>
          </w14:textFill>
        </w:rPr>
        <w:t>现有站点西南方向85m处</w:t>
      </w:r>
      <w:r>
        <w:rPr>
          <w:rStyle w:val="50"/>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50"/>
          <w:rFonts w:hint="eastAsia" w:ascii="仿宋_GB2312" w:hAnsi="仿宋_GB2312" w:eastAsia="仿宋_GB2312" w:cs="仿宋_GB2312"/>
          <w:color w:val="000000" w:themeColor="text1"/>
          <w:sz w:val="32"/>
          <w:szCs w:val="32"/>
          <w:lang w:val="en-US" w:eastAsia="zh-CN"/>
          <w14:textFill>
            <w14:solidFill>
              <w14:schemeClr w14:val="tx1"/>
            </w14:solidFill>
          </w14:textFill>
        </w:rPr>
        <w:t>栗江镇城镇规划区内</w:t>
      </w:r>
      <w:r>
        <w:rPr>
          <w:rStyle w:val="50"/>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50"/>
          <w:rFonts w:hint="eastAsia" w:ascii="仿宋_GB2312" w:hAnsi="仿宋_GB2312" w:eastAsia="仿宋_GB2312" w:cs="仿宋_GB2312"/>
          <w:color w:val="000000" w:themeColor="text1"/>
          <w:sz w:val="32"/>
          <w:szCs w:val="32"/>
          <w14:textFill>
            <w14:solidFill>
              <w14:schemeClr w14:val="tx1"/>
            </w14:solidFill>
          </w14:textFill>
        </w:rPr>
        <w:t>新建一座三级加油站</w:t>
      </w:r>
      <w:r>
        <w:rPr>
          <w:rStyle w:val="50"/>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50"/>
          <w:rFonts w:hint="eastAsia" w:ascii="仿宋_GB2312" w:hAnsi="仿宋_GB2312" w:eastAsia="仿宋_GB2312" w:cs="仿宋_GB2312"/>
          <w:color w:val="000000" w:themeColor="text1"/>
          <w:sz w:val="32"/>
          <w:szCs w:val="32"/>
          <w14:textFill>
            <w14:solidFill>
              <w14:schemeClr w14:val="tx1"/>
            </w14:solidFill>
          </w14:textFill>
        </w:rPr>
        <w:t>项目总占地面积1637.94m</w:t>
      </w:r>
      <w:r>
        <w:rPr>
          <w:rStyle w:val="50"/>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Style w:val="50"/>
          <w:rFonts w:hint="eastAsia" w:ascii="仿宋_GB2312" w:hAnsi="仿宋_GB2312" w:eastAsia="仿宋_GB2312" w:cs="仿宋_GB2312"/>
          <w:color w:val="000000" w:themeColor="text1"/>
          <w:sz w:val="32"/>
          <w:szCs w:val="32"/>
          <w14:textFill>
            <w14:solidFill>
              <w14:schemeClr w14:val="tx1"/>
            </w14:solidFill>
          </w14:textFill>
        </w:rPr>
        <w:t>，总建筑面积980m</w:t>
      </w:r>
      <w:r>
        <w:rPr>
          <w:rStyle w:val="50"/>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Style w:val="50"/>
          <w:rFonts w:hint="eastAsia" w:ascii="仿宋_GB2312" w:hAnsi="仿宋_GB2312" w:eastAsia="仿宋_GB2312" w:cs="仿宋_GB2312"/>
          <w:color w:val="000000" w:themeColor="text1"/>
          <w:sz w:val="32"/>
          <w:szCs w:val="32"/>
          <w14:textFill>
            <w14:solidFill>
              <w14:schemeClr w14:val="tx1"/>
            </w14:solidFill>
          </w14:textFill>
        </w:rPr>
        <w:t>，主要建设内容为：营业用房、棚架等，</w:t>
      </w:r>
      <w:r>
        <w:rPr>
          <w:rStyle w:val="50"/>
          <w:rFonts w:hint="eastAsia" w:ascii="仿宋_GB2312" w:hAnsi="仿宋_GB2312" w:eastAsia="仿宋_GB2312" w:cs="仿宋_GB2312"/>
          <w:color w:val="auto"/>
          <w:sz w:val="32"/>
          <w:szCs w:val="32"/>
          <w:lang w:val="en-US" w:eastAsia="zh-CN"/>
        </w:rPr>
        <w:t>设置</w:t>
      </w:r>
      <w:r>
        <w:rPr>
          <w:rStyle w:val="50"/>
          <w:rFonts w:hint="eastAsia" w:ascii="仿宋_GB2312" w:hAnsi="仿宋_GB2312" w:eastAsia="仿宋_GB2312" w:cs="仿宋_GB2312"/>
          <w:color w:val="auto"/>
          <w:sz w:val="32"/>
          <w:szCs w:val="32"/>
        </w:rPr>
        <w:t>潜油泵式双枪加油机4台（其中汽油加油机2台，柴油机2台），设置</w:t>
      </w:r>
      <w:r>
        <w:rPr>
          <w:rStyle w:val="50"/>
          <w:rFonts w:hint="eastAsia" w:ascii="仿宋_GB2312" w:hAnsi="仿宋_GB2312" w:eastAsia="仿宋_GB2312" w:cs="仿宋_GB2312"/>
          <w:color w:val="auto"/>
          <w:sz w:val="32"/>
          <w:szCs w:val="32"/>
          <w:lang w:val="en-US" w:eastAsia="zh-CN"/>
        </w:rPr>
        <w:t>3</w:t>
      </w:r>
      <w:r>
        <w:rPr>
          <w:rStyle w:val="50"/>
          <w:rFonts w:hint="eastAsia" w:ascii="仿宋_GB2312" w:hAnsi="仿宋_GB2312" w:eastAsia="仿宋_GB2312" w:cs="仿宋_GB2312"/>
          <w:color w:val="auto"/>
          <w:sz w:val="32"/>
          <w:szCs w:val="32"/>
        </w:rPr>
        <w:t>个埋地卧式油罐</w:t>
      </w:r>
      <w:r>
        <w:rPr>
          <w:rStyle w:val="50"/>
          <w:rFonts w:hint="eastAsia" w:ascii="仿宋_GB2312" w:hAnsi="仿宋_GB2312" w:eastAsia="仿宋_GB2312" w:cs="仿宋_GB2312"/>
          <w:color w:val="auto"/>
          <w:sz w:val="32"/>
          <w:szCs w:val="32"/>
          <w:lang w:eastAsia="zh-CN"/>
        </w:rPr>
        <w:t>（</w:t>
      </w:r>
      <w:r>
        <w:rPr>
          <w:rStyle w:val="50"/>
          <w:rFonts w:hint="eastAsia" w:ascii="仿宋_GB2312" w:hAnsi="仿宋_GB2312" w:eastAsia="仿宋_GB2312" w:cs="仿宋_GB2312"/>
          <w:color w:val="auto"/>
          <w:sz w:val="32"/>
          <w:szCs w:val="32"/>
        </w:rPr>
        <w:t>包括2个30m</w:t>
      </w:r>
      <w:r>
        <w:rPr>
          <w:rStyle w:val="50"/>
          <w:rFonts w:hint="eastAsia" w:ascii="仿宋_GB2312" w:hAnsi="仿宋_GB2312" w:eastAsia="仿宋_GB2312" w:cs="仿宋_GB2312"/>
          <w:color w:val="auto"/>
          <w:sz w:val="32"/>
          <w:szCs w:val="32"/>
          <w:vertAlign w:val="superscript"/>
        </w:rPr>
        <w:t>3</w:t>
      </w:r>
      <w:r>
        <w:rPr>
          <w:rStyle w:val="50"/>
          <w:rFonts w:hint="eastAsia" w:ascii="仿宋_GB2312" w:hAnsi="仿宋_GB2312" w:eastAsia="仿宋_GB2312" w:cs="仿宋_GB2312"/>
          <w:color w:val="auto"/>
          <w:sz w:val="32"/>
          <w:szCs w:val="32"/>
        </w:rPr>
        <w:t>汽油罐、</w:t>
      </w:r>
      <w:r>
        <w:rPr>
          <w:rStyle w:val="50"/>
          <w:rFonts w:hint="eastAsia" w:ascii="仿宋_GB2312" w:hAnsi="仿宋_GB2312" w:eastAsia="仿宋_GB2312" w:cs="仿宋_GB2312"/>
          <w:color w:val="auto"/>
          <w:sz w:val="32"/>
          <w:szCs w:val="32"/>
          <w:lang w:val="en-US" w:eastAsia="zh-CN"/>
        </w:rPr>
        <w:t>1</w:t>
      </w:r>
      <w:r>
        <w:rPr>
          <w:rStyle w:val="50"/>
          <w:rFonts w:hint="eastAsia" w:ascii="仿宋_GB2312" w:hAnsi="仿宋_GB2312" w:eastAsia="仿宋_GB2312" w:cs="仿宋_GB2312"/>
          <w:color w:val="auto"/>
          <w:sz w:val="32"/>
          <w:szCs w:val="32"/>
        </w:rPr>
        <w:t>个</w:t>
      </w:r>
      <w:r>
        <w:rPr>
          <w:rStyle w:val="50"/>
          <w:rFonts w:hint="eastAsia" w:ascii="仿宋_GB2312" w:hAnsi="仿宋_GB2312" w:eastAsia="仿宋_GB2312" w:cs="仿宋_GB2312"/>
          <w:color w:val="auto"/>
          <w:sz w:val="32"/>
          <w:szCs w:val="32"/>
          <w:lang w:val="en-US" w:eastAsia="zh-CN"/>
        </w:rPr>
        <w:t>5</w:t>
      </w:r>
      <w:r>
        <w:rPr>
          <w:rStyle w:val="50"/>
          <w:rFonts w:hint="eastAsia" w:ascii="仿宋_GB2312" w:hAnsi="仿宋_GB2312" w:eastAsia="仿宋_GB2312" w:cs="仿宋_GB2312"/>
          <w:color w:val="auto"/>
          <w:sz w:val="32"/>
          <w:szCs w:val="32"/>
        </w:rPr>
        <w:t>0m</w:t>
      </w:r>
      <w:r>
        <w:rPr>
          <w:rStyle w:val="50"/>
          <w:rFonts w:hint="eastAsia" w:ascii="仿宋_GB2312" w:hAnsi="仿宋_GB2312" w:eastAsia="仿宋_GB2312" w:cs="仿宋_GB2312"/>
          <w:color w:val="auto"/>
          <w:sz w:val="32"/>
          <w:szCs w:val="32"/>
          <w:vertAlign w:val="superscript"/>
        </w:rPr>
        <w:t>3</w:t>
      </w:r>
      <w:r>
        <w:rPr>
          <w:rStyle w:val="50"/>
          <w:rFonts w:hint="eastAsia" w:ascii="仿宋_GB2312" w:hAnsi="仿宋_GB2312" w:eastAsia="仿宋_GB2312" w:cs="仿宋_GB2312"/>
          <w:color w:val="auto"/>
          <w:sz w:val="32"/>
          <w:szCs w:val="32"/>
        </w:rPr>
        <w:t>柴油罐</w:t>
      </w:r>
      <w:r>
        <w:rPr>
          <w:rStyle w:val="50"/>
          <w:rFonts w:hint="eastAsia" w:ascii="仿宋_GB2312" w:hAnsi="仿宋_GB2312" w:eastAsia="仿宋_GB2312" w:cs="仿宋_GB2312"/>
          <w:color w:val="auto"/>
          <w:sz w:val="32"/>
          <w:szCs w:val="32"/>
          <w:lang w:eastAsia="zh-CN"/>
        </w:rPr>
        <w:t>）</w:t>
      </w:r>
      <w:r>
        <w:rPr>
          <w:rStyle w:val="50"/>
          <w:rFonts w:hint="eastAsia" w:ascii="仿宋_GB2312" w:hAnsi="仿宋_GB2312" w:eastAsia="仿宋_GB2312" w:cs="仿宋_GB2312"/>
          <w:color w:val="auto"/>
          <w:sz w:val="32"/>
          <w:szCs w:val="32"/>
        </w:rPr>
        <w:t>，总容积为</w:t>
      </w:r>
      <w:r>
        <w:rPr>
          <w:rStyle w:val="50"/>
          <w:rFonts w:hint="eastAsia" w:ascii="仿宋_GB2312" w:hAnsi="仿宋_GB2312" w:eastAsia="仿宋_GB2312" w:cs="仿宋_GB2312"/>
          <w:color w:val="auto"/>
          <w:sz w:val="32"/>
          <w:szCs w:val="32"/>
          <w:lang w:val="en-US" w:eastAsia="zh-CN"/>
        </w:rPr>
        <w:t>85</w:t>
      </w:r>
      <w:r>
        <w:rPr>
          <w:rStyle w:val="50"/>
          <w:rFonts w:hint="eastAsia" w:ascii="仿宋_GB2312" w:hAnsi="仿宋_GB2312" w:eastAsia="仿宋_GB2312" w:cs="仿宋_GB2312"/>
          <w:color w:val="auto"/>
          <w:sz w:val="32"/>
          <w:szCs w:val="32"/>
        </w:rPr>
        <w:t>m</w:t>
      </w:r>
      <w:r>
        <w:rPr>
          <w:rStyle w:val="50"/>
          <w:rFonts w:hint="eastAsia" w:ascii="仿宋_GB2312" w:hAnsi="仿宋_GB2312" w:eastAsia="仿宋_GB2312" w:cs="仿宋_GB2312"/>
          <w:color w:val="auto"/>
          <w:sz w:val="32"/>
          <w:szCs w:val="32"/>
          <w:vertAlign w:val="superscript"/>
        </w:rPr>
        <w:t>3</w:t>
      </w:r>
      <w:r>
        <w:rPr>
          <w:rStyle w:val="50"/>
          <w:rFonts w:hint="eastAsia" w:ascii="仿宋_GB2312" w:hAnsi="仿宋_GB2312" w:eastAsia="仿宋_GB2312" w:cs="仿宋_GB2312"/>
          <w:color w:val="auto"/>
          <w:sz w:val="32"/>
          <w:szCs w:val="32"/>
        </w:rPr>
        <w:t>（柴油罐容积折半计入总容积），年销售92#汽油50t、95#汽油80t、0#柴油300t</w:t>
      </w:r>
      <w:r>
        <w:rPr>
          <w:rStyle w:val="50"/>
          <w:rFonts w:hint="eastAsia" w:ascii="仿宋_GB2312" w:hAnsi="仿宋_GB2312" w:eastAsia="仿宋_GB2312" w:cs="仿宋_GB2312"/>
          <w:color w:val="auto"/>
          <w:sz w:val="32"/>
          <w:szCs w:val="32"/>
          <w:lang w:eastAsia="zh-CN"/>
        </w:rPr>
        <w:t>，</w:t>
      </w:r>
      <w:r>
        <w:rPr>
          <w:rStyle w:val="50"/>
          <w:rFonts w:hint="eastAsia" w:ascii="仿宋_GB2312" w:hAnsi="仿宋_GB2312" w:eastAsia="仿宋_GB2312" w:cs="仿宋_GB2312"/>
          <w:color w:val="auto"/>
          <w:sz w:val="32"/>
          <w:szCs w:val="32"/>
          <w:lang w:val="en-US" w:eastAsia="zh-CN"/>
        </w:rPr>
        <w:t>以及辅助工程、公用工程、环保工程等配套设施，</w:t>
      </w:r>
      <w:r>
        <w:rPr>
          <w:rStyle w:val="50"/>
          <w:rFonts w:hint="eastAsia" w:ascii="仿宋_GB2312" w:hAnsi="仿宋_GB2312" w:eastAsia="仿宋_GB2312" w:cs="仿宋_GB2312"/>
          <w:color w:val="auto"/>
          <w:sz w:val="32"/>
          <w:szCs w:val="32"/>
        </w:rPr>
        <w:t>属于三级加油站</w:t>
      </w:r>
      <w:r>
        <w:rPr>
          <w:rStyle w:val="50"/>
          <w:rFonts w:hint="eastAsia" w:ascii="仿宋_GB2312" w:hAnsi="仿宋_GB2312" w:eastAsia="仿宋_GB2312" w:cs="仿宋_GB2312"/>
          <w:color w:val="auto"/>
          <w:sz w:val="32"/>
          <w:szCs w:val="32"/>
          <w:lang w:eastAsia="zh-CN"/>
        </w:rPr>
        <w:t>；</w:t>
      </w:r>
      <w:r>
        <w:rPr>
          <w:rStyle w:val="50"/>
          <w:rFonts w:hint="eastAsia" w:ascii="仿宋_GB2312" w:hAnsi="仿宋_GB2312" w:eastAsia="仿宋_GB2312" w:cs="仿宋_GB2312"/>
          <w:color w:val="auto"/>
          <w:sz w:val="32"/>
          <w:szCs w:val="32"/>
        </w:rPr>
        <w:t>项目不设置洗车区。</w:t>
      </w:r>
      <w:r>
        <w:rPr>
          <w:rStyle w:val="50"/>
          <w:rFonts w:hint="eastAsia" w:ascii="仿宋_GB2312" w:hAnsi="仿宋_GB2312" w:eastAsia="仿宋_GB2312" w:cs="仿宋_GB2312"/>
          <w:color w:val="000000" w:themeColor="text1"/>
          <w:sz w:val="32"/>
          <w:szCs w:val="32"/>
          <w14:textFill>
            <w14:solidFill>
              <w14:schemeClr w14:val="tx1"/>
            </w14:solidFill>
          </w14:textFill>
        </w:rPr>
        <w:t>该项目环境影响报告表提出的污染防治措施客观可行，从环保角度分析，同意该项目建设。</w:t>
      </w:r>
    </w:p>
    <w:p w14:paraId="5602983C">
      <w:pPr>
        <w:spacing w:line="600" w:lineRule="exact"/>
        <w:ind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在项目建设和运行中，必须严格执行环保法律法规，认真落实报告表提出的各项污染防治措施，并着重做好以下工作：</w:t>
      </w:r>
    </w:p>
    <w:p w14:paraId="45B0B6C1">
      <w:pPr>
        <w:adjustRightInd w:val="0"/>
        <w:snapToGrid w:val="0"/>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（一）做好大气污染防治工作。项目加油、卸油过程中产生的废气通过油气回收系统收集处理</w:t>
      </w:r>
      <w:r>
        <w:rPr>
          <w:rStyle w:val="50"/>
          <w:rFonts w:hint="eastAsia" w:ascii="仿宋_GB2312" w:hAnsi="仿宋_GB2312" w:eastAsia="仿宋_GB2312" w:cs="仿宋_GB2312"/>
          <w:color w:val="000000" w:themeColor="text1"/>
          <w:sz w:val="32"/>
          <w:szCs w:val="32"/>
          <w:lang w:val="en-US" w:eastAsia="zh-CN"/>
          <w14:textFill>
            <w14:solidFill>
              <w14:schemeClr w14:val="tx1"/>
            </w14:solidFill>
          </w14:textFill>
        </w:rPr>
        <w:t>后无</w:t>
      </w:r>
      <w:r>
        <w:rPr>
          <w:rStyle w:val="50"/>
          <w:rFonts w:hint="eastAsia" w:ascii="仿宋_GB2312" w:hAnsi="仿宋_GB2312" w:eastAsia="仿宋_GB2312" w:cs="仿宋_GB2312"/>
          <w:color w:val="000000" w:themeColor="text1"/>
          <w:sz w:val="32"/>
          <w:szCs w:val="32"/>
          <w14:textFill>
            <w14:solidFill>
              <w14:schemeClr w14:val="tx1"/>
            </w14:solidFill>
          </w14:textFill>
        </w:rPr>
        <w:t>组织达标排放；备用发电机尾气通过排气筒</w:t>
      </w:r>
      <w:r>
        <w:rPr>
          <w:rStyle w:val="50"/>
          <w:rFonts w:hint="eastAsia" w:ascii="仿宋_GB2312" w:hAnsi="仿宋_GB2312" w:eastAsia="仿宋_GB2312" w:cs="仿宋_GB2312"/>
          <w:color w:val="000000" w:themeColor="text1"/>
          <w:sz w:val="32"/>
          <w:szCs w:val="32"/>
          <w:lang w:val="en-US" w:eastAsia="zh-CN"/>
          <w14:textFill>
            <w14:solidFill>
              <w14:schemeClr w14:val="tx1"/>
            </w14:solidFill>
          </w14:textFill>
        </w:rPr>
        <w:t>引</w:t>
      </w:r>
      <w:r>
        <w:rPr>
          <w:rStyle w:val="50"/>
          <w:rFonts w:hint="eastAsia" w:ascii="仿宋_GB2312" w:hAnsi="仿宋_GB2312" w:eastAsia="仿宋_GB2312" w:cs="仿宋_GB2312"/>
          <w:color w:val="000000" w:themeColor="text1"/>
          <w:sz w:val="32"/>
          <w:szCs w:val="32"/>
          <w14:textFill>
            <w14:solidFill>
              <w14:schemeClr w14:val="tx1"/>
            </w14:solidFill>
          </w14:textFill>
        </w:rPr>
        <w:t>至屋顶后达标排放。</w:t>
      </w:r>
    </w:p>
    <w:p w14:paraId="7440E7A3">
      <w:pPr>
        <w:pStyle w:val="46"/>
        <w:ind w:firstLine="480"/>
        <w:rPr>
          <w:rFonts w:hint="eastAsia" w:ascii="仿宋_GB2312" w:hAnsi="仿宋_GB2312" w:eastAsia="仿宋_GB2312" w:cs="仿宋_GB2312"/>
          <w:color w:val="000000" w:themeColor="text1"/>
          <w:sz w:val="32"/>
          <w:szCs w:val="32"/>
          <w14:textFill>
            <w14:solidFill>
              <w14:schemeClr w14:val="tx1"/>
            </w14:solidFill>
          </w14:textFill>
        </w:rPr>
      </w:pPr>
      <w:bookmarkStart w:id="0" w:name="OLE_LINK1"/>
      <w:r>
        <w:rPr>
          <w:rStyle w:val="50"/>
          <w:rFonts w:hint="eastAsia" w:ascii="仿宋_GB2312" w:hAnsi="仿宋_GB2312" w:eastAsia="仿宋_GB2312" w:cs="仿宋_GB2312"/>
          <w:color w:val="000000" w:themeColor="text1"/>
          <w:sz w:val="32"/>
          <w:szCs w:val="32"/>
          <w14:textFill>
            <w14:solidFill>
              <w14:schemeClr w14:val="tx1"/>
            </w14:solidFill>
          </w14:textFill>
        </w:rPr>
        <w:t>（二）</w:t>
      </w:r>
      <w:bookmarkEnd w:id="0"/>
      <w:r>
        <w:rPr>
          <w:rStyle w:val="50"/>
          <w:rFonts w:hint="eastAsia" w:ascii="仿宋_GB2312" w:hAnsi="仿宋_GB2312" w:eastAsia="仿宋_GB2312" w:cs="仿宋_GB2312"/>
          <w:color w:val="000000" w:themeColor="text1"/>
          <w:sz w:val="32"/>
          <w:szCs w:val="32"/>
          <w14:textFill>
            <w14:solidFill>
              <w14:schemeClr w14:val="tx1"/>
            </w14:solidFill>
          </w14:textFill>
        </w:rPr>
        <w:t>强化水污染防治措施。本项目地面清洁废水和初期雨水通过三级隔油池收集处理后回用于地面清洁和绿化；员工生活污水经化粪池处理达到《污水综合排放标准》（GB8978-1996）中三级标准后排入栗江镇污水处理厂。</w:t>
      </w:r>
    </w:p>
    <w:p w14:paraId="3CF2BC39">
      <w:pPr>
        <w:spacing w:line="600" w:lineRule="exact"/>
        <w:ind w:firstLine="640" w:firstLineChars="200"/>
        <w:rPr>
          <w:rFonts w:hint="eastAsia" w:ascii="仿宋_GB2312" w:hAnsi="仿宋_GB2312" w:eastAsia="仿宋_GB2312" w:cs="仿宋_GB2312"/>
          <w:color w:val="FF0000"/>
          <w:sz w:val="32"/>
          <w:szCs w:val="32"/>
        </w:rPr>
      </w:pPr>
      <w:r>
        <w:rPr>
          <w:rStyle w:val="50"/>
          <w:rFonts w:hint="eastAsia" w:ascii="仿宋_GB2312" w:hAnsi="仿宋_GB2312" w:eastAsia="仿宋_GB2312" w:cs="仿宋_GB2312"/>
          <w:color w:val="000000" w:themeColor="text1"/>
          <w:sz w:val="32"/>
          <w:szCs w:val="32"/>
          <w14:textFill>
            <w14:solidFill>
              <w14:schemeClr w14:val="tx1"/>
            </w14:solidFill>
          </w14:textFill>
        </w:rPr>
        <w:t>（三）加强各类固废管理，并采取有效措施防止二次污染。 员工生活垃圾通过分类收集后交由当地环卫部门统一处置；项目油罐保养产生的油泥及清及走，不在厂区内贮存；含油手套、废抹布、三级隔油沉淀池油污等危险废物，经危废暂存柜暂存后，委托有危废经营资质单位进行处置，并办理好危险废物转移手续。一般工业固废暂存间按照《一般工业固体废物贮存和填埋污染控制标准》(GB18599-2020)要求建设；危险废物暂存间严格按照《危险废物贮存污染控制标准》（GB18597-2023）要求建设。</w:t>
      </w:r>
    </w:p>
    <w:p w14:paraId="482145C5">
      <w:pPr>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四）做好噪声污染控制工作。项目设备噪声，通过厂房隔噪，选用低噪声设备，采取消声减震，并对设备合理布置等措施，确保营运期厂界噪声达到《工业企业厂界环境噪声排放标准》(GB12348-2008)中的2类、4类标准限值要求。</w:t>
      </w:r>
    </w:p>
    <w:p w14:paraId="0E123EF8">
      <w:pPr>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三、加强日常环境管理。建设单位应安排专职环保管理人员，建立健全环境管理制度，制定有效的风险防范措施和应急预案，防止发生环境风险事故。</w:t>
      </w:r>
    </w:p>
    <w:p w14:paraId="6F3E3D9B">
      <w:pPr>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四、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4BC1DE68">
      <w:pPr>
        <w:adjustRightInd w:val="0"/>
        <w:snapToGrid w:val="0"/>
        <w:spacing w:line="600" w:lineRule="exact"/>
        <w:ind w:firstLine="640" w:firstLineChars="200"/>
        <w:rPr>
          <w:rStyle w:val="50"/>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 xml:space="preserve">                  </w:t>
      </w:r>
    </w:p>
    <w:p w14:paraId="4B7DC621">
      <w:pPr>
        <w:adjustRightInd w:val="0"/>
        <w:snapToGrid w:val="0"/>
        <w:spacing w:line="600" w:lineRule="exact"/>
        <w:rPr>
          <w:rStyle w:val="50"/>
          <w:rFonts w:hint="eastAsia" w:ascii="仿宋_GB2312" w:hAnsi="仿宋_GB2312" w:eastAsia="仿宋_GB2312" w:cs="仿宋_GB2312"/>
          <w:color w:val="000000" w:themeColor="text1"/>
          <w:sz w:val="32"/>
          <w:szCs w:val="32"/>
          <w14:textFill>
            <w14:solidFill>
              <w14:schemeClr w14:val="tx1"/>
            </w14:solidFill>
          </w14:textFill>
        </w:rPr>
      </w:pPr>
    </w:p>
    <w:p w14:paraId="3571ADAC">
      <w:pPr>
        <w:adjustRightInd w:val="0"/>
        <w:snapToGrid w:val="0"/>
        <w:spacing w:line="600" w:lineRule="exact"/>
        <w:jc w:val="right"/>
        <w:rPr>
          <w:rFonts w:hint="eastAsia" w:ascii="仿宋_GB2312" w:hAnsi="仿宋_GB2312" w:eastAsia="仿宋_GB2312" w:cs="仿宋_GB2312"/>
          <w:color w:val="000000" w:themeColor="text1"/>
          <w:sz w:val="32"/>
          <w:szCs w:val="32"/>
          <w14:textFill>
            <w14:solidFill>
              <w14:schemeClr w14:val="tx1"/>
            </w14:solidFill>
          </w14:textFill>
        </w:rPr>
      </w:pPr>
      <w:r>
        <w:rPr>
          <w:rStyle w:val="50"/>
          <w:rFonts w:hint="eastAsia" w:ascii="仿宋_GB2312" w:hAnsi="仿宋_GB2312" w:eastAsia="仿宋_GB2312" w:cs="仿宋_GB2312"/>
          <w:color w:val="000000" w:themeColor="text1"/>
          <w:sz w:val="32"/>
          <w:szCs w:val="32"/>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 xml:space="preserve">        衡阳市生态环境局</w:t>
      </w:r>
    </w:p>
    <w:p w14:paraId="52902967">
      <w:pPr>
        <w:spacing w:line="600" w:lineRule="exact"/>
        <w:jc w:val="right"/>
        <w:rPr>
          <w:rFonts w:hint="eastAsia" w:ascii="仿宋_GB2312" w:hAnsi="仿宋_GB2312" w:eastAsia="仿宋_GB2312" w:cs="仿宋_GB2312"/>
          <w:b/>
          <w:bCs/>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                         2024年9月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27</w:t>
      </w:r>
      <w:r>
        <w:rPr>
          <w:rFonts w:hint="eastAsia" w:ascii="仿宋_GB2312" w:hAnsi="仿宋_GB2312" w:eastAsia="仿宋_GB2312" w:cs="仿宋_GB2312"/>
          <w:color w:val="000000" w:themeColor="text1"/>
          <w:sz w:val="32"/>
          <w:szCs w:val="32"/>
          <w14:textFill>
            <w14:solidFill>
              <w14:schemeClr w14:val="tx1"/>
            </w14:solidFill>
          </w14:textFill>
        </w:rPr>
        <w:t>日</w:t>
      </w:r>
    </w:p>
    <w:p w14:paraId="7A495B44">
      <w:pPr>
        <w:rPr>
          <w:rFonts w:hint="eastAsia" w:ascii="仿宋_GB2312" w:hAnsi="仿宋_GB2312" w:eastAsia="仿宋_GB2312" w:cs="仿宋_GB2312"/>
          <w:color w:val="FF0000"/>
          <w:sz w:val="32"/>
          <w:szCs w:val="32"/>
        </w:rPr>
      </w:pPr>
    </w:p>
    <w:sectPr>
      <w:footerReference r:id="rId3" w:type="default"/>
      <w:pgSz w:w="11906" w:h="16838"/>
      <w:pgMar w:top="1701"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30C9C">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B16BD0">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BB16BD0">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1E4CA2"/>
    <w:multiLevelType w:val="singleLevel"/>
    <w:tmpl w:val="A51E4CA2"/>
    <w:lvl w:ilvl="0" w:tentative="0">
      <w:start w:val="1"/>
      <w:numFmt w:val="decimal"/>
      <w:pStyle w:val="49"/>
      <w:suff w:val="nothing"/>
      <w:lvlText w:val="%1、"/>
      <w:lvlJc w:val="left"/>
    </w:lvl>
  </w:abstractNum>
  <w:abstractNum w:abstractNumId="1">
    <w:nsid w:val="0000000C"/>
    <w:multiLevelType w:val="singleLevel"/>
    <w:tmpl w:val="0000000C"/>
    <w:lvl w:ilvl="0" w:tentative="0">
      <w:start w:val="1"/>
      <w:numFmt w:val="bullet"/>
      <w:pStyle w:val="15"/>
      <w:lvlText w:val=""/>
      <w:lvlJc w:val="left"/>
      <w:pPr>
        <w:tabs>
          <w:tab w:val="left" w:pos="2040"/>
        </w:tabs>
        <w:ind w:left="2040" w:hanging="360"/>
      </w:pPr>
      <w:rPr>
        <w:rFonts w:hint="default" w:ascii="Wingdings" w:hAnsi="Wingdings"/>
      </w:rPr>
    </w:lvl>
  </w:abstractNum>
  <w:abstractNum w:abstractNumId="2">
    <w:nsid w:val="1ECBA01E"/>
    <w:multiLevelType w:val="multilevel"/>
    <w:tmpl w:val="1ECBA01E"/>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Restart w:val="1"/>
      <w:lvlText w:val="表%1-%5 "/>
      <w:lvlJc w:val="left"/>
      <w:pPr>
        <w:ind w:left="1008" w:hanging="1008"/>
      </w:pPr>
      <w:rPr>
        <w:rFonts w:hint="default" w:ascii="宋体" w:hAnsi="宋体" w:eastAsia="宋体" w:cs="宋体"/>
      </w:rPr>
    </w:lvl>
    <w:lvl w:ilvl="5" w:tentative="0">
      <w:start w:val="1"/>
      <w:numFmt w:val="decimal"/>
      <w:pStyle w:val="7"/>
      <w:lvlText w:val="图%1-%6 "/>
      <w:lvlJc w:val="left"/>
      <w:pPr>
        <w:ind w:left="1151" w:hanging="1151"/>
      </w:pPr>
      <w:rPr>
        <w:rFonts w:hint="default" w:ascii="宋体" w:hAnsi="宋体" w:eastAsia="宋体" w:cs="宋体"/>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abstractNum w:abstractNumId="3">
    <w:nsid w:val="28D582A2"/>
    <w:multiLevelType w:val="singleLevel"/>
    <w:tmpl w:val="28D582A2"/>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6013A8"/>
    <w:rsid w:val="00102BEC"/>
    <w:rsid w:val="00235E53"/>
    <w:rsid w:val="00276417"/>
    <w:rsid w:val="00283568"/>
    <w:rsid w:val="002F6FD1"/>
    <w:rsid w:val="004B23E3"/>
    <w:rsid w:val="004C0348"/>
    <w:rsid w:val="004C2D92"/>
    <w:rsid w:val="00590CD3"/>
    <w:rsid w:val="005D2EA4"/>
    <w:rsid w:val="006013A8"/>
    <w:rsid w:val="0079429C"/>
    <w:rsid w:val="00796200"/>
    <w:rsid w:val="007B4753"/>
    <w:rsid w:val="007F0C19"/>
    <w:rsid w:val="00862629"/>
    <w:rsid w:val="008B0021"/>
    <w:rsid w:val="0090109C"/>
    <w:rsid w:val="00946C23"/>
    <w:rsid w:val="009A0971"/>
    <w:rsid w:val="00CE39AC"/>
    <w:rsid w:val="00DD6F2C"/>
    <w:rsid w:val="00DE40FF"/>
    <w:rsid w:val="00E15807"/>
    <w:rsid w:val="00E279B7"/>
    <w:rsid w:val="00E530A6"/>
    <w:rsid w:val="00E67918"/>
    <w:rsid w:val="00F35EC2"/>
    <w:rsid w:val="00FB3DE5"/>
    <w:rsid w:val="02674079"/>
    <w:rsid w:val="02DC563D"/>
    <w:rsid w:val="04662176"/>
    <w:rsid w:val="06791CA9"/>
    <w:rsid w:val="0AA07F0D"/>
    <w:rsid w:val="0D2135C0"/>
    <w:rsid w:val="0F615EBD"/>
    <w:rsid w:val="10887908"/>
    <w:rsid w:val="11114067"/>
    <w:rsid w:val="118648E6"/>
    <w:rsid w:val="12647A72"/>
    <w:rsid w:val="17A80FA5"/>
    <w:rsid w:val="1BE81E70"/>
    <w:rsid w:val="1C053D3A"/>
    <w:rsid w:val="1D5462FB"/>
    <w:rsid w:val="1E701F5C"/>
    <w:rsid w:val="1E710206"/>
    <w:rsid w:val="20EC1F03"/>
    <w:rsid w:val="21AF5D06"/>
    <w:rsid w:val="24B810BC"/>
    <w:rsid w:val="26DB3FC4"/>
    <w:rsid w:val="29E33992"/>
    <w:rsid w:val="2B96058E"/>
    <w:rsid w:val="2E837EE4"/>
    <w:rsid w:val="300A6857"/>
    <w:rsid w:val="31393D18"/>
    <w:rsid w:val="31F04BA2"/>
    <w:rsid w:val="34BD3B5F"/>
    <w:rsid w:val="37692CB0"/>
    <w:rsid w:val="37EE1579"/>
    <w:rsid w:val="386D4FEA"/>
    <w:rsid w:val="39504B23"/>
    <w:rsid w:val="3B760E9F"/>
    <w:rsid w:val="3BB6622A"/>
    <w:rsid w:val="3F3F2B0B"/>
    <w:rsid w:val="402447F6"/>
    <w:rsid w:val="40266A11"/>
    <w:rsid w:val="40281E01"/>
    <w:rsid w:val="40BA314E"/>
    <w:rsid w:val="43C1117B"/>
    <w:rsid w:val="45C410C9"/>
    <w:rsid w:val="47C016D8"/>
    <w:rsid w:val="48DD3AFF"/>
    <w:rsid w:val="4BB91895"/>
    <w:rsid w:val="4E277ED8"/>
    <w:rsid w:val="4FAA6BC2"/>
    <w:rsid w:val="50EB3DFB"/>
    <w:rsid w:val="50FA25E7"/>
    <w:rsid w:val="550B2446"/>
    <w:rsid w:val="5A355835"/>
    <w:rsid w:val="5BE47E6C"/>
    <w:rsid w:val="5C1E0A99"/>
    <w:rsid w:val="5F7956B1"/>
    <w:rsid w:val="621F6057"/>
    <w:rsid w:val="62FE0CC5"/>
    <w:rsid w:val="64AD33E9"/>
    <w:rsid w:val="6BED34E7"/>
    <w:rsid w:val="6C884CE3"/>
    <w:rsid w:val="6D3B2872"/>
    <w:rsid w:val="6E616814"/>
    <w:rsid w:val="72080E51"/>
    <w:rsid w:val="758535B9"/>
    <w:rsid w:val="75E523F3"/>
    <w:rsid w:val="766F483F"/>
    <w:rsid w:val="7770369F"/>
    <w:rsid w:val="7F5E3F11"/>
    <w:rsid w:val="7F9902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28"/>
    <w:autoRedefine/>
    <w:qFormat/>
    <w:uiPriority w:val="0"/>
    <w:pPr>
      <w:keepNext/>
      <w:keepLines/>
      <w:spacing w:line="360" w:lineRule="auto"/>
      <w:jc w:val="left"/>
      <w:outlineLvl w:val="0"/>
    </w:pPr>
    <w:rPr>
      <w:rFonts w:ascii="Times New Roman" w:hAnsi="Times New Roman" w:eastAsia="宋体" w:cs="Times New Roman"/>
      <w:b/>
      <w:bCs/>
      <w:kern w:val="44"/>
      <w:sz w:val="30"/>
      <w:szCs w:val="44"/>
    </w:rPr>
  </w:style>
  <w:style w:type="paragraph" w:styleId="3">
    <w:name w:val="heading 2"/>
    <w:basedOn w:val="1"/>
    <w:next w:val="1"/>
    <w:link w:val="35"/>
    <w:autoRedefine/>
    <w:unhideWhenUsed/>
    <w:qFormat/>
    <w:uiPriority w:val="0"/>
    <w:pPr>
      <w:keepLines/>
      <w:spacing w:line="413" w:lineRule="auto"/>
      <w:jc w:val="left"/>
      <w:outlineLvl w:val="1"/>
    </w:pPr>
    <w:rPr>
      <w:rFonts w:ascii="Times New Roman" w:hAnsi="Times New Roman" w:eastAsia="宋体" w:cs="Times New Roman"/>
      <w:b/>
      <w:sz w:val="28"/>
      <w:szCs w:val="22"/>
    </w:rPr>
  </w:style>
  <w:style w:type="paragraph" w:styleId="4">
    <w:name w:val="heading 3"/>
    <w:basedOn w:val="1"/>
    <w:next w:val="1"/>
    <w:link w:val="38"/>
    <w:autoRedefine/>
    <w:unhideWhenUsed/>
    <w:qFormat/>
    <w:uiPriority w:val="0"/>
    <w:pPr>
      <w:keepNext/>
      <w:keepLines/>
      <w:jc w:val="left"/>
      <w:outlineLvl w:val="2"/>
    </w:pPr>
    <w:rPr>
      <w:rFonts w:ascii="Times New Roman" w:hAnsi="Times New Roman" w:eastAsia="宋体" w:cs="Times New Roman"/>
      <w:b/>
      <w:sz w:val="24"/>
      <w:szCs w:val="22"/>
    </w:rPr>
  </w:style>
  <w:style w:type="paragraph" w:styleId="5">
    <w:name w:val="heading 4"/>
    <w:basedOn w:val="1"/>
    <w:next w:val="1"/>
    <w:autoRedefine/>
    <w:unhideWhenUsed/>
    <w:qFormat/>
    <w:uiPriority w:val="0"/>
    <w:pPr>
      <w:keepNext/>
      <w:keepLines/>
      <w:spacing w:before="140" w:after="140"/>
      <w:ind w:left="864" w:hanging="864"/>
      <w:jc w:val="left"/>
      <w:outlineLvl w:val="3"/>
    </w:pPr>
    <w:rPr>
      <w:rFonts w:ascii="Times New Roman" w:hAnsi="Times New Roman" w:eastAsia="宋体"/>
      <w:b/>
      <w:sz w:val="24"/>
    </w:rPr>
  </w:style>
  <w:style w:type="paragraph" w:styleId="6">
    <w:name w:val="heading 5"/>
    <w:basedOn w:val="1"/>
    <w:next w:val="1"/>
    <w:autoRedefine/>
    <w:unhideWhenUsed/>
    <w:qFormat/>
    <w:uiPriority w:val="0"/>
    <w:pPr>
      <w:keepNext/>
      <w:keepLines/>
      <w:spacing w:line="360" w:lineRule="auto"/>
      <w:ind w:firstLine="1044" w:firstLineChars="200"/>
      <w:jc w:val="left"/>
      <w:outlineLvl w:val="4"/>
    </w:pPr>
    <w:rPr>
      <w:rFonts w:ascii="Times New Roman" w:hAnsi="Times New Roman" w:eastAsia="宋体" w:cs="Times New Roman"/>
      <w:b/>
      <w:sz w:val="24"/>
    </w:rPr>
  </w:style>
  <w:style w:type="paragraph" w:styleId="7">
    <w:name w:val="heading 6"/>
    <w:basedOn w:val="1"/>
    <w:next w:val="1"/>
    <w:autoRedefine/>
    <w:unhideWhenUsed/>
    <w:qFormat/>
    <w:uiPriority w:val="0"/>
    <w:pPr>
      <w:keepNext/>
      <w:keepLines/>
      <w:numPr>
        <w:ilvl w:val="5"/>
        <w:numId w:val="1"/>
      </w:numPr>
      <w:spacing w:before="240" w:after="64" w:line="317" w:lineRule="auto"/>
      <w:outlineLvl w:val="5"/>
    </w:pPr>
    <w:rPr>
      <w:rFonts w:ascii="Arial" w:hAnsi="Arial" w:eastAsia="黑体"/>
      <w:b/>
      <w:sz w:val="24"/>
    </w:rPr>
  </w:style>
  <w:style w:type="paragraph" w:styleId="8">
    <w:name w:val="heading 7"/>
    <w:basedOn w:val="1"/>
    <w:next w:val="1"/>
    <w:autoRedefine/>
    <w:unhideWhenUsed/>
    <w:qFormat/>
    <w:uiPriority w:val="0"/>
    <w:pPr>
      <w:keepNext/>
      <w:keepLines/>
      <w:numPr>
        <w:ilvl w:val="6"/>
        <w:numId w:val="1"/>
      </w:numPr>
      <w:spacing w:before="240" w:after="64" w:line="317" w:lineRule="auto"/>
      <w:outlineLvl w:val="6"/>
    </w:pPr>
    <w:rPr>
      <w:b/>
      <w:sz w:val="24"/>
    </w:rPr>
  </w:style>
  <w:style w:type="paragraph" w:styleId="9">
    <w:name w:val="heading 8"/>
    <w:basedOn w:val="1"/>
    <w:next w:val="1"/>
    <w:autoRedefine/>
    <w:unhideWhenUsed/>
    <w:qFormat/>
    <w:uiPriority w:val="0"/>
    <w:pPr>
      <w:keepNext/>
      <w:keepLines/>
      <w:numPr>
        <w:ilvl w:val="7"/>
        <w:numId w:val="1"/>
      </w:numPr>
      <w:spacing w:before="240" w:after="64" w:line="317" w:lineRule="auto"/>
      <w:outlineLvl w:val="7"/>
    </w:pPr>
    <w:rPr>
      <w:rFonts w:ascii="Arial" w:hAnsi="Arial" w:eastAsia="黑体"/>
      <w:sz w:val="24"/>
    </w:rPr>
  </w:style>
  <w:style w:type="paragraph" w:styleId="10">
    <w:name w:val="heading 9"/>
    <w:basedOn w:val="1"/>
    <w:next w:val="1"/>
    <w:autoRedefine/>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24">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autoRedefine/>
    <w:qFormat/>
    <w:uiPriority w:val="0"/>
    <w:pPr>
      <w:ind w:firstLine="420" w:firstLineChars="200"/>
    </w:pPr>
  </w:style>
  <w:style w:type="paragraph" w:styleId="12">
    <w:name w:val="Body Text"/>
    <w:basedOn w:val="1"/>
    <w:next w:val="1"/>
    <w:link w:val="36"/>
    <w:autoRedefine/>
    <w:qFormat/>
    <w:uiPriority w:val="0"/>
    <w:pPr>
      <w:widowControl/>
      <w:snapToGrid w:val="0"/>
      <w:spacing w:line="260" w:lineRule="auto"/>
      <w:ind w:right="113"/>
    </w:pPr>
    <w:rPr>
      <w:rFonts w:ascii="Times New Roman" w:hAnsi="Times New Roman" w:eastAsia="宋体"/>
      <w:kern w:val="0"/>
      <w:sz w:val="18"/>
      <w:szCs w:val="20"/>
    </w:rPr>
  </w:style>
  <w:style w:type="paragraph" w:styleId="13">
    <w:name w:val="Body Text Indent"/>
    <w:basedOn w:val="1"/>
    <w:next w:val="14"/>
    <w:autoRedefine/>
    <w:qFormat/>
    <w:uiPriority w:val="0"/>
    <w:pPr>
      <w:spacing w:after="120"/>
      <w:ind w:left="420" w:leftChars="200"/>
    </w:pPr>
  </w:style>
  <w:style w:type="paragraph" w:styleId="14">
    <w:name w:val="Body Text Indent 2"/>
    <w:basedOn w:val="1"/>
    <w:next w:val="1"/>
    <w:link w:val="40"/>
    <w:autoRedefine/>
    <w:qFormat/>
    <w:uiPriority w:val="0"/>
    <w:pPr>
      <w:tabs>
        <w:tab w:val="left" w:pos="0"/>
      </w:tabs>
      <w:spacing w:line="360" w:lineRule="auto"/>
      <w:jc w:val="center"/>
    </w:pPr>
    <w:rPr>
      <w:rFonts w:ascii="Times New Roman" w:hAnsi="Times New Roman" w:eastAsia="宋体" w:cs="Times New Roman"/>
      <w:b/>
      <w:szCs w:val="22"/>
    </w:rPr>
  </w:style>
  <w:style w:type="paragraph" w:styleId="15">
    <w:name w:val="List Bullet 5"/>
    <w:basedOn w:val="1"/>
    <w:autoRedefine/>
    <w:qFormat/>
    <w:uiPriority w:val="0"/>
    <w:pPr>
      <w:numPr>
        <w:ilvl w:val="0"/>
        <w:numId w:val="2"/>
      </w:numPr>
    </w:p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link w:val="42"/>
    <w:autoRedefine/>
    <w:qFormat/>
    <w:uiPriority w:val="0"/>
    <w:pPr>
      <w:pBdr>
        <w:bottom w:val="single" w:color="auto" w:sz="6" w:space="1"/>
      </w:pBdr>
      <w:tabs>
        <w:tab w:val="center" w:pos="4153"/>
        <w:tab w:val="right" w:pos="8306"/>
      </w:tabs>
      <w:jc w:val="center"/>
    </w:pPr>
    <w:rPr>
      <w:rFonts w:ascii="Times New Roman" w:hAnsi="Times New Roman" w:eastAsia="宋体"/>
      <w:sz w:val="18"/>
      <w:szCs w:val="18"/>
    </w:rPr>
  </w:style>
  <w:style w:type="paragraph" w:styleId="18">
    <w:name w:val="table of figures"/>
    <w:basedOn w:val="1"/>
    <w:next w:val="1"/>
    <w:autoRedefine/>
    <w:qFormat/>
    <w:uiPriority w:val="0"/>
    <w:pPr>
      <w:ind w:left="200" w:leftChars="200" w:hanging="200" w:hangingChars="200"/>
    </w:pPr>
  </w:style>
  <w:style w:type="paragraph" w:styleId="19">
    <w:name w:val="Normal (Web)"/>
    <w:basedOn w:val="1"/>
    <w:qFormat/>
    <w:uiPriority w:val="0"/>
    <w:pPr>
      <w:widowControl/>
      <w:spacing w:before="100" w:beforeAutospacing="1" w:after="100" w:afterAutospacing="1"/>
      <w:jc w:val="left"/>
    </w:pPr>
    <w:rPr>
      <w:rFonts w:ascii="宋体" w:hAnsi="宋体"/>
      <w:kern w:val="0"/>
      <w:sz w:val="24"/>
      <w:szCs w:val="20"/>
    </w:rPr>
  </w:style>
  <w:style w:type="paragraph" w:styleId="20">
    <w:name w:val="Title"/>
    <w:basedOn w:val="1"/>
    <w:autoRedefine/>
    <w:qFormat/>
    <w:uiPriority w:val="0"/>
    <w:pPr>
      <w:spacing w:before="240" w:after="60"/>
      <w:jc w:val="center"/>
      <w:outlineLvl w:val="0"/>
    </w:pPr>
    <w:rPr>
      <w:rFonts w:ascii="Arial" w:hAnsi="Arial"/>
      <w:b/>
      <w:sz w:val="32"/>
    </w:rPr>
  </w:style>
  <w:style w:type="paragraph" w:styleId="21">
    <w:name w:val="Body Text First Indent"/>
    <w:basedOn w:val="12"/>
    <w:next w:val="1"/>
    <w:qFormat/>
    <w:uiPriority w:val="0"/>
    <w:pPr>
      <w:ind w:firstLine="420" w:firstLineChars="100"/>
    </w:pPr>
  </w:style>
  <w:style w:type="paragraph" w:styleId="22">
    <w:name w:val="Body Text First Indent 2"/>
    <w:basedOn w:val="13"/>
    <w:next w:val="21"/>
    <w:autoRedefine/>
    <w:qFormat/>
    <w:uiPriority w:val="0"/>
    <w:pPr>
      <w:spacing w:line="360" w:lineRule="auto"/>
      <w:ind w:left="0" w:leftChars="0"/>
    </w:pPr>
    <w:rPr>
      <w:rFonts w:ascii="Times New Roman" w:hAnsi="Times New Roman" w:eastAsia="宋体"/>
    </w:rPr>
  </w:style>
  <w:style w:type="paragraph" w:customStyle="1" w:styleId="25">
    <w:name w:val="Default"/>
    <w:basedOn w:val="26"/>
    <w:next w:val="22"/>
    <w:autoRedefine/>
    <w:qFormat/>
    <w:uiPriority w:val="0"/>
    <w:pPr>
      <w:autoSpaceDE w:val="0"/>
      <w:autoSpaceDN w:val="0"/>
      <w:spacing w:line="360" w:lineRule="auto"/>
    </w:pPr>
    <w:rPr>
      <w:rFonts w:hint="eastAsia" w:hAnsi="宋体" w:eastAsia="宋体"/>
      <w:color w:val="000000"/>
    </w:rPr>
  </w:style>
  <w:style w:type="paragraph" w:customStyle="1" w:styleId="26">
    <w:name w:val="纯文本1"/>
    <w:basedOn w:val="1"/>
    <w:qFormat/>
    <w:uiPriority w:val="0"/>
    <w:pPr>
      <w:adjustRightInd w:val="0"/>
    </w:pPr>
    <w:rPr>
      <w:rFonts w:ascii="宋体" w:hAnsi="Courier New"/>
      <w:szCs w:val="20"/>
    </w:rPr>
  </w:style>
  <w:style w:type="paragraph" w:customStyle="1" w:styleId="27">
    <w:name w:val="0正文唐"/>
    <w:basedOn w:val="1"/>
    <w:link w:val="43"/>
    <w:autoRedefine/>
    <w:qFormat/>
    <w:uiPriority w:val="0"/>
    <w:pPr>
      <w:spacing w:line="360" w:lineRule="auto"/>
      <w:ind w:firstLine="720" w:firstLineChars="200"/>
      <w:jc w:val="left"/>
    </w:pPr>
    <w:rPr>
      <w:rFonts w:ascii="Times New Roman" w:hAnsi="Times New Roman" w:eastAsia="宋体" w:cs="Times New Roman"/>
      <w:sz w:val="28"/>
    </w:rPr>
  </w:style>
  <w:style w:type="character" w:customStyle="1" w:styleId="28">
    <w:name w:val="标题 1 Char"/>
    <w:link w:val="2"/>
    <w:autoRedefine/>
    <w:qFormat/>
    <w:uiPriority w:val="99"/>
    <w:rPr>
      <w:rFonts w:ascii="Times New Roman" w:hAnsi="Times New Roman" w:eastAsia="宋体" w:cs="Times New Roman"/>
      <w:b/>
      <w:kern w:val="44"/>
      <w:sz w:val="30"/>
    </w:rPr>
  </w:style>
  <w:style w:type="paragraph" w:customStyle="1" w:styleId="29">
    <w:name w:val="正文5号"/>
    <w:basedOn w:val="1"/>
    <w:autoRedefine/>
    <w:qFormat/>
    <w:uiPriority w:val="0"/>
    <w:pPr>
      <w:spacing w:line="360" w:lineRule="auto"/>
      <w:ind w:firstLine="422" w:firstLineChars="200"/>
    </w:pPr>
    <w:rPr>
      <w:rFonts w:ascii="Times New Roman" w:hAnsi="Times New Roman"/>
      <w:bCs/>
      <w:kern w:val="24"/>
      <w:szCs w:val="21"/>
    </w:rPr>
  </w:style>
  <w:style w:type="paragraph" w:customStyle="1" w:styleId="30">
    <w:name w:val="正文5号-缩进2"/>
    <w:basedOn w:val="1"/>
    <w:autoRedefine/>
    <w:qFormat/>
    <w:uiPriority w:val="0"/>
    <w:pPr>
      <w:autoSpaceDE w:val="0"/>
      <w:autoSpaceDN w:val="0"/>
      <w:adjustRightInd w:val="0"/>
      <w:snapToGrid w:val="0"/>
      <w:spacing w:line="360" w:lineRule="auto"/>
      <w:ind w:firstLine="420" w:firstLineChars="200"/>
    </w:pPr>
    <w:rPr>
      <w:rFonts w:ascii="Times New Roman" w:hAnsi="Times New Roman" w:cs="宋体"/>
      <w:kern w:val="0"/>
      <w:szCs w:val="21"/>
    </w:rPr>
  </w:style>
  <w:style w:type="paragraph" w:customStyle="1" w:styleId="31">
    <w:name w:val="5号-缩进2"/>
    <w:basedOn w:val="1"/>
    <w:autoRedefine/>
    <w:qFormat/>
    <w:uiPriority w:val="0"/>
    <w:pPr>
      <w:autoSpaceDE w:val="0"/>
      <w:autoSpaceDN w:val="0"/>
      <w:adjustRightInd w:val="0"/>
      <w:snapToGrid w:val="0"/>
      <w:spacing w:line="360" w:lineRule="auto"/>
      <w:ind w:firstLine="420" w:firstLineChars="200"/>
    </w:pPr>
    <w:rPr>
      <w:rFonts w:ascii="Times New Roman" w:hAnsi="Times New Roman" w:eastAsia="宋体" w:cs="宋体"/>
      <w:kern w:val="0"/>
      <w:szCs w:val="21"/>
    </w:rPr>
  </w:style>
  <w:style w:type="paragraph" w:customStyle="1" w:styleId="32">
    <w:name w:val="5号居中"/>
    <w:basedOn w:val="1"/>
    <w:autoRedefine/>
    <w:qFormat/>
    <w:uiPriority w:val="0"/>
    <w:pPr>
      <w:adjustRightInd w:val="0"/>
      <w:snapToGrid w:val="0"/>
      <w:jc w:val="center"/>
    </w:pPr>
    <w:rPr>
      <w:rFonts w:ascii="Times New Roman" w:hAnsi="Times New Roman" w:cs="宋体"/>
      <w:szCs w:val="21"/>
    </w:rPr>
  </w:style>
  <w:style w:type="paragraph" w:customStyle="1" w:styleId="33">
    <w:name w:val="表头"/>
    <w:basedOn w:val="11"/>
    <w:next w:val="1"/>
    <w:autoRedefine/>
    <w:qFormat/>
    <w:uiPriority w:val="0"/>
    <w:pPr>
      <w:autoSpaceDE w:val="0"/>
      <w:autoSpaceDN w:val="0"/>
      <w:adjustRightInd w:val="0"/>
      <w:spacing w:before="50" w:beforeLines="50"/>
      <w:ind w:firstLine="0" w:firstLineChars="0"/>
      <w:jc w:val="center"/>
      <w:textAlignment w:val="baseline"/>
    </w:pPr>
    <w:rPr>
      <w:rFonts w:ascii="Times New Roman" w:hAnsi="Times New Roman" w:eastAsia="宋体" w:cs="Times New Roman"/>
      <w:b/>
      <w:color w:val="000000"/>
      <w:szCs w:val="21"/>
    </w:rPr>
  </w:style>
  <w:style w:type="paragraph" w:customStyle="1" w:styleId="34">
    <w:name w:val="表头5号"/>
    <w:basedOn w:val="1"/>
    <w:autoRedefine/>
    <w:qFormat/>
    <w:uiPriority w:val="0"/>
    <w:pPr>
      <w:spacing w:before="50" w:beforeLines="50"/>
      <w:jc w:val="center"/>
    </w:pPr>
    <w:rPr>
      <w:rFonts w:ascii="Times New Roman" w:hAnsi="Times New Roman" w:eastAsia="宋体" w:cs="Times New Roman"/>
      <w:b/>
      <w:bCs/>
      <w:szCs w:val="21"/>
      <w:lang w:bidi="en-US"/>
    </w:rPr>
  </w:style>
  <w:style w:type="character" w:customStyle="1" w:styleId="35">
    <w:name w:val="标题 2 Char"/>
    <w:link w:val="3"/>
    <w:autoRedefine/>
    <w:qFormat/>
    <w:uiPriority w:val="0"/>
    <w:rPr>
      <w:rFonts w:ascii="Times New Roman" w:hAnsi="Times New Roman" w:eastAsia="宋体" w:cs="Times New Roman"/>
      <w:b/>
      <w:sz w:val="28"/>
      <w:szCs w:val="22"/>
    </w:rPr>
  </w:style>
  <w:style w:type="character" w:customStyle="1" w:styleId="36">
    <w:name w:val="正文文本 Char"/>
    <w:link w:val="12"/>
    <w:autoRedefine/>
    <w:qFormat/>
    <w:locked/>
    <w:uiPriority w:val="0"/>
    <w:rPr>
      <w:rFonts w:ascii="Times New Roman" w:hAnsi="Times New Roman" w:eastAsia="宋体"/>
      <w:sz w:val="18"/>
    </w:rPr>
  </w:style>
  <w:style w:type="paragraph" w:customStyle="1" w:styleId="37">
    <w:name w:val="0正文"/>
    <w:basedOn w:val="1"/>
    <w:autoRedefine/>
    <w:qFormat/>
    <w:uiPriority w:val="0"/>
    <w:pPr>
      <w:spacing w:line="360" w:lineRule="auto"/>
      <w:ind w:firstLine="1040" w:firstLineChars="200"/>
    </w:pPr>
    <w:rPr>
      <w:rFonts w:ascii="Times New Roman" w:hAnsi="Times New Roman" w:cs="Times New Roman"/>
      <w:sz w:val="24"/>
    </w:rPr>
  </w:style>
  <w:style w:type="character" w:customStyle="1" w:styleId="38">
    <w:name w:val="标题 3 Char"/>
    <w:link w:val="4"/>
    <w:autoRedefine/>
    <w:qFormat/>
    <w:uiPriority w:val="0"/>
    <w:rPr>
      <w:rFonts w:ascii="Times New Roman" w:hAnsi="Times New Roman" w:eastAsia="宋体" w:cs="Times New Roman"/>
      <w:b/>
      <w:sz w:val="28"/>
      <w:szCs w:val="30"/>
    </w:rPr>
  </w:style>
  <w:style w:type="paragraph" w:customStyle="1" w:styleId="39">
    <w:name w:val="表 标题"/>
    <w:basedOn w:val="18"/>
    <w:autoRedefine/>
    <w:qFormat/>
    <w:uiPriority w:val="0"/>
    <w:pPr>
      <w:spacing w:before="50" w:beforeLines="50"/>
      <w:ind w:left="0" w:leftChars="0" w:firstLine="0" w:firstLineChars="0"/>
      <w:jc w:val="center"/>
    </w:pPr>
    <w:rPr>
      <w:rFonts w:ascii="Times New Roman" w:hAnsi="Times New Roman" w:eastAsia="宋体" w:cs="Times New Roman"/>
      <w:b/>
      <w:szCs w:val="20"/>
    </w:rPr>
  </w:style>
  <w:style w:type="character" w:customStyle="1" w:styleId="40">
    <w:name w:val="正文文本缩进 2 Char"/>
    <w:link w:val="14"/>
    <w:autoRedefine/>
    <w:qFormat/>
    <w:uiPriority w:val="0"/>
    <w:rPr>
      <w:rFonts w:ascii="Times New Roman" w:hAnsi="Times New Roman" w:eastAsia="宋体" w:cs="Times New Roman"/>
      <w:b/>
      <w:sz w:val="21"/>
      <w:szCs w:val="22"/>
    </w:rPr>
  </w:style>
  <w:style w:type="paragraph" w:customStyle="1" w:styleId="41">
    <w:name w:val="正  文"/>
    <w:autoRedefine/>
    <w:qFormat/>
    <w:uiPriority w:val="0"/>
    <w:pPr>
      <w:widowControl w:val="0"/>
      <w:spacing w:line="360" w:lineRule="auto"/>
      <w:ind w:firstLine="200" w:firstLineChars="200"/>
    </w:pPr>
    <w:rPr>
      <w:rFonts w:ascii="Times New Roman" w:hAnsi="Times New Roman" w:eastAsia="宋体" w:cs="Times New Roman"/>
      <w:kern w:val="2"/>
      <w:sz w:val="24"/>
      <w:szCs w:val="28"/>
      <w:lang w:val="en-US" w:eastAsia="zh-CN" w:bidi="ar-SA"/>
    </w:rPr>
  </w:style>
  <w:style w:type="character" w:customStyle="1" w:styleId="42">
    <w:name w:val="页眉 Char"/>
    <w:link w:val="17"/>
    <w:autoRedefine/>
    <w:qFormat/>
    <w:uiPriority w:val="99"/>
    <w:rPr>
      <w:rFonts w:ascii="Times New Roman" w:hAnsi="Times New Roman" w:eastAsia="宋体"/>
      <w:kern w:val="2"/>
      <w:sz w:val="18"/>
      <w:szCs w:val="18"/>
    </w:rPr>
  </w:style>
  <w:style w:type="character" w:customStyle="1" w:styleId="43">
    <w:name w:val="0正文唐 Char"/>
    <w:link w:val="27"/>
    <w:autoRedefine/>
    <w:qFormat/>
    <w:uiPriority w:val="0"/>
    <w:rPr>
      <w:rFonts w:ascii="Times New Roman" w:hAnsi="Times New Roman" w:eastAsia="宋体" w:cs="Times New Roman"/>
      <w:sz w:val="28"/>
    </w:rPr>
  </w:style>
  <w:style w:type="paragraph" w:customStyle="1" w:styleId="44">
    <w:name w:val="正文-唐"/>
    <w:basedOn w:val="27"/>
    <w:autoRedefine/>
    <w:qFormat/>
    <w:uiPriority w:val="0"/>
    <w:pPr>
      <w:ind w:firstLine="600"/>
    </w:pPr>
    <w:rPr>
      <w:szCs w:val="22"/>
    </w:rPr>
  </w:style>
  <w:style w:type="paragraph" w:customStyle="1" w:styleId="45">
    <w:name w:val="自编-正文"/>
    <w:basedOn w:val="1"/>
    <w:autoRedefine/>
    <w:qFormat/>
    <w:uiPriority w:val="0"/>
    <w:pPr>
      <w:spacing w:line="360" w:lineRule="auto"/>
      <w:ind w:firstLine="480" w:firstLineChars="200"/>
      <w:jc w:val="left"/>
    </w:pPr>
    <w:rPr>
      <w:rFonts w:ascii="Times New Roman" w:hAnsi="Times New Roman" w:eastAsia="宋体" w:cs="宋体"/>
      <w:sz w:val="24"/>
    </w:rPr>
  </w:style>
  <w:style w:type="paragraph" w:customStyle="1" w:styleId="46">
    <w:name w:val="报告正文"/>
    <w:basedOn w:val="1"/>
    <w:link w:val="47"/>
    <w:autoRedefine/>
    <w:qFormat/>
    <w:uiPriority w:val="0"/>
    <w:pPr>
      <w:spacing w:line="360" w:lineRule="auto"/>
      <w:textAlignment w:val="baseline"/>
    </w:pPr>
    <w:rPr>
      <w:rFonts w:ascii="Times New Roman" w:hAnsi="Times New Roman" w:eastAsia="宋体"/>
      <w:kern w:val="24"/>
      <w:sz w:val="24"/>
    </w:rPr>
  </w:style>
  <w:style w:type="character" w:customStyle="1" w:styleId="47">
    <w:name w:val="报告正文 Char"/>
    <w:link w:val="46"/>
    <w:autoRedefine/>
    <w:qFormat/>
    <w:uiPriority w:val="0"/>
    <w:rPr>
      <w:rFonts w:ascii="Times New Roman" w:hAnsi="Times New Roman" w:eastAsia="宋体"/>
      <w:kern w:val="24"/>
      <w:sz w:val="24"/>
      <w:szCs w:val="24"/>
    </w:rPr>
  </w:style>
  <w:style w:type="paragraph" w:customStyle="1" w:styleId="48">
    <w:name w:val="表内文字"/>
    <w:basedOn w:val="1"/>
    <w:autoRedefine/>
    <w:qFormat/>
    <w:uiPriority w:val="0"/>
    <w:pPr>
      <w:jc w:val="center"/>
    </w:pPr>
    <w:rPr>
      <w:rFonts w:ascii="Times New Roman" w:hAnsi="Times New Roman" w:eastAsia="宋体" w:cs="Times New Roman"/>
      <w:bCs/>
      <w:szCs w:val="21"/>
    </w:rPr>
  </w:style>
  <w:style w:type="paragraph" w:customStyle="1" w:styleId="49">
    <w:name w:val="0验收正文"/>
    <w:basedOn w:val="27"/>
    <w:next w:val="27"/>
    <w:autoRedefine/>
    <w:qFormat/>
    <w:uiPriority w:val="0"/>
    <w:pPr>
      <w:numPr>
        <w:ilvl w:val="0"/>
        <w:numId w:val="3"/>
      </w:numPr>
      <w:jc w:val="both"/>
    </w:pPr>
    <w:rPr>
      <w:bCs/>
    </w:rPr>
  </w:style>
  <w:style w:type="character" w:customStyle="1" w:styleId="50">
    <w:name w:val="content1"/>
    <w:basedOn w:val="24"/>
    <w:autoRedefine/>
    <w:qFormat/>
    <w:uiPriority w:val="0"/>
    <w:rPr>
      <w:color w:val="000000"/>
      <w:sz w:val="20"/>
      <w:szCs w:val="20"/>
    </w:rPr>
  </w:style>
  <w:style w:type="paragraph" w:customStyle="1" w:styleId="51">
    <w:name w:val="列出段落1"/>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3</Pages>
  <Words>1134</Words>
  <Characters>1225</Characters>
  <Lines>9</Lines>
  <Paragraphs>2</Paragraphs>
  <TotalTime>17</TotalTime>
  <ScaleCrop>false</ScaleCrop>
  <LinksUpToDate>false</LinksUpToDate>
  <CharactersWithSpaces>1336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2024-04-01T02:17:00Z</dcterms:created>
  <dc:creator>fm</dc:creator>
  <cp:lastModifiedBy>haiy(•̀⌄•́)</cp:lastModifiedBy>
  <cp:lastPrinted>2024-09-29T02:20:58Z</cp:lastPrinted>
  <dcterms:modified xsi:type="dcterms:W3CDTF">2024-09-29T02:22:32Z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82E79A93AF484D07AC21EF8E73248D5C_13</vt:lpwstr>
  </property>
</Properties>
</file>