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0AF49A">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 w:hAnsi="仿宋" w:eastAsia="仿宋" w:cs="仿宋"/>
          <w:sz w:val="32"/>
          <w:szCs w:val="32"/>
        </w:rPr>
      </w:pPr>
    </w:p>
    <w:p w14:paraId="35DB194F">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 w:hAnsi="仿宋" w:eastAsia="仿宋" w:cs="仿宋"/>
          <w:sz w:val="32"/>
          <w:szCs w:val="32"/>
        </w:rPr>
      </w:pPr>
    </w:p>
    <w:p w14:paraId="74C1C4AF">
      <w:pPr>
        <w:keepNext w:val="0"/>
        <w:keepLines w:val="0"/>
        <w:pageBreakBefore w:val="0"/>
        <w:widowControl w:val="0"/>
        <w:kinsoku/>
        <w:wordWrap/>
        <w:overflowPunct/>
        <w:topLinePunct w:val="0"/>
        <w:autoSpaceDE/>
        <w:autoSpaceDN/>
        <w:bidi w:val="0"/>
        <w:adjustRightInd/>
        <w:snapToGrid/>
        <w:spacing w:line="560" w:lineRule="exact"/>
        <w:jc w:val="right"/>
        <w:textAlignment w:val="auto"/>
        <w:rPr>
          <w:rFonts w:hint="eastAsia" w:ascii="仿宋" w:hAnsi="仿宋" w:eastAsia="仿宋" w:cs="仿宋"/>
          <w:sz w:val="32"/>
          <w:szCs w:val="32"/>
        </w:rPr>
      </w:pPr>
    </w:p>
    <w:p w14:paraId="7636117F">
      <w:pPr>
        <w:jc w:val="right"/>
        <w:rPr>
          <w:rFonts w:hint="eastAsia" w:ascii="仿宋" w:hAnsi="仿宋" w:eastAsia="仿宋" w:cs="仿宋"/>
          <w:sz w:val="32"/>
          <w:szCs w:val="32"/>
        </w:rPr>
      </w:pPr>
      <w:r>
        <w:rPr>
          <w:rFonts w:hint="eastAsia" w:ascii="仿宋" w:hAnsi="仿宋" w:eastAsia="仿宋" w:cs="仿宋"/>
          <w:sz w:val="32"/>
          <w:szCs w:val="32"/>
        </w:rPr>
        <w:t>衡清环审字﹝2024﹞</w:t>
      </w:r>
      <w:r>
        <w:rPr>
          <w:rFonts w:hint="eastAsia" w:ascii="仿宋" w:hAnsi="仿宋" w:eastAsia="仿宋" w:cs="仿宋"/>
          <w:sz w:val="32"/>
          <w:szCs w:val="32"/>
          <w:lang w:val="en-US" w:eastAsia="zh-CN"/>
        </w:rPr>
        <w:t>50</w:t>
      </w:r>
      <w:r>
        <w:rPr>
          <w:rFonts w:hint="eastAsia" w:ascii="仿宋" w:hAnsi="仿宋" w:eastAsia="仿宋" w:cs="仿宋"/>
          <w:sz w:val="32"/>
          <w:szCs w:val="32"/>
        </w:rPr>
        <w:t>号</w:t>
      </w:r>
    </w:p>
    <w:p w14:paraId="134A3079">
      <w:pPr>
        <w:jc w:val="right"/>
        <w:rPr>
          <w:rFonts w:hint="eastAsia" w:ascii="仿宋" w:hAnsi="仿宋" w:eastAsia="仿宋" w:cs="仿宋"/>
          <w:sz w:val="32"/>
          <w:szCs w:val="32"/>
        </w:rPr>
      </w:pPr>
    </w:p>
    <w:p w14:paraId="203244D6">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衡阳市生态环境局</w:t>
      </w:r>
    </w:p>
    <w:p w14:paraId="492FBDC9">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关于《衡南县向阳光伏发电项目一期工程</w:t>
      </w:r>
    </w:p>
    <w:p w14:paraId="43878608">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环境影响报告表》的批复</w:t>
      </w:r>
    </w:p>
    <w:p w14:paraId="70FC7BFE">
      <w:pPr>
        <w:jc w:val="both"/>
        <w:rPr>
          <w:rFonts w:hint="eastAsia" w:ascii="仿宋" w:hAnsi="仿宋" w:eastAsia="仿宋" w:cs="仿宋"/>
          <w:sz w:val="32"/>
          <w:szCs w:val="32"/>
        </w:rPr>
      </w:pPr>
    </w:p>
    <w:p w14:paraId="1181CD26">
      <w:pPr>
        <w:jc w:val="both"/>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大唐华银衡南新能源有限公司：</w:t>
      </w:r>
    </w:p>
    <w:p w14:paraId="3BA7EC5E">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你公司报送的《衡南县向阳光伏发电项目一期工程环境影响报告表》及专家组评审意见收悉。经研究，批复如下：</w:t>
      </w:r>
    </w:p>
    <w:p w14:paraId="3423A984">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一、衡南县向阳光伏发电项目一期工程位于衡南县向阳桥街道，总投资额为42625.13万元，总占地面积177.0481hm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，其中光伏阵列区面积176.1660hm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，升压站面积0.5438hm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（围墙内占地面积0.5040hm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），进站道路面积0.3383hm</w:t>
      </w:r>
      <w:r>
        <w:rPr>
          <w:rFonts w:hint="eastAsia" w:ascii="仿宋_GB2312" w:hAnsi="仿宋_GB2312" w:eastAsia="仿宋_GB2312" w:cs="仿宋_GB2312"/>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。主要建设内容包括</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新建一座110kV升压站（本评价</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仅</w:t>
      </w:r>
      <w:r>
        <w:rPr>
          <w:rFonts w:hint="eastAsia" w:ascii="仿宋_GB2312" w:hAnsi="仿宋_GB2312" w:eastAsia="仿宋_GB2312" w:cs="仿宋_GB2312"/>
          <w:color w:val="000000" w:themeColor="text1"/>
          <w:sz w:val="32"/>
          <w:szCs w:val="32"/>
          <w14:textFill>
            <w14:solidFill>
              <w14:schemeClr w14:val="tx1"/>
            </w14:solidFill>
          </w14:textFill>
        </w:rPr>
        <w:t>包含升压站土建工程，不包含辐射部分）、光伏阵列区、集电线路、附属道路工程，以及配套辅助工程、公用工程和环保工程。设计安装166660块585Wp单晶硅双面N型光伏组件、9468块540Wp单晶硅双面P型光伏组件、8316块535Wp单晶硅双面P型光伏组件，规划总装机容量为80MW(交流侧)。该项目环境影响报</w:t>
      </w:r>
      <w:bookmarkStart w:id="0" w:name="_GoBack"/>
      <w:bookmarkEnd w:id="0"/>
      <w:r>
        <w:rPr>
          <w:rFonts w:hint="eastAsia" w:ascii="仿宋_GB2312" w:hAnsi="仿宋_GB2312" w:eastAsia="仿宋_GB2312" w:cs="仿宋_GB2312"/>
          <w:color w:val="000000" w:themeColor="text1"/>
          <w:sz w:val="32"/>
          <w:szCs w:val="32"/>
          <w14:textFill>
            <w14:solidFill>
              <w14:schemeClr w14:val="tx1"/>
            </w14:solidFill>
          </w14:textFill>
        </w:rPr>
        <w:t>告表提出的污染防治措施客观可行，从环保角度分析，同意该项目建设。</w:t>
      </w:r>
    </w:p>
    <w:p w14:paraId="572AFED9">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二、项目在建设和运行中，必须严格执行环保法律法规，认真落实报告表提出的各项污染防治措施，并着重做好以下工作：</w:t>
      </w:r>
    </w:p>
    <w:p w14:paraId="277FB921">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（一）加强施工期的环境管理。施工中不得随意砍伐树木，破坏植被，施工结束后对临时占地立即进行迹地清理和土地整治，</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做好复绿</w:t>
      </w:r>
      <w:r>
        <w:rPr>
          <w:rFonts w:hint="eastAsia" w:ascii="仿宋_GB2312" w:hAnsi="仿宋_GB2312" w:eastAsia="仿宋_GB2312" w:cs="仿宋_GB2312"/>
          <w:color w:val="000000" w:themeColor="text1"/>
          <w:sz w:val="32"/>
          <w:szCs w:val="32"/>
          <w14:textFill>
            <w14:solidFill>
              <w14:schemeClr w14:val="tx1"/>
            </w14:solidFill>
          </w14:textFill>
        </w:rPr>
        <w:t>；严格落实各项污染防治指施，</w:t>
      </w:r>
      <w:r>
        <w:rPr>
          <w:rStyle w:val="10"/>
          <w:rFonts w:hint="eastAsia" w:ascii="仿宋_GB2312" w:hAnsi="仿宋_GB2312" w:eastAsia="仿宋_GB2312" w:cs="仿宋_GB2312"/>
          <w:color w:val="000000" w:themeColor="text1"/>
          <w:sz w:val="32"/>
          <w:szCs w:val="32"/>
          <w14:textFill>
            <w14:solidFill>
              <w14:schemeClr w14:val="tx1"/>
            </w14:solidFill>
          </w14:textFill>
        </w:rPr>
        <w:t>施工废水处理达标后回用于施工区洒水抑尘，生活污水经化粪池处理后用做农肥，不外排；施工区域应及时洒水降尘，减少粉尘和扬尘的产生；合理安排施工时间，开展施工期环境监测，防止噪声扰民。</w:t>
      </w:r>
    </w:p>
    <w:p w14:paraId="69EDE8D9">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（二）做好营运期各项污染防治措施。食堂油烟经油烟净化处理设施处理后排放</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光伏组件清洗废水经永久沉砂池处理后收集回用于抑尘和绿化，生活污水经隔油化粪池处理后用作农肥不外排；通过选用低噪设备，采取基础减振、建筑隔声等降噪措施，确保光伏阵列区和升压站厂界噪声达到《工业企业厂界环境噪声排放标准》（GB12348-2008）2类标准；项目产生的废光伏组件</w:t>
      </w:r>
      <w:r>
        <w:rPr>
          <w:rStyle w:val="10"/>
          <w:rFonts w:hint="eastAsia" w:ascii="仿宋_GB2312" w:hAnsi="仿宋_GB2312" w:eastAsia="仿宋_GB2312" w:cs="仿宋_GB2312"/>
          <w:color w:val="000000" w:themeColor="text1"/>
          <w:sz w:val="32"/>
          <w:szCs w:val="32"/>
          <w14:textFill>
            <w14:solidFill>
              <w14:schemeClr w14:val="tx1"/>
            </w14:solidFill>
          </w14:textFill>
        </w:rPr>
        <w:t>暂存一般固废间</w:t>
      </w:r>
      <w:r>
        <w:rPr>
          <w:rFonts w:hint="eastAsia" w:ascii="仿宋_GB2312" w:hAnsi="仿宋_GB2312" w:eastAsia="仿宋_GB2312" w:cs="仿宋_GB2312"/>
          <w:color w:val="000000" w:themeColor="text1"/>
          <w:sz w:val="32"/>
          <w:szCs w:val="32"/>
          <w14:textFill>
            <w14:solidFill>
              <w14:schemeClr w14:val="tx1"/>
            </w14:solidFill>
          </w14:textFill>
        </w:rPr>
        <w:t>定期由厂家回收</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废铅蓄电池暂存于升压站危险废物暂存间内，废变压器油暂存于事故油池内，危险废物按相关规范收集暂存，定期委托有资质单位进行处置</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Style w:val="10"/>
          <w:rFonts w:hint="eastAsia" w:ascii="仿宋_GB2312" w:hAnsi="仿宋_GB2312" w:eastAsia="仿宋_GB2312" w:cs="仿宋_GB2312"/>
          <w:color w:val="000000" w:themeColor="text1"/>
          <w:sz w:val="32"/>
          <w:szCs w:val="32"/>
          <w14:textFill>
            <w14:solidFill>
              <w14:schemeClr w14:val="tx1"/>
            </w14:solidFill>
          </w14:textFill>
        </w:rPr>
        <w:t>一般工业固废暂存间按照《一般工业固体废物贮存、处置污染控制标准》（GB18599-2020）要求进行建设；</w:t>
      </w:r>
      <w:r>
        <w:rPr>
          <w:rFonts w:hint="eastAsia" w:ascii="仿宋_GB2312" w:hAnsi="仿宋_GB2312" w:eastAsia="仿宋_GB2312" w:cs="仿宋_GB2312"/>
          <w:color w:val="000000" w:themeColor="text1"/>
          <w:sz w:val="32"/>
          <w:szCs w:val="32"/>
          <w14:textFill>
            <w14:solidFill>
              <w14:schemeClr w14:val="tx1"/>
            </w14:solidFill>
          </w14:textFill>
        </w:rPr>
        <w:t>危废暂存间按照《危险废物贮存污染控制标准》（GB18597-2023）要求进行建设。企业应建立健全危险废物台账管理制度，按要求对危废进行管理和转移，员工生活垃圾统一收集后交由环卫部门处理。</w:t>
      </w:r>
    </w:p>
    <w:p w14:paraId="68A1EF99">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Style w:val="10"/>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（三）强化生态环境保护，确保生态安全。</w:t>
      </w:r>
      <w:r>
        <w:rPr>
          <w:rStyle w:val="10"/>
          <w:rFonts w:hint="eastAsia" w:ascii="仿宋_GB2312" w:hAnsi="仿宋_GB2312" w:eastAsia="仿宋_GB2312" w:cs="仿宋_GB2312"/>
          <w:color w:val="000000" w:themeColor="text1"/>
          <w:sz w:val="32"/>
          <w:szCs w:val="32"/>
          <w14:textFill>
            <w14:solidFill>
              <w14:schemeClr w14:val="tx1"/>
            </w14:solidFill>
          </w14:textFill>
        </w:rPr>
        <w:t>项目建设应严格保护好区域内的植被，控制施工区域面积，减少对地表的扰动和工程临时占地对自然植被的破坏；工程各项建设活动均应在工程占地范围内开展，施工任务完成后及时拆除临时设施，并完成生态恢复；严格按照水行政主管部门批复的水土保持方案并结合项目地的自然生态环境条件，认真落实水土保持措施，及时绿化并恢复植被；加强生态恢复区后期培育与养护，消除水土流失和景观影响，严格保护和恢复生态用地。</w:t>
      </w:r>
    </w:p>
    <w:p w14:paraId="22775A51">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三、加强日常环境管理。建设单位应安排专职环保管理人员，建立健全各项环境管理制度，制定有效的风险防范措施和应急预案，防止发生环境风险事故。</w:t>
      </w:r>
    </w:p>
    <w:p w14:paraId="57D09EDB">
      <w:pPr>
        <w:keepNext w:val="0"/>
        <w:keepLines w:val="0"/>
        <w:pageBreakBefore w:val="0"/>
        <w:widowControl w:val="0"/>
        <w:kinsoku/>
        <w:wordWrap/>
        <w:overflowPunct/>
        <w:topLinePunct w:val="0"/>
        <w:autoSpaceDE/>
        <w:autoSpaceDN/>
        <w:bidi w:val="0"/>
        <w:adjustRightInd/>
        <w:snapToGrid/>
        <w:spacing w:line="580" w:lineRule="exact"/>
        <w:ind w:firstLine="645"/>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四、本项目涉及电磁辐射环境影响必须另行环评和报批。</w:t>
      </w:r>
    </w:p>
    <w:p w14:paraId="68F12BAC">
      <w:pPr>
        <w:keepNext w:val="0"/>
        <w:keepLines w:val="0"/>
        <w:pageBreakBefore w:val="0"/>
        <w:widowControl w:val="0"/>
        <w:kinsoku/>
        <w:wordWrap/>
        <w:overflowPunct/>
        <w:topLinePunct w:val="0"/>
        <w:autoSpaceDE/>
        <w:autoSpaceDN/>
        <w:bidi w:val="0"/>
        <w:adjustRightInd/>
        <w:snapToGrid/>
        <w:spacing w:line="580" w:lineRule="exact"/>
        <w:ind w:firstLine="64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五、</w:t>
      </w:r>
      <w:r>
        <w:rPr>
          <w:rStyle w:val="10"/>
          <w:rFonts w:hint="eastAsia" w:ascii="仿宋_GB2312" w:hAnsi="仿宋_GB2312" w:eastAsia="仿宋_GB2312" w:cs="仿宋_GB2312"/>
          <w:color w:val="000000" w:themeColor="text1"/>
          <w:sz w:val="32"/>
          <w:szCs w:val="32"/>
          <w14:textFill>
            <w14:solidFill>
              <w14:schemeClr w14:val="tx1"/>
            </w14:solidFill>
          </w14:textFill>
        </w:rPr>
        <w:t>项目竣工后，按规定完成项目竣工环境保护验收，并</w:t>
      </w:r>
      <w:r>
        <w:rPr>
          <w:rStyle w:val="10"/>
          <w:rFonts w:hint="eastAsia" w:ascii="仿宋_GB2312" w:hAnsi="仿宋_GB2312" w:eastAsia="仿宋_GB2312" w:cs="仿宋_GB2312"/>
          <w:color w:val="000000" w:themeColor="text1"/>
          <w:sz w:val="32"/>
          <w:szCs w:val="32"/>
          <w:lang w:val="en-US" w:eastAsia="zh-CN"/>
          <w14:textFill>
            <w14:solidFill>
              <w14:schemeClr w14:val="tx1"/>
            </w14:solidFill>
          </w14:textFill>
        </w:rPr>
        <w:t>主动</w:t>
      </w:r>
      <w:r>
        <w:rPr>
          <w:rStyle w:val="10"/>
          <w:rFonts w:hint="eastAsia" w:ascii="仿宋_GB2312" w:hAnsi="仿宋_GB2312" w:eastAsia="仿宋_GB2312" w:cs="仿宋_GB2312"/>
          <w:color w:val="000000" w:themeColor="text1"/>
          <w:sz w:val="32"/>
          <w:szCs w:val="32"/>
          <w14:textFill>
            <w14:solidFill>
              <w14:schemeClr w14:val="tx1"/>
            </w14:solidFill>
          </w14:textFill>
        </w:rPr>
        <w:t>接受衡南生态环境综合行政执法大队的监管。如项目性质、规模、地点、采用的工艺污及染防治措施等发生重大变动，建设单位应依法重新报批该项目的环境影响评价文件。</w:t>
      </w:r>
    </w:p>
    <w:p w14:paraId="30747DCD">
      <w:pPr>
        <w:pStyle w:val="2"/>
        <w:rPr>
          <w:rFonts w:hint="eastAsia"/>
        </w:rPr>
      </w:pPr>
    </w:p>
    <w:p w14:paraId="07254326">
      <w:pPr>
        <w:keepNext w:val="0"/>
        <w:keepLines w:val="0"/>
        <w:pageBreakBefore w:val="0"/>
        <w:widowControl w:val="0"/>
        <w:kinsoku/>
        <w:wordWrap/>
        <w:overflowPunct/>
        <w:topLinePunct w:val="0"/>
        <w:autoSpaceDE/>
        <w:autoSpaceDN/>
        <w:bidi w:val="0"/>
        <w:adjustRightInd/>
        <w:snapToGrid/>
        <w:spacing w:line="580" w:lineRule="exact"/>
        <w:ind w:right="420" w:rightChars="200" w:firstLine="5120" w:firstLineChars="1600"/>
        <w:jc w:val="righ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衡阳市生态环境局</w:t>
      </w:r>
    </w:p>
    <w:p w14:paraId="3B8DBE3B">
      <w:pPr>
        <w:keepNext w:val="0"/>
        <w:keepLines w:val="0"/>
        <w:pageBreakBefore w:val="0"/>
        <w:widowControl w:val="0"/>
        <w:kinsoku/>
        <w:wordWrap/>
        <w:overflowPunct/>
        <w:topLinePunct w:val="0"/>
        <w:autoSpaceDE/>
        <w:autoSpaceDN/>
        <w:bidi w:val="0"/>
        <w:adjustRightInd/>
        <w:snapToGrid/>
        <w:spacing w:line="580" w:lineRule="exact"/>
        <w:ind w:right="420" w:rightChars="200" w:firstLine="5120" w:firstLineChars="1600"/>
        <w:jc w:val="righ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2024年</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9</w:t>
      </w:r>
      <w:r>
        <w:rPr>
          <w:rFonts w:hint="eastAsia" w:ascii="仿宋_GB2312" w:hAnsi="仿宋_GB2312" w:eastAsia="仿宋_GB2312" w:cs="仿宋_GB2312"/>
          <w:color w:val="000000" w:themeColor="text1"/>
          <w:sz w:val="32"/>
          <w:szCs w:val="32"/>
          <w14:textFill>
            <w14:solidFill>
              <w14:schemeClr w14:val="tx1"/>
            </w14:solidFill>
          </w14:textFill>
        </w:rPr>
        <w:t>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27</w:t>
      </w:r>
      <w:r>
        <w:rPr>
          <w:rFonts w:hint="eastAsia" w:ascii="仿宋_GB2312" w:hAnsi="仿宋_GB2312" w:eastAsia="仿宋_GB2312" w:cs="仿宋_GB2312"/>
          <w:color w:val="000000" w:themeColor="text1"/>
          <w:sz w:val="32"/>
          <w:szCs w:val="32"/>
          <w14:textFill>
            <w14:solidFill>
              <w14:schemeClr w14:val="tx1"/>
            </w14:solidFill>
          </w14:textFill>
        </w:rPr>
        <w:t>日</w:t>
      </w:r>
    </w:p>
    <w:sectPr>
      <w:footerReference r:id="rId3" w:type="default"/>
      <w:pgSz w:w="11907" w:h="16839"/>
      <w:pgMar w:top="1701" w:right="1701" w:bottom="1701"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D10587">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8DE5EA">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08DE5EA">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E2OTNhMWViNzg0YzYxM2ZhZTIyNjBiMzY1NjYzYzMifQ=="/>
  </w:docVars>
  <w:rsids>
    <w:rsidRoot w:val="006022B2"/>
    <w:rsid w:val="00003548"/>
    <w:rsid w:val="00006EBD"/>
    <w:rsid w:val="00021FB8"/>
    <w:rsid w:val="00025EB0"/>
    <w:rsid w:val="00064E01"/>
    <w:rsid w:val="00073D24"/>
    <w:rsid w:val="0007606B"/>
    <w:rsid w:val="00087FB1"/>
    <w:rsid w:val="0009722C"/>
    <w:rsid w:val="000C4CB5"/>
    <w:rsid w:val="000C5876"/>
    <w:rsid w:val="000D6938"/>
    <w:rsid w:val="000E5999"/>
    <w:rsid w:val="000F514C"/>
    <w:rsid w:val="001051CA"/>
    <w:rsid w:val="00110DEC"/>
    <w:rsid w:val="0011486B"/>
    <w:rsid w:val="00116F4B"/>
    <w:rsid w:val="00122180"/>
    <w:rsid w:val="00152B7C"/>
    <w:rsid w:val="00161C1E"/>
    <w:rsid w:val="001A7C50"/>
    <w:rsid w:val="001B2515"/>
    <w:rsid w:val="001C3A17"/>
    <w:rsid w:val="001D59EC"/>
    <w:rsid w:val="001D65B6"/>
    <w:rsid w:val="001D6F17"/>
    <w:rsid w:val="001E3B06"/>
    <w:rsid w:val="001F2F13"/>
    <w:rsid w:val="00213F5F"/>
    <w:rsid w:val="002275FC"/>
    <w:rsid w:val="00237FA3"/>
    <w:rsid w:val="00243C11"/>
    <w:rsid w:val="00252435"/>
    <w:rsid w:val="00253DEA"/>
    <w:rsid w:val="002705B0"/>
    <w:rsid w:val="00274BD9"/>
    <w:rsid w:val="00286058"/>
    <w:rsid w:val="00290718"/>
    <w:rsid w:val="002F52D3"/>
    <w:rsid w:val="0030010E"/>
    <w:rsid w:val="00302811"/>
    <w:rsid w:val="00322F73"/>
    <w:rsid w:val="00351AAE"/>
    <w:rsid w:val="00367A78"/>
    <w:rsid w:val="0037555C"/>
    <w:rsid w:val="003764BD"/>
    <w:rsid w:val="00384FB7"/>
    <w:rsid w:val="003E3A9D"/>
    <w:rsid w:val="004714AA"/>
    <w:rsid w:val="00482265"/>
    <w:rsid w:val="004B7350"/>
    <w:rsid w:val="004E296C"/>
    <w:rsid w:val="004E68DD"/>
    <w:rsid w:val="00540E38"/>
    <w:rsid w:val="00587422"/>
    <w:rsid w:val="005900D9"/>
    <w:rsid w:val="005B660D"/>
    <w:rsid w:val="005C01F3"/>
    <w:rsid w:val="005C16F0"/>
    <w:rsid w:val="005D2486"/>
    <w:rsid w:val="005E06D5"/>
    <w:rsid w:val="005E727B"/>
    <w:rsid w:val="005F41C0"/>
    <w:rsid w:val="006022B2"/>
    <w:rsid w:val="00617A23"/>
    <w:rsid w:val="00633248"/>
    <w:rsid w:val="006367EC"/>
    <w:rsid w:val="006415BB"/>
    <w:rsid w:val="00650EC0"/>
    <w:rsid w:val="006513FF"/>
    <w:rsid w:val="0067679B"/>
    <w:rsid w:val="00692FB3"/>
    <w:rsid w:val="006B3C69"/>
    <w:rsid w:val="006B7626"/>
    <w:rsid w:val="006D7309"/>
    <w:rsid w:val="006F193B"/>
    <w:rsid w:val="006F494D"/>
    <w:rsid w:val="00735DCF"/>
    <w:rsid w:val="00750631"/>
    <w:rsid w:val="00796B8A"/>
    <w:rsid w:val="007A211B"/>
    <w:rsid w:val="007E4932"/>
    <w:rsid w:val="007E5E1A"/>
    <w:rsid w:val="007E7BF5"/>
    <w:rsid w:val="007F2863"/>
    <w:rsid w:val="007F69AF"/>
    <w:rsid w:val="00820B9B"/>
    <w:rsid w:val="00824026"/>
    <w:rsid w:val="00833C69"/>
    <w:rsid w:val="00847B7A"/>
    <w:rsid w:val="00854CBD"/>
    <w:rsid w:val="008A2336"/>
    <w:rsid w:val="008E3858"/>
    <w:rsid w:val="009218E1"/>
    <w:rsid w:val="00922AD2"/>
    <w:rsid w:val="009248DA"/>
    <w:rsid w:val="009322E8"/>
    <w:rsid w:val="00942667"/>
    <w:rsid w:val="009543CC"/>
    <w:rsid w:val="00961EA5"/>
    <w:rsid w:val="009C028D"/>
    <w:rsid w:val="009D0653"/>
    <w:rsid w:val="009D2ACE"/>
    <w:rsid w:val="00A12842"/>
    <w:rsid w:val="00A15695"/>
    <w:rsid w:val="00A35366"/>
    <w:rsid w:val="00A363F2"/>
    <w:rsid w:val="00A522C8"/>
    <w:rsid w:val="00A81B59"/>
    <w:rsid w:val="00A82B5D"/>
    <w:rsid w:val="00A90920"/>
    <w:rsid w:val="00AF330A"/>
    <w:rsid w:val="00B51922"/>
    <w:rsid w:val="00B56FAD"/>
    <w:rsid w:val="00B645D3"/>
    <w:rsid w:val="00B718E1"/>
    <w:rsid w:val="00B806F1"/>
    <w:rsid w:val="00B92F5B"/>
    <w:rsid w:val="00BE0B21"/>
    <w:rsid w:val="00BE6EF5"/>
    <w:rsid w:val="00C07BC9"/>
    <w:rsid w:val="00C11DB4"/>
    <w:rsid w:val="00C52E5A"/>
    <w:rsid w:val="00C84CB4"/>
    <w:rsid w:val="00C870BC"/>
    <w:rsid w:val="00C95698"/>
    <w:rsid w:val="00C96528"/>
    <w:rsid w:val="00CC646B"/>
    <w:rsid w:val="00D2607A"/>
    <w:rsid w:val="00D55BB1"/>
    <w:rsid w:val="00D57DAB"/>
    <w:rsid w:val="00D8437A"/>
    <w:rsid w:val="00D904B9"/>
    <w:rsid w:val="00D90DD0"/>
    <w:rsid w:val="00DA7FEA"/>
    <w:rsid w:val="00DD4274"/>
    <w:rsid w:val="00DE3403"/>
    <w:rsid w:val="00DE3803"/>
    <w:rsid w:val="00DF54EF"/>
    <w:rsid w:val="00E20102"/>
    <w:rsid w:val="00E32AE1"/>
    <w:rsid w:val="00E4207E"/>
    <w:rsid w:val="00E567BC"/>
    <w:rsid w:val="00E8240F"/>
    <w:rsid w:val="00EA6B99"/>
    <w:rsid w:val="00EB5078"/>
    <w:rsid w:val="00EB5808"/>
    <w:rsid w:val="00ED109F"/>
    <w:rsid w:val="00ED761B"/>
    <w:rsid w:val="00EE3E2C"/>
    <w:rsid w:val="00EF70C2"/>
    <w:rsid w:val="00F24C22"/>
    <w:rsid w:val="00F46250"/>
    <w:rsid w:val="00F6481C"/>
    <w:rsid w:val="00F858A0"/>
    <w:rsid w:val="00F92E97"/>
    <w:rsid w:val="00FC2AB7"/>
    <w:rsid w:val="02510C60"/>
    <w:rsid w:val="02784F02"/>
    <w:rsid w:val="05F13F44"/>
    <w:rsid w:val="0B6D4CAD"/>
    <w:rsid w:val="0FF10C2D"/>
    <w:rsid w:val="108253DD"/>
    <w:rsid w:val="1CB31758"/>
    <w:rsid w:val="22026334"/>
    <w:rsid w:val="23102DDE"/>
    <w:rsid w:val="2B4F2B98"/>
    <w:rsid w:val="2BC00BB8"/>
    <w:rsid w:val="2C443574"/>
    <w:rsid w:val="2CD705CC"/>
    <w:rsid w:val="31551226"/>
    <w:rsid w:val="316B25AD"/>
    <w:rsid w:val="329F3E56"/>
    <w:rsid w:val="32C42E2E"/>
    <w:rsid w:val="378B663C"/>
    <w:rsid w:val="38E54BBA"/>
    <w:rsid w:val="39BD75A1"/>
    <w:rsid w:val="3B1D45B3"/>
    <w:rsid w:val="47B45C53"/>
    <w:rsid w:val="4A783AE0"/>
    <w:rsid w:val="4DCA6DF5"/>
    <w:rsid w:val="50480545"/>
    <w:rsid w:val="52C75AA0"/>
    <w:rsid w:val="533C6433"/>
    <w:rsid w:val="553D0277"/>
    <w:rsid w:val="56C171D7"/>
    <w:rsid w:val="5BDA06E5"/>
    <w:rsid w:val="67593112"/>
    <w:rsid w:val="6A661680"/>
    <w:rsid w:val="6BA33909"/>
    <w:rsid w:val="711342EA"/>
    <w:rsid w:val="74587372"/>
    <w:rsid w:val="777761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0"/>
    <w:pPr>
      <w:keepNext/>
      <w:keepLines/>
      <w:spacing w:before="260" w:after="260" w:line="416" w:lineRule="auto"/>
      <w:outlineLvl w:val="2"/>
    </w:pPr>
    <w:rPr>
      <w:b/>
      <w:bCs/>
      <w:sz w:val="32"/>
      <w:szCs w:val="32"/>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Plain Text"/>
    <w:basedOn w:val="1"/>
    <w:next w:val="1"/>
    <w:qFormat/>
    <w:uiPriority w:val="0"/>
    <w:rPr>
      <w:rFonts w:ascii="宋体" w:hAnsi="Courier New"/>
      <w:szCs w:val="21"/>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tabs>
        <w:tab w:val="center" w:pos="4153"/>
        <w:tab w:val="right" w:pos="8306"/>
      </w:tabs>
      <w:snapToGrid w:val="0"/>
      <w:jc w:val="center"/>
    </w:pPr>
    <w:rPr>
      <w:sz w:val="18"/>
      <w:szCs w:val="18"/>
    </w:rPr>
  </w:style>
  <w:style w:type="character" w:customStyle="1" w:styleId="8">
    <w:name w:val="页眉 字符"/>
    <w:basedOn w:val="7"/>
    <w:link w:val="5"/>
    <w:qFormat/>
    <w:uiPriority w:val="99"/>
    <w:rPr>
      <w:rFonts w:asciiTheme="minorHAnsi" w:hAnsiTheme="minorHAnsi" w:eastAsiaTheme="minorEastAsia" w:cstheme="minorBidi"/>
      <w:kern w:val="2"/>
      <w:sz w:val="18"/>
      <w:szCs w:val="18"/>
    </w:rPr>
  </w:style>
  <w:style w:type="character" w:customStyle="1" w:styleId="9">
    <w:name w:val="页脚 字符"/>
    <w:basedOn w:val="7"/>
    <w:link w:val="4"/>
    <w:qFormat/>
    <w:uiPriority w:val="99"/>
    <w:rPr>
      <w:rFonts w:asciiTheme="minorHAnsi" w:hAnsiTheme="minorHAnsi" w:eastAsiaTheme="minorEastAsia" w:cstheme="minorBidi"/>
      <w:kern w:val="2"/>
      <w:sz w:val="18"/>
      <w:szCs w:val="18"/>
    </w:rPr>
  </w:style>
  <w:style w:type="character" w:customStyle="1" w:styleId="10">
    <w:name w:val="content1"/>
    <w:basedOn w:val="7"/>
    <w:autoRedefine/>
    <w:qFormat/>
    <w:uiPriority w:val="0"/>
    <w:rPr>
      <w:color w:val="000000"/>
      <w:sz w:val="2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P R C</Company>
  <Pages>3</Pages>
  <Words>1371</Words>
  <Characters>1493</Characters>
  <Lines>10</Lines>
  <Paragraphs>2</Paragraphs>
  <TotalTime>135</TotalTime>
  <ScaleCrop>false</ScaleCrop>
  <LinksUpToDate>false</LinksUpToDate>
  <CharactersWithSpaces>1495</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2024-09-19T01:50:00Z</dcterms:created>
  <dc:creator>陈博文</dc:creator>
  <cp:lastModifiedBy>haiy(•̀⌄•́)</cp:lastModifiedBy>
  <cp:lastPrinted>2024-09-29T07:45:34Z</cp:lastPrinted>
  <dcterms:modified xsi:type="dcterms:W3CDTF">2024-09-29T07:45:42Z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00AFED757B4C4506A7DBBE946B1AC9DF_12</vt:lpwstr>
  </property>
</Properties>
</file>