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91D89B9">
      <w:pPr>
        <w:keepNext w:val="0"/>
        <w:keepLines w:val="0"/>
        <w:pageBreakBefore w:val="0"/>
        <w:widowControl w:val="0"/>
        <w:kinsoku/>
        <w:wordWrap/>
        <w:overflowPunct/>
        <w:topLinePunct w:val="0"/>
        <w:autoSpaceDE/>
        <w:autoSpaceDN/>
        <w:bidi w:val="0"/>
        <w:adjustRightInd/>
        <w:snapToGrid/>
        <w:spacing w:line="600" w:lineRule="exact"/>
        <w:jc w:val="right"/>
        <w:textAlignment w:val="auto"/>
        <w:rPr>
          <w:rFonts w:hint="eastAsia" w:ascii="仿宋" w:hAnsi="仿宋" w:eastAsia="仿宋" w:cs="仿宋"/>
          <w:sz w:val="32"/>
          <w:szCs w:val="32"/>
          <w:lang w:val="en-US" w:eastAsia="zh-CN"/>
        </w:rPr>
      </w:pPr>
    </w:p>
    <w:p w14:paraId="14D35BAF">
      <w:pPr>
        <w:keepNext w:val="0"/>
        <w:keepLines w:val="0"/>
        <w:pageBreakBefore w:val="0"/>
        <w:widowControl w:val="0"/>
        <w:kinsoku/>
        <w:wordWrap/>
        <w:overflowPunct/>
        <w:topLinePunct w:val="0"/>
        <w:autoSpaceDE/>
        <w:autoSpaceDN/>
        <w:bidi w:val="0"/>
        <w:adjustRightInd/>
        <w:snapToGrid/>
        <w:spacing w:line="600" w:lineRule="exact"/>
        <w:jc w:val="right"/>
        <w:textAlignment w:val="auto"/>
        <w:rPr>
          <w:rFonts w:hint="eastAsia" w:ascii="仿宋" w:hAnsi="仿宋" w:eastAsia="仿宋" w:cs="仿宋"/>
          <w:sz w:val="32"/>
          <w:szCs w:val="32"/>
          <w:lang w:val="en-US" w:eastAsia="zh-CN"/>
        </w:rPr>
      </w:pPr>
    </w:p>
    <w:p w14:paraId="4F8751B6">
      <w:pPr>
        <w:keepNext w:val="0"/>
        <w:keepLines w:val="0"/>
        <w:pageBreakBefore w:val="0"/>
        <w:widowControl w:val="0"/>
        <w:kinsoku/>
        <w:wordWrap/>
        <w:overflowPunct/>
        <w:topLinePunct w:val="0"/>
        <w:autoSpaceDE/>
        <w:autoSpaceDN/>
        <w:bidi w:val="0"/>
        <w:adjustRightInd/>
        <w:snapToGrid/>
        <w:spacing w:line="600" w:lineRule="exact"/>
        <w:jc w:val="right"/>
        <w:textAlignment w:val="auto"/>
        <w:rPr>
          <w:rFonts w:hint="eastAsia" w:ascii="仿宋" w:hAnsi="仿宋" w:eastAsia="仿宋" w:cs="仿宋"/>
          <w:sz w:val="32"/>
          <w:szCs w:val="32"/>
          <w:lang w:val="en-US" w:eastAsia="zh-CN"/>
        </w:rPr>
      </w:pPr>
    </w:p>
    <w:p w14:paraId="447AFB46">
      <w:pPr>
        <w:keepNext w:val="0"/>
        <w:keepLines w:val="0"/>
        <w:pageBreakBefore w:val="0"/>
        <w:widowControl w:val="0"/>
        <w:kinsoku/>
        <w:wordWrap/>
        <w:overflowPunct/>
        <w:topLinePunct w:val="0"/>
        <w:autoSpaceDE/>
        <w:autoSpaceDN/>
        <w:bidi w:val="0"/>
        <w:adjustRightInd/>
        <w:snapToGrid/>
        <w:spacing w:line="600" w:lineRule="exact"/>
        <w:jc w:val="righ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衡清环审字〔2024〕25号</w:t>
      </w:r>
    </w:p>
    <w:p w14:paraId="6D41F350">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val="en-US" w:eastAsia="zh-CN"/>
        </w:rPr>
      </w:pPr>
    </w:p>
    <w:p w14:paraId="55017D75">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pacing w:val="-17"/>
          <w:sz w:val="44"/>
          <w:szCs w:val="44"/>
          <w:lang w:val="en-US" w:eastAsia="zh-CN"/>
        </w:rPr>
      </w:pPr>
      <w:r>
        <w:rPr>
          <w:rFonts w:hint="eastAsia" w:ascii="方正小标宋简体" w:hAnsi="方正小标宋简体" w:eastAsia="方正小标宋简体" w:cs="方正小标宋简体"/>
          <w:b/>
          <w:bCs/>
          <w:spacing w:val="-17"/>
          <w:sz w:val="44"/>
          <w:szCs w:val="44"/>
          <w:lang w:val="en-US" w:eastAsia="zh-CN"/>
        </w:rPr>
        <w:t>衡阳市生态环境局</w:t>
      </w:r>
    </w:p>
    <w:p w14:paraId="298A4811">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pacing w:val="-17"/>
          <w:sz w:val="44"/>
          <w:szCs w:val="44"/>
          <w:lang w:val="en-US" w:eastAsia="zh-CN"/>
        </w:rPr>
      </w:pPr>
      <w:r>
        <w:rPr>
          <w:rFonts w:hint="eastAsia" w:ascii="方正小标宋简体" w:hAnsi="方正小标宋简体" w:eastAsia="方正小标宋简体" w:cs="方正小标宋简体"/>
          <w:b/>
          <w:bCs/>
          <w:spacing w:val="-17"/>
          <w:sz w:val="44"/>
          <w:szCs w:val="44"/>
          <w:lang w:val="en-US" w:eastAsia="zh-CN"/>
        </w:rPr>
        <w:t>关于《衡南县皓俊再生资源有限公司</w:t>
      </w:r>
    </w:p>
    <w:p w14:paraId="37C97FA2">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pacing w:val="-17"/>
          <w:sz w:val="44"/>
          <w:szCs w:val="44"/>
          <w:lang w:val="en-US" w:eastAsia="zh-CN"/>
        </w:rPr>
      </w:pPr>
      <w:r>
        <w:rPr>
          <w:rFonts w:hint="eastAsia" w:ascii="方正小标宋简体" w:hAnsi="方正小标宋简体" w:eastAsia="方正小标宋简体" w:cs="方正小标宋简体"/>
          <w:b/>
          <w:bCs/>
          <w:spacing w:val="-17"/>
          <w:sz w:val="44"/>
          <w:szCs w:val="44"/>
          <w:lang w:val="en-US" w:eastAsia="zh-CN"/>
        </w:rPr>
        <w:t>年处理30000吨食品包装袋复合边角料建设项目环境影响报告书》的批复</w:t>
      </w:r>
    </w:p>
    <w:p w14:paraId="6E6B6750">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sz w:val="32"/>
          <w:szCs w:val="32"/>
          <w:lang w:val="en-US" w:eastAsia="zh-CN"/>
        </w:rPr>
      </w:pPr>
    </w:p>
    <w:p w14:paraId="0B846A46">
      <w:pPr>
        <w:keepNext w:val="0"/>
        <w:keepLines w:val="0"/>
        <w:pageBreakBefore w:val="0"/>
        <w:widowControl w:val="0"/>
        <w:kinsoku/>
        <w:wordWrap/>
        <w:overflowPunct/>
        <w:topLinePunct w:val="0"/>
        <w:autoSpaceDE/>
        <w:autoSpaceDN/>
        <w:bidi w:val="0"/>
        <w:adjustRightInd/>
        <w:snapToGrid/>
        <w:spacing w:line="600" w:lineRule="exact"/>
        <w:ind w:firstLine="0" w:firstLine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衡南县皓俊再生资源有限公司：</w:t>
      </w:r>
    </w:p>
    <w:p w14:paraId="78978B64">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你公司报送的《衡南县皓俊再生资源有限公司年处理30000吨食品包装袋复合边角料建设项目环境影响报告书》（报批稿）及专家组评审意见均已收悉，经研究，批复如下：</w:t>
      </w:r>
    </w:p>
    <w:p w14:paraId="6399CF8F">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sz w:val="32"/>
          <w:szCs w:val="32"/>
          <w:lang w:val="en-US" w:eastAsia="zh-CN"/>
        </w:rPr>
        <w:t>一、项目建设的主要内容。衡南县皓俊再生资源有限公司</w:t>
      </w:r>
      <w:r>
        <w:rPr>
          <w:rFonts w:hint="eastAsia" w:ascii="仿宋_GB2312" w:hAnsi="仿宋_GB2312" w:eastAsia="仿宋_GB2312" w:cs="仿宋_GB2312"/>
          <w:color w:val="auto"/>
          <w:sz w:val="32"/>
          <w:szCs w:val="32"/>
          <w:lang w:val="en-US" w:eastAsia="zh-CN"/>
        </w:rPr>
        <w:t>拟投资1000万元在衡南县洪山镇同兴村袍冲组</w:t>
      </w:r>
      <w:r>
        <w:rPr>
          <w:rFonts w:hint="eastAsia" w:ascii="仿宋_GB2312" w:hAnsi="仿宋_GB2312" w:eastAsia="仿宋_GB2312" w:cs="仿宋_GB2312"/>
          <w:sz w:val="32"/>
          <w:szCs w:val="32"/>
          <w:lang w:val="en-US" w:eastAsia="zh-CN"/>
        </w:rPr>
        <w:t>租赁</w:t>
      </w:r>
      <w:r>
        <w:rPr>
          <w:rFonts w:hint="eastAsia" w:ascii="仿宋_GB2312" w:hAnsi="仿宋_GB2312" w:eastAsia="仿宋_GB2312" w:cs="仿宋_GB2312"/>
          <w:color w:val="auto"/>
          <w:sz w:val="32"/>
          <w:szCs w:val="32"/>
          <w:lang w:val="en-US" w:eastAsia="zh-CN"/>
        </w:rPr>
        <w:t>衡阳旺发锡业有限公司厂房分两期建设年处理30000吨食品包装袋复合边角料项目，项目总占地面积23800m</w:t>
      </w:r>
      <w:r>
        <w:rPr>
          <w:rFonts w:hint="eastAsia" w:ascii="仿宋_GB2312" w:hAnsi="仿宋_GB2312" w:eastAsia="仿宋_GB2312" w:cs="仿宋_GB2312"/>
          <w:color w:val="auto"/>
          <w:sz w:val="32"/>
          <w:szCs w:val="32"/>
          <w:vertAlign w:val="superscript"/>
          <w:lang w:val="en-US" w:eastAsia="zh-CN"/>
        </w:rPr>
        <w:t>2</w:t>
      </w:r>
      <w:r>
        <w:rPr>
          <w:rFonts w:hint="eastAsia" w:ascii="仿宋_GB2312" w:hAnsi="仿宋_GB2312" w:eastAsia="仿宋_GB2312" w:cs="仿宋_GB2312"/>
          <w:color w:val="auto"/>
          <w:sz w:val="32"/>
          <w:szCs w:val="32"/>
          <w:vertAlign w:val="baseline"/>
          <w:lang w:val="en-US" w:eastAsia="zh-CN"/>
        </w:rPr>
        <w:t>，</w:t>
      </w:r>
      <w:r>
        <w:rPr>
          <w:rFonts w:hint="eastAsia" w:ascii="仿宋_GB2312" w:hAnsi="仿宋_GB2312" w:eastAsia="仿宋_GB2312" w:cs="仿宋_GB2312"/>
          <w:color w:val="auto"/>
          <w:sz w:val="32"/>
          <w:szCs w:val="32"/>
          <w:lang w:val="en-US" w:eastAsia="zh-CN"/>
        </w:rPr>
        <w:t>项目全部建成后可年产铝块7500吨，炭黑4200吨，裂解油15000吨项目。一期建成后可年处理食品包装袋复合边角料18000吨，年产铝块4500吨，炭黑2520吨，裂解油9000吨；二期建成后可增加年处理食品包装袋复合边角料12000吨，年产铝块3000吨，炭黑1680吨，裂解油6000吨。主要建设内容：裂解车间（一期建设低温热解主反应器8台、二期建设低温热解主反应器6台）、破碎筛分车间（破碎筛分一体机2台），油品库（</w:t>
      </w:r>
      <w:r>
        <w:rPr>
          <w:rFonts w:hint="eastAsia" w:ascii="仿宋_GB2312" w:hAnsi="仿宋_GB2312" w:eastAsia="仿宋_GB2312" w:cs="仿宋_GB2312"/>
          <w:color w:val="auto"/>
          <w:sz w:val="32"/>
          <w:szCs w:val="32"/>
          <w:vertAlign w:val="baseline"/>
          <w:lang w:val="en-US" w:eastAsia="zh-CN"/>
        </w:rPr>
        <w:t>4个</w:t>
      </w:r>
      <w:r>
        <w:rPr>
          <w:rFonts w:hint="eastAsia" w:ascii="仿宋_GB2312" w:hAnsi="仿宋_GB2312" w:eastAsia="仿宋_GB2312" w:cs="仿宋_GB2312"/>
          <w:color w:val="auto"/>
          <w:sz w:val="32"/>
          <w:szCs w:val="32"/>
          <w:lang w:val="en-US" w:eastAsia="zh-CN"/>
        </w:rPr>
        <w:t>70M</w:t>
      </w:r>
      <w:r>
        <w:rPr>
          <w:rFonts w:hint="eastAsia" w:ascii="仿宋_GB2312" w:hAnsi="仿宋_GB2312" w:eastAsia="仿宋_GB2312" w:cs="仿宋_GB2312"/>
          <w:color w:val="auto"/>
          <w:sz w:val="32"/>
          <w:szCs w:val="32"/>
          <w:vertAlign w:val="superscript"/>
          <w:lang w:val="en-US" w:eastAsia="zh-CN"/>
        </w:rPr>
        <w:t>3</w:t>
      </w:r>
      <w:r>
        <w:rPr>
          <w:rFonts w:hint="eastAsia" w:ascii="仿宋_GB2312" w:hAnsi="仿宋_GB2312" w:eastAsia="仿宋_GB2312" w:cs="仿宋_GB2312"/>
          <w:color w:val="auto"/>
          <w:sz w:val="32"/>
          <w:szCs w:val="32"/>
          <w:lang w:val="en-US" w:eastAsia="zh-CN"/>
        </w:rPr>
        <w:t>分油器、2个160M</w:t>
      </w:r>
      <w:r>
        <w:rPr>
          <w:rFonts w:hint="eastAsia" w:ascii="仿宋_GB2312" w:hAnsi="仿宋_GB2312" w:eastAsia="仿宋_GB2312" w:cs="仿宋_GB2312"/>
          <w:color w:val="auto"/>
          <w:sz w:val="32"/>
          <w:szCs w:val="32"/>
          <w:vertAlign w:val="superscript"/>
          <w:lang w:val="en-US" w:eastAsia="zh-CN"/>
        </w:rPr>
        <w:t>3</w:t>
      </w:r>
      <w:r>
        <w:rPr>
          <w:rFonts w:hint="eastAsia" w:ascii="仿宋_GB2312" w:hAnsi="仿宋_GB2312" w:eastAsia="仿宋_GB2312" w:cs="仿宋_GB2312"/>
          <w:color w:val="auto"/>
          <w:sz w:val="32"/>
          <w:szCs w:val="32"/>
          <w:lang w:val="en-US" w:eastAsia="zh-CN"/>
        </w:rPr>
        <w:t>成品储油罐）、产品库、原料库、综合办公楼等，</w:t>
      </w:r>
      <w:r>
        <w:rPr>
          <w:rStyle w:val="6"/>
          <w:rFonts w:hint="eastAsia" w:ascii="仿宋_GB2312" w:hAnsi="仿宋_GB2312" w:eastAsia="仿宋_GB2312" w:cs="仿宋_GB2312"/>
          <w:color w:val="auto"/>
          <w:sz w:val="32"/>
          <w:szCs w:val="32"/>
          <w:lang w:val="en-US" w:eastAsia="zh-CN"/>
        </w:rPr>
        <w:t>以及辅助工程、公用工程、环保工程等配套设施。</w:t>
      </w:r>
      <w:r>
        <w:rPr>
          <w:rFonts w:hint="eastAsia" w:ascii="仿宋_GB2312" w:hAnsi="仿宋_GB2312" w:eastAsia="仿宋_GB2312" w:cs="仿宋_GB2312"/>
          <w:color w:val="auto"/>
          <w:sz w:val="32"/>
          <w:szCs w:val="32"/>
          <w:vertAlign w:val="baseline"/>
          <w:lang w:val="en-US" w:eastAsia="zh-CN"/>
        </w:rPr>
        <w:t>项目原材料为食品包装厂产生的铝塑复合膜边角料，不得使用回收和再生废塑料。</w:t>
      </w:r>
      <w:r>
        <w:rPr>
          <w:rFonts w:hint="eastAsia" w:ascii="仿宋_GB2312" w:hAnsi="仿宋_GB2312" w:eastAsia="仿宋_GB2312" w:cs="仿宋_GB2312"/>
          <w:color w:val="auto"/>
          <w:sz w:val="32"/>
          <w:szCs w:val="32"/>
          <w:lang w:val="en-US" w:eastAsia="zh-CN"/>
        </w:rPr>
        <w:t>该项目环境影响报告书提出的污染防治措施客观可行，从环保角度分析，同意该项目建设。</w:t>
      </w:r>
    </w:p>
    <w:p w14:paraId="1158C5A7">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二、在项目建设和运营中，必须严格执行环保法律法规，认真落实报告书提出的各项污染防治措施，并着重做好以下工作：</w:t>
      </w:r>
    </w:p>
    <w:p w14:paraId="3DF07F13">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一）做好大气污染防治工作。项目不凝气燃烧废气和出料粉尘经集气管道收集后经沉降室+喷淋塔+除雾器+活性炭吸附处理达标后由40米高排气筒（DA001）排放；不凝尾气和储罐大小呼吸废气经储罐顶部集气管道收集引至催化燃烧室处理达标后由15米高排气筒（DA002）排放；投料粉尘、破碎筛分粉尘和包装粉尘经集气罩收集+布袋除尘器处理达标后由15米高排气筒（DA003）排放；输送粉尘通过密闭运输无组织排放，厂界无组织颗粒物执行相应无组织排放限值；食堂油烟经油烟净化器处理达标后由排烟竖井排放。</w:t>
      </w:r>
    </w:p>
    <w:p w14:paraId="7C561202">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二）强化水污染防治措施。员工生活污水经化粪池处理后用作农肥消纳，或吸粪车拖至洪山镇污水处理厂处理；喷淋塔废水沉淀后循环使用，地面冲洗废水经隔油+混凝沉淀处理后循环使用，不外排；冷却水和水封罐水循环利用，不外排。</w:t>
      </w:r>
    </w:p>
    <w:p w14:paraId="773780F3">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三）加强各类固废管理，并采取有效措施防止二次污染。项目布袋粉尘作为产品外售，废布袋交由供应商回收综合利用；压滤机污泥收集后定期外售综合利用；初雨池沉淀渣收集后定期外售综合利用，员工生活垃圾交由当地环卫部门定期清运。隔油渣、中转罐/储罐油泥、废活性炭、水封罐浮油、废机油、废润滑油、废含油抹布和手套及油桶分类收集后暂存于危废暂存间，定期交由有资质单位处置，并办理好危险废物转移手续。一般工业固废暂存间按照《一般工业固体废物贮存和填埋污染控制标准》（GB 18599-2020）要求建设；危险废物暂存间严格按照《危险废物贮存污染控制标准》（GB 18597-2023）要求建设。</w:t>
      </w:r>
    </w:p>
    <w:p w14:paraId="0FFD575E">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（四）做好噪声污染控制工作。项目生产设备噪声，通过厂房隔噪，选用低噪声设备，采取消声减震，并对设备合理布置等措施，确保营运期厂界噪声达到《工业企业厂界环境噪声排放标准》（GB 12348-2008）中的2类标准限值要求。</w:t>
      </w:r>
    </w:p>
    <w:p w14:paraId="505D4C64">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（五）总量控制指标。SO</w:t>
      </w:r>
      <w:r>
        <w:rPr>
          <w:rFonts w:hint="eastAsia" w:ascii="仿宋_GB2312" w:hAnsi="仿宋_GB2312" w:eastAsia="仿宋_GB2312" w:cs="仿宋_GB2312"/>
          <w:color w:val="auto"/>
          <w:sz w:val="32"/>
          <w:szCs w:val="32"/>
          <w:vertAlign w:val="subscript"/>
          <w:lang w:val="en-US" w:eastAsia="zh-CN"/>
        </w:rPr>
        <w:t>2</w:t>
      </w:r>
      <w:r>
        <w:rPr>
          <w:rFonts w:hint="eastAsia" w:ascii="仿宋_GB2312" w:hAnsi="仿宋_GB2312" w:eastAsia="仿宋_GB2312" w:cs="仿宋_GB2312"/>
          <w:color w:val="auto"/>
          <w:sz w:val="32"/>
          <w:szCs w:val="32"/>
          <w:lang w:val="en-US" w:eastAsia="zh-CN"/>
        </w:rPr>
        <w:t>:0.76t/a、NO</w:t>
      </w:r>
      <w:r>
        <w:rPr>
          <w:rFonts w:hint="eastAsia" w:ascii="仿宋_GB2312" w:hAnsi="仿宋_GB2312" w:eastAsia="仿宋_GB2312" w:cs="仿宋_GB2312"/>
          <w:color w:val="auto"/>
          <w:sz w:val="32"/>
          <w:szCs w:val="32"/>
          <w:vertAlign w:val="subscript"/>
          <w:lang w:val="en-US" w:eastAsia="zh-CN"/>
        </w:rPr>
        <w:t>X</w:t>
      </w:r>
      <w:r>
        <w:rPr>
          <w:rFonts w:hint="eastAsia" w:ascii="仿宋_GB2312" w:hAnsi="仿宋_GB2312" w:eastAsia="仿宋_GB2312" w:cs="仿宋_GB2312"/>
          <w:color w:val="auto"/>
          <w:sz w:val="32"/>
          <w:szCs w:val="32"/>
          <w:lang w:val="en-US" w:eastAsia="zh-CN"/>
        </w:rPr>
        <w:t>：6.60t/a。</w:t>
      </w:r>
    </w:p>
    <w:p w14:paraId="4DE7BF4E">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三、加强日常环境管理。建设单位应安排专职环保管理人员，建立健全环境管理制度，制定有效的风险防范措施和应急预案，防治发生环境风险事故。</w:t>
      </w:r>
    </w:p>
    <w:p w14:paraId="5A73809A">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四、项目竣工后，必须严格执行排污许可制度，在发生实际排污行为前按照国家有关规定申领排污许可证。同时，按照相关规定要求做好环保竣工验收工作，并主动接受衡南生态环境综合行政执法大队监管。如项目性质、规模、地点、采用的工艺及污染防治措施等发生重大变动，建设单位应当依法重新报批该项目的环境影响评价文件。</w:t>
      </w:r>
    </w:p>
    <w:p w14:paraId="74EC1172">
      <w:pPr>
        <w:keepNext w:val="0"/>
        <w:keepLines w:val="0"/>
        <w:pageBreakBefore w:val="0"/>
        <w:widowControl w:val="0"/>
        <w:kinsoku/>
        <w:wordWrap/>
        <w:overflowPunct/>
        <w:topLinePunct w:val="0"/>
        <w:autoSpaceDE/>
        <w:autoSpaceDN/>
        <w:bidi w:val="0"/>
        <w:adjustRightInd/>
        <w:snapToGrid/>
        <w:spacing w:line="600" w:lineRule="exact"/>
        <w:ind w:firstLine="0" w:firstLineChars="0"/>
        <w:jc w:val="both"/>
        <w:textAlignment w:val="auto"/>
        <w:rPr>
          <w:rFonts w:hint="eastAsia" w:ascii="仿宋_GB2312" w:hAnsi="仿宋_GB2312" w:eastAsia="仿宋_GB2312" w:cs="仿宋_GB2312"/>
          <w:color w:val="auto"/>
          <w:sz w:val="32"/>
          <w:szCs w:val="32"/>
          <w:lang w:val="en-US" w:eastAsia="zh-CN"/>
        </w:rPr>
      </w:pPr>
    </w:p>
    <w:p w14:paraId="47031870">
      <w:pPr>
        <w:keepNext w:val="0"/>
        <w:keepLines w:val="0"/>
        <w:pageBreakBefore w:val="0"/>
        <w:widowControl w:val="0"/>
        <w:kinsoku/>
        <w:wordWrap/>
        <w:overflowPunct/>
        <w:topLinePunct w:val="0"/>
        <w:autoSpaceDE/>
        <w:autoSpaceDN/>
        <w:bidi w:val="0"/>
        <w:adjustRightInd/>
        <w:snapToGrid/>
        <w:spacing w:line="600" w:lineRule="exact"/>
        <w:ind w:firstLine="0" w:firstLineChars="0"/>
        <w:jc w:val="both"/>
        <w:textAlignment w:val="auto"/>
        <w:rPr>
          <w:rFonts w:hint="eastAsia" w:ascii="仿宋_GB2312" w:hAnsi="仿宋_GB2312" w:eastAsia="仿宋_GB2312" w:cs="仿宋_GB2312"/>
          <w:color w:val="auto"/>
          <w:sz w:val="32"/>
          <w:szCs w:val="32"/>
          <w:lang w:val="en-US" w:eastAsia="zh-CN"/>
        </w:rPr>
      </w:pPr>
    </w:p>
    <w:p w14:paraId="56E4BD91">
      <w:pPr>
        <w:keepNext w:val="0"/>
        <w:keepLines w:val="0"/>
        <w:pageBreakBefore w:val="0"/>
        <w:widowControl w:val="0"/>
        <w:kinsoku/>
        <w:wordWrap/>
        <w:overflowPunct/>
        <w:topLinePunct w:val="0"/>
        <w:autoSpaceDE/>
        <w:autoSpaceDN/>
        <w:bidi w:val="0"/>
        <w:adjustRightInd/>
        <w:snapToGrid/>
        <w:spacing w:line="600" w:lineRule="exact"/>
        <w:ind w:firstLine="0" w:firstLineChars="0"/>
        <w:jc w:val="righ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衡阳市生态环境局</w:t>
      </w:r>
    </w:p>
    <w:p w14:paraId="5A8789A9">
      <w:pPr>
        <w:keepNext w:val="0"/>
        <w:keepLines w:val="0"/>
        <w:pageBreakBefore w:val="0"/>
        <w:widowControl w:val="0"/>
        <w:kinsoku/>
        <w:wordWrap/>
        <w:overflowPunct/>
        <w:topLinePunct w:val="0"/>
        <w:autoSpaceDE/>
        <w:autoSpaceDN/>
        <w:bidi w:val="0"/>
        <w:adjustRightInd/>
        <w:snapToGrid/>
        <w:spacing w:line="600" w:lineRule="exact"/>
        <w:ind w:firstLine="0" w:firstLineChars="0"/>
        <w:jc w:val="righ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  2024年7月22日</w:t>
      </w:r>
    </w:p>
    <w:p w14:paraId="4BAFF5CB">
      <w:pPr>
        <w:keepNext w:val="0"/>
        <w:keepLines w:val="0"/>
        <w:pageBreakBefore w:val="0"/>
        <w:widowControl w:val="0"/>
        <w:kinsoku/>
        <w:wordWrap/>
        <w:overflowPunct/>
        <w:topLinePunct w:val="0"/>
        <w:autoSpaceDE/>
        <w:autoSpaceDN/>
        <w:bidi w:val="0"/>
        <w:adjustRightInd/>
        <w:snapToGrid/>
        <w:spacing w:line="600" w:lineRule="exact"/>
        <w:ind w:firstLine="0" w:firstLineChars="0"/>
        <w:jc w:val="right"/>
        <w:textAlignment w:val="auto"/>
        <w:rPr>
          <w:rFonts w:hint="eastAsia" w:ascii="仿宋_GB2312" w:hAnsi="仿宋_GB2312" w:eastAsia="仿宋_GB2312" w:cs="仿宋_GB2312"/>
          <w:color w:val="auto"/>
          <w:sz w:val="32"/>
          <w:szCs w:val="32"/>
          <w:lang w:val="en-US" w:eastAsia="zh-CN"/>
        </w:rPr>
      </w:pPr>
    </w:p>
    <w:p w14:paraId="4A13641F">
      <w:pPr>
        <w:keepNext w:val="0"/>
        <w:keepLines w:val="0"/>
        <w:pageBreakBefore w:val="0"/>
        <w:widowControl w:val="0"/>
        <w:kinsoku/>
        <w:wordWrap/>
        <w:overflowPunct/>
        <w:topLinePunct w:val="0"/>
        <w:autoSpaceDE/>
        <w:autoSpaceDN/>
        <w:bidi w:val="0"/>
        <w:adjustRightInd/>
        <w:snapToGrid/>
        <w:spacing w:line="600" w:lineRule="exact"/>
        <w:ind w:firstLine="0" w:firstLineChars="0"/>
        <w:jc w:val="right"/>
        <w:textAlignment w:val="auto"/>
        <w:rPr>
          <w:rFonts w:hint="eastAsia" w:ascii="仿宋_GB2312" w:hAnsi="仿宋_GB2312" w:eastAsia="仿宋_GB2312" w:cs="仿宋_GB2312"/>
          <w:color w:val="auto"/>
          <w:sz w:val="32"/>
          <w:szCs w:val="32"/>
          <w:lang w:val="en-US" w:eastAsia="zh-CN"/>
        </w:rPr>
      </w:pPr>
    </w:p>
    <w:p w14:paraId="555C96D5">
      <w:pPr>
        <w:keepNext w:val="0"/>
        <w:keepLines w:val="0"/>
        <w:pageBreakBefore w:val="0"/>
        <w:widowControl w:val="0"/>
        <w:kinsoku/>
        <w:wordWrap/>
        <w:overflowPunct/>
        <w:topLinePunct w:val="0"/>
        <w:autoSpaceDE/>
        <w:autoSpaceDN/>
        <w:bidi w:val="0"/>
        <w:adjustRightInd/>
        <w:snapToGrid/>
        <w:spacing w:line="600" w:lineRule="exact"/>
        <w:ind w:firstLine="0" w:firstLineChars="0"/>
        <w:jc w:val="right"/>
        <w:textAlignment w:val="auto"/>
        <w:rPr>
          <w:rFonts w:hint="eastAsia" w:ascii="仿宋_GB2312" w:hAnsi="仿宋_GB2312" w:eastAsia="仿宋_GB2312" w:cs="仿宋_GB2312"/>
          <w:color w:val="auto"/>
          <w:sz w:val="32"/>
          <w:szCs w:val="32"/>
          <w:lang w:val="en-US" w:eastAsia="zh-CN"/>
        </w:rPr>
      </w:pPr>
    </w:p>
    <w:p w14:paraId="419AE616">
      <w:pPr>
        <w:keepNext w:val="0"/>
        <w:keepLines w:val="0"/>
        <w:pageBreakBefore w:val="0"/>
        <w:widowControl w:val="0"/>
        <w:kinsoku/>
        <w:wordWrap/>
        <w:overflowPunct/>
        <w:topLinePunct w:val="0"/>
        <w:autoSpaceDE/>
        <w:autoSpaceDN/>
        <w:bidi w:val="0"/>
        <w:adjustRightInd/>
        <w:snapToGrid/>
        <w:spacing w:line="600" w:lineRule="exact"/>
        <w:ind w:firstLine="0" w:firstLineChars="0"/>
        <w:jc w:val="right"/>
        <w:textAlignment w:val="auto"/>
        <w:rPr>
          <w:rFonts w:hint="eastAsia" w:ascii="仿宋_GB2312" w:hAnsi="仿宋_GB2312" w:eastAsia="仿宋_GB2312" w:cs="仿宋_GB2312"/>
          <w:color w:val="auto"/>
          <w:sz w:val="32"/>
          <w:szCs w:val="32"/>
          <w:lang w:val="en-US" w:eastAsia="zh-CN"/>
        </w:rPr>
      </w:pPr>
    </w:p>
    <w:p w14:paraId="0A7F89FF">
      <w:pPr>
        <w:keepNext w:val="0"/>
        <w:keepLines w:val="0"/>
        <w:pageBreakBefore w:val="0"/>
        <w:widowControl w:val="0"/>
        <w:kinsoku/>
        <w:wordWrap/>
        <w:overflowPunct/>
        <w:topLinePunct w:val="0"/>
        <w:autoSpaceDE/>
        <w:autoSpaceDN/>
        <w:bidi w:val="0"/>
        <w:adjustRightInd/>
        <w:snapToGrid/>
        <w:spacing w:line="600" w:lineRule="exact"/>
        <w:ind w:firstLine="0" w:firstLineChars="0"/>
        <w:jc w:val="right"/>
        <w:textAlignment w:val="auto"/>
        <w:rPr>
          <w:rFonts w:hint="eastAsia" w:ascii="仿宋_GB2312" w:hAnsi="仿宋_GB2312" w:eastAsia="仿宋_GB2312" w:cs="仿宋_GB2312"/>
          <w:color w:val="auto"/>
          <w:sz w:val="32"/>
          <w:szCs w:val="32"/>
          <w:lang w:val="en-US" w:eastAsia="zh-CN"/>
        </w:rPr>
      </w:pPr>
    </w:p>
    <w:p w14:paraId="2DE8282F">
      <w:pPr>
        <w:keepNext w:val="0"/>
        <w:keepLines w:val="0"/>
        <w:pageBreakBefore w:val="0"/>
        <w:widowControl w:val="0"/>
        <w:kinsoku/>
        <w:wordWrap/>
        <w:overflowPunct/>
        <w:topLinePunct w:val="0"/>
        <w:autoSpaceDE/>
        <w:autoSpaceDN/>
        <w:bidi w:val="0"/>
        <w:adjustRightInd/>
        <w:snapToGrid/>
        <w:spacing w:line="600" w:lineRule="exact"/>
        <w:ind w:firstLine="0" w:firstLineChars="0"/>
        <w:jc w:val="right"/>
        <w:textAlignment w:val="auto"/>
        <w:rPr>
          <w:rFonts w:hint="eastAsia" w:ascii="仿宋_GB2312" w:hAnsi="仿宋_GB2312" w:eastAsia="仿宋_GB2312" w:cs="仿宋_GB2312"/>
          <w:color w:val="auto"/>
          <w:sz w:val="32"/>
          <w:szCs w:val="32"/>
          <w:lang w:val="en-US" w:eastAsia="zh-CN"/>
        </w:rPr>
      </w:pPr>
    </w:p>
    <w:p w14:paraId="2FE67D58">
      <w:pPr>
        <w:keepNext w:val="0"/>
        <w:keepLines w:val="0"/>
        <w:pageBreakBefore w:val="0"/>
        <w:widowControl w:val="0"/>
        <w:kinsoku/>
        <w:wordWrap/>
        <w:overflowPunct/>
        <w:topLinePunct w:val="0"/>
        <w:autoSpaceDE/>
        <w:autoSpaceDN/>
        <w:bidi w:val="0"/>
        <w:adjustRightInd/>
        <w:snapToGrid/>
        <w:spacing w:line="600" w:lineRule="exact"/>
        <w:ind w:firstLine="0" w:firstLineChars="0"/>
        <w:jc w:val="right"/>
        <w:textAlignment w:val="auto"/>
        <w:rPr>
          <w:rFonts w:hint="eastAsia" w:ascii="仿宋_GB2312" w:hAnsi="仿宋_GB2312" w:eastAsia="仿宋_GB2312" w:cs="仿宋_GB2312"/>
          <w:color w:val="auto"/>
          <w:sz w:val="32"/>
          <w:szCs w:val="32"/>
          <w:lang w:val="en-US" w:eastAsia="zh-CN"/>
        </w:rPr>
      </w:pPr>
    </w:p>
    <w:p w14:paraId="621A7B96">
      <w:pPr>
        <w:keepNext w:val="0"/>
        <w:keepLines w:val="0"/>
        <w:pageBreakBefore w:val="0"/>
        <w:widowControl w:val="0"/>
        <w:kinsoku/>
        <w:wordWrap/>
        <w:overflowPunct/>
        <w:topLinePunct w:val="0"/>
        <w:autoSpaceDE/>
        <w:autoSpaceDN/>
        <w:bidi w:val="0"/>
        <w:adjustRightInd/>
        <w:snapToGrid/>
        <w:spacing w:line="600" w:lineRule="exact"/>
        <w:ind w:firstLine="0" w:firstLineChars="0"/>
        <w:jc w:val="both"/>
        <w:textAlignment w:val="auto"/>
        <w:rPr>
          <w:rFonts w:hint="eastAsia" w:ascii="仿宋_GB2312" w:hAnsi="仿宋_GB2312" w:eastAsia="仿宋_GB2312" w:cs="仿宋_GB2312"/>
          <w:color w:val="auto"/>
          <w:sz w:val="32"/>
          <w:szCs w:val="32"/>
          <w:u w:val="single"/>
          <w:lang w:val="en-US" w:eastAsia="zh-CN"/>
        </w:rPr>
      </w:pPr>
    </w:p>
    <w:p w14:paraId="4CA3EEF8">
      <w:pPr>
        <w:keepNext w:val="0"/>
        <w:keepLines w:val="0"/>
        <w:pageBreakBefore w:val="0"/>
        <w:widowControl w:val="0"/>
        <w:kinsoku/>
        <w:wordWrap/>
        <w:overflowPunct/>
        <w:topLinePunct w:val="0"/>
        <w:autoSpaceDE/>
        <w:autoSpaceDN/>
        <w:bidi w:val="0"/>
        <w:adjustRightInd/>
        <w:snapToGrid/>
        <w:spacing w:line="600" w:lineRule="exact"/>
        <w:ind w:firstLine="0" w:firstLineChars="0"/>
        <w:jc w:val="both"/>
        <w:textAlignment w:val="auto"/>
        <w:rPr>
          <w:rFonts w:hint="eastAsia" w:ascii="仿宋_GB2312" w:hAnsi="仿宋_GB2312" w:eastAsia="仿宋_GB2312" w:cs="仿宋_GB2312"/>
          <w:color w:val="auto"/>
          <w:sz w:val="32"/>
          <w:szCs w:val="32"/>
          <w:u w:val="single"/>
          <w:lang w:val="en-US" w:eastAsia="zh-CN"/>
        </w:rPr>
      </w:pPr>
    </w:p>
    <w:p w14:paraId="33D34373">
      <w:pPr>
        <w:keepNext w:val="0"/>
        <w:keepLines w:val="0"/>
        <w:pageBreakBefore w:val="0"/>
        <w:widowControl w:val="0"/>
        <w:kinsoku/>
        <w:wordWrap/>
        <w:overflowPunct/>
        <w:topLinePunct w:val="0"/>
        <w:autoSpaceDE/>
        <w:autoSpaceDN/>
        <w:bidi w:val="0"/>
        <w:adjustRightInd/>
        <w:snapToGrid/>
        <w:spacing w:line="600" w:lineRule="exact"/>
        <w:ind w:firstLine="0" w:firstLineChars="0"/>
        <w:jc w:val="both"/>
        <w:textAlignment w:val="auto"/>
        <w:rPr>
          <w:rFonts w:hint="eastAsia" w:ascii="仿宋_GB2312" w:hAnsi="仿宋_GB2312" w:eastAsia="仿宋_GB2312" w:cs="仿宋_GB2312"/>
          <w:color w:val="auto"/>
          <w:sz w:val="32"/>
          <w:szCs w:val="32"/>
          <w:u w:val="single"/>
          <w:lang w:val="en-US" w:eastAsia="zh-CN"/>
        </w:rPr>
      </w:pPr>
    </w:p>
    <w:p w14:paraId="2DE874FA">
      <w:pPr>
        <w:keepNext w:val="0"/>
        <w:keepLines w:val="0"/>
        <w:pageBreakBefore w:val="0"/>
        <w:widowControl w:val="0"/>
        <w:kinsoku/>
        <w:wordWrap/>
        <w:overflowPunct/>
        <w:topLinePunct w:val="0"/>
        <w:autoSpaceDE/>
        <w:autoSpaceDN/>
        <w:bidi w:val="0"/>
        <w:adjustRightInd/>
        <w:snapToGrid/>
        <w:spacing w:line="600" w:lineRule="exact"/>
        <w:ind w:firstLine="0" w:firstLineChars="0"/>
        <w:jc w:val="both"/>
        <w:textAlignment w:val="auto"/>
        <w:rPr>
          <w:rFonts w:hint="eastAsia" w:ascii="仿宋_GB2312" w:hAnsi="仿宋_GB2312" w:eastAsia="仿宋_GB2312" w:cs="仿宋_GB2312"/>
          <w:color w:val="auto"/>
          <w:sz w:val="32"/>
          <w:szCs w:val="32"/>
          <w:u w:val="single"/>
          <w:lang w:val="en-US" w:eastAsia="zh-CN"/>
        </w:rPr>
      </w:pPr>
    </w:p>
    <w:p w14:paraId="79D64554">
      <w:pPr>
        <w:keepNext w:val="0"/>
        <w:keepLines w:val="0"/>
        <w:pageBreakBefore w:val="0"/>
        <w:widowControl w:val="0"/>
        <w:kinsoku/>
        <w:wordWrap/>
        <w:overflowPunct/>
        <w:topLinePunct w:val="0"/>
        <w:autoSpaceDE/>
        <w:autoSpaceDN/>
        <w:bidi w:val="0"/>
        <w:adjustRightInd/>
        <w:snapToGrid/>
        <w:spacing w:line="600" w:lineRule="exact"/>
        <w:ind w:firstLine="0" w:firstLineChars="0"/>
        <w:jc w:val="both"/>
        <w:textAlignment w:val="auto"/>
        <w:rPr>
          <w:rFonts w:hint="eastAsia" w:ascii="仿宋_GB2312" w:hAnsi="仿宋_GB2312" w:eastAsia="仿宋_GB2312" w:cs="仿宋_GB2312"/>
          <w:color w:val="auto"/>
          <w:sz w:val="32"/>
          <w:szCs w:val="32"/>
          <w:u w:val="single"/>
          <w:lang w:val="en-US" w:eastAsia="zh-CN"/>
        </w:rPr>
      </w:pPr>
      <w:r>
        <w:rPr>
          <w:rFonts w:hint="eastAsia" w:ascii="仿宋_GB2312" w:hAnsi="仿宋_GB2312" w:eastAsia="仿宋_GB2312" w:cs="仿宋_GB2312"/>
          <w:color w:val="auto"/>
          <w:sz w:val="32"/>
          <w:szCs w:val="32"/>
          <w:u w:val="single"/>
          <w:lang w:val="en-US" w:eastAsia="zh-CN"/>
        </w:rPr>
        <w:t xml:space="preserve">                                                       </w:t>
      </w:r>
    </w:p>
    <w:p w14:paraId="609A8CC6">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default" w:ascii="仿宋_GB2312" w:hAnsi="仿宋_GB2312" w:eastAsia="仿宋_GB2312" w:cs="仿宋_GB2312"/>
          <w:color w:val="auto"/>
          <w:sz w:val="32"/>
          <w:szCs w:val="32"/>
          <w:u w:val="single"/>
          <w:lang w:val="en-US" w:eastAsia="zh-CN"/>
        </w:rPr>
      </w:pPr>
      <w:r>
        <w:rPr>
          <w:rFonts w:hint="eastAsia" w:ascii="仿宋_GB2312" w:hAnsi="仿宋_GB2312" w:eastAsia="仿宋_GB2312" w:cs="仿宋_GB2312"/>
          <w:color w:val="auto"/>
          <w:sz w:val="32"/>
          <w:szCs w:val="32"/>
          <w:u w:val="single"/>
          <w:lang w:val="en-US" w:eastAsia="zh-CN"/>
        </w:rPr>
        <w:t xml:space="preserve">抄送：衡南县应急管理局，衡南县洪山镇人民政府          </w:t>
      </w:r>
      <w:bookmarkStart w:id="0" w:name="_GoBack"/>
      <w:bookmarkEnd w:id="0"/>
    </w:p>
    <w:sectPr>
      <w:footerReference r:id="rId3" w:type="default"/>
      <w:pgSz w:w="11906" w:h="16838"/>
      <w:pgMar w:top="1440" w:right="1701" w:bottom="1701" w:left="1701"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0D"/>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36F57A">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ABCFF1">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CABCFF1">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2OTNhMWViNzg0YzYxM2ZhZTIyNjBiMzY1NjYzYzMifQ=="/>
  </w:docVars>
  <w:rsids>
    <w:rsidRoot w:val="6D5F0EBB"/>
    <w:rsid w:val="02F33C23"/>
    <w:rsid w:val="030A76B3"/>
    <w:rsid w:val="0BD95485"/>
    <w:rsid w:val="11B8122E"/>
    <w:rsid w:val="12881C51"/>
    <w:rsid w:val="142B45A2"/>
    <w:rsid w:val="1AE141EC"/>
    <w:rsid w:val="22F63752"/>
    <w:rsid w:val="24722B56"/>
    <w:rsid w:val="37AD13C5"/>
    <w:rsid w:val="3B155A27"/>
    <w:rsid w:val="3D985905"/>
    <w:rsid w:val="475044BE"/>
    <w:rsid w:val="4FA230B5"/>
    <w:rsid w:val="53095C1D"/>
    <w:rsid w:val="55DA125B"/>
    <w:rsid w:val="57145142"/>
    <w:rsid w:val="5A43120C"/>
    <w:rsid w:val="62015D11"/>
    <w:rsid w:val="621018B6"/>
    <w:rsid w:val="66E82A1F"/>
    <w:rsid w:val="6D5F0EBB"/>
    <w:rsid w:val="7366631C"/>
    <w:rsid w:val="77177446"/>
    <w:rsid w:val="7CF572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customStyle="1" w:styleId="6">
    <w:name w:val="content1"/>
    <w:basedOn w:val="5"/>
    <w:autoRedefine/>
    <w:qFormat/>
    <w:uiPriority w:val="0"/>
    <w:rPr>
      <w:color w:val="000000"/>
      <w:sz w:val="20"/>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1542</Words>
  <Characters>1677</Characters>
  <Lines>0</Lines>
  <Paragraphs>0</Paragraphs>
  <TotalTime>55</TotalTime>
  <ScaleCrop>false</ScaleCrop>
  <LinksUpToDate>false</LinksUpToDate>
  <CharactersWithSpaces>1680</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2024-07-12T00:40:00Z</dcterms:created>
  <dc:creator>_周轶珉</dc:creator>
  <cp:lastModifiedBy>haiy(•̀⌄•́)</cp:lastModifiedBy>
  <cp:lastPrinted>2024-07-24T09:13:39Z</cp:lastPrinted>
  <dcterms:modified xsi:type="dcterms:W3CDTF">2024-07-24T09:15:31Z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673E8103E5104E42978E2BCA069D1029_13</vt:lpwstr>
  </property>
</Properties>
</file>