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default" w:ascii="Times New Roman" w:hAnsi="Times New Roman" w:eastAsia="宋体" w:cs="Times New Roman"/>
          <w:sz w:val="32"/>
          <w:szCs w:val="32"/>
        </w:rPr>
      </w:pPr>
    </w:p>
    <w:p>
      <w:pPr>
        <w:spacing w:line="600" w:lineRule="exact"/>
        <w:jc w:val="center"/>
        <w:rPr>
          <w:rFonts w:hint="default" w:ascii="Times New Roman" w:hAnsi="Times New Roman" w:eastAsia="宋体" w:cs="Times New Roman"/>
          <w:sz w:val="32"/>
          <w:szCs w:val="32"/>
        </w:rPr>
      </w:pPr>
    </w:p>
    <w:p>
      <w:pPr>
        <w:spacing w:line="600" w:lineRule="exact"/>
        <w:jc w:val="center"/>
        <w:rPr>
          <w:rFonts w:hint="default" w:ascii="Times New Roman" w:hAnsi="Times New Roman" w:eastAsia="宋体" w:cs="Times New Roman"/>
          <w:sz w:val="32"/>
          <w:szCs w:val="32"/>
        </w:rPr>
      </w:pPr>
    </w:p>
    <w:p>
      <w:pPr>
        <w:spacing w:line="600" w:lineRule="exact"/>
        <w:jc w:val="center"/>
        <w:rPr>
          <w:rFonts w:hint="default" w:ascii="Times New Roman" w:hAnsi="Times New Roman" w:eastAsia="宋体" w:cs="Times New Roman"/>
          <w:sz w:val="32"/>
          <w:szCs w:val="32"/>
        </w:rPr>
      </w:pPr>
      <w:r>
        <w:rPr>
          <w:rFonts w:hint="default" w:ascii="Times New Roman" w:hAnsi="Times New Roman" w:eastAsia="宋体" w:cs="Times New Roman"/>
          <w:sz w:val="32"/>
          <w:szCs w:val="32"/>
        </w:rPr>
        <w:t xml:space="preserve">                             </w:t>
      </w: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衡</w:t>
      </w:r>
      <w:r>
        <w:rPr>
          <w:rFonts w:hint="eastAsia" w:ascii="仿宋" w:hAnsi="仿宋" w:eastAsia="仿宋" w:cs="仿宋"/>
          <w:color w:val="auto"/>
          <w:sz w:val="32"/>
          <w:szCs w:val="32"/>
          <w:lang w:val="en-US" w:eastAsia="zh-CN"/>
        </w:rPr>
        <w:t>清环审</w:t>
      </w:r>
      <w:r>
        <w:rPr>
          <w:rFonts w:hint="default" w:ascii="仿宋" w:hAnsi="仿宋" w:eastAsia="仿宋" w:cs="仿宋"/>
          <w:color w:val="auto"/>
          <w:sz w:val="32"/>
          <w:szCs w:val="32"/>
        </w:rPr>
        <w:t>字〔202</w:t>
      </w:r>
      <w:r>
        <w:rPr>
          <w:rFonts w:hint="eastAsia" w:ascii="仿宋" w:hAnsi="仿宋" w:eastAsia="仿宋" w:cs="仿宋"/>
          <w:color w:val="auto"/>
          <w:sz w:val="32"/>
          <w:szCs w:val="32"/>
          <w:lang w:val="en-US" w:eastAsia="zh-CN"/>
        </w:rPr>
        <w:t>4</w:t>
      </w:r>
      <w:r>
        <w:rPr>
          <w:rFonts w:hint="default" w:ascii="仿宋" w:hAnsi="仿宋" w:eastAsia="仿宋" w:cs="仿宋"/>
          <w:color w:val="auto"/>
          <w:sz w:val="32"/>
          <w:szCs w:val="32"/>
        </w:rPr>
        <w:t>〕</w:t>
      </w:r>
      <w:r>
        <w:rPr>
          <w:rFonts w:hint="eastAsia" w:ascii="仿宋" w:hAnsi="仿宋" w:eastAsia="仿宋" w:cs="仿宋"/>
          <w:color w:val="auto"/>
          <w:sz w:val="32"/>
          <w:szCs w:val="32"/>
          <w:lang w:val="en-US" w:eastAsia="zh-CN"/>
        </w:rPr>
        <w:t>13</w:t>
      </w:r>
      <w:r>
        <w:rPr>
          <w:rFonts w:hint="default" w:ascii="仿宋" w:hAnsi="仿宋" w:eastAsia="仿宋" w:cs="仿宋"/>
          <w:color w:val="auto"/>
          <w:sz w:val="32"/>
          <w:szCs w:val="32"/>
        </w:rPr>
        <w:t>号</w:t>
      </w:r>
    </w:p>
    <w:p>
      <w:pPr>
        <w:spacing w:line="600" w:lineRule="exact"/>
        <w:jc w:val="center"/>
        <w:rPr>
          <w:rFonts w:hint="default" w:ascii="Times New Roman" w:hAnsi="Times New Roman" w:eastAsia="宋体" w:cs="Times New Roman"/>
          <w:sz w:val="32"/>
          <w:szCs w:val="32"/>
        </w:rPr>
      </w:pPr>
    </w:p>
    <w:p>
      <w:pPr>
        <w:spacing w:line="660" w:lineRule="exact"/>
        <w:jc w:val="center"/>
        <w:rPr>
          <w:rFonts w:hint="eastAsia" w:ascii="方正小标宋简体" w:hAnsi="方正小标宋简体" w:eastAsia="方正小标宋简体" w:cs="方正小标宋简体"/>
          <w:b/>
          <w:bCs/>
          <w:color w:val="auto"/>
          <w:spacing w:val="-20"/>
          <w:sz w:val="42"/>
          <w:szCs w:val="42"/>
          <w:lang w:val="en-US" w:eastAsia="zh-CN"/>
        </w:rPr>
      </w:pPr>
      <w:r>
        <w:rPr>
          <w:rFonts w:hint="eastAsia" w:ascii="方正小标宋简体" w:hAnsi="方正小标宋简体" w:eastAsia="方正小标宋简体" w:cs="方正小标宋简体"/>
          <w:b/>
          <w:bCs/>
          <w:color w:val="auto"/>
          <w:spacing w:val="-20"/>
          <w:sz w:val="42"/>
          <w:szCs w:val="42"/>
          <w:lang w:eastAsia="zh-CN"/>
        </w:rPr>
        <w:t>衡阳市生态环境局</w:t>
      </w:r>
    </w:p>
    <w:p>
      <w:pPr>
        <w:spacing w:line="660" w:lineRule="exact"/>
        <w:jc w:val="center"/>
        <w:rPr>
          <w:rFonts w:hint="eastAsia" w:ascii="方正小标宋简体" w:hAnsi="方正小标宋简体" w:eastAsia="方正小标宋简体" w:cs="方正小标宋简体"/>
          <w:b/>
          <w:bCs/>
          <w:color w:val="auto"/>
          <w:spacing w:val="-20"/>
          <w:sz w:val="42"/>
          <w:szCs w:val="42"/>
          <w:lang w:eastAsia="zh-CN"/>
        </w:rPr>
      </w:pPr>
      <w:r>
        <w:rPr>
          <w:rFonts w:hint="eastAsia" w:ascii="方正小标宋简体" w:hAnsi="方正小标宋简体" w:eastAsia="方正小标宋简体" w:cs="方正小标宋简体"/>
          <w:b/>
          <w:bCs/>
          <w:color w:val="auto"/>
          <w:spacing w:val="-20"/>
          <w:sz w:val="42"/>
          <w:szCs w:val="42"/>
          <w:lang w:eastAsia="zh-CN"/>
        </w:rPr>
        <w:t>关于《天津大桥焊材集团衡阳焊接材料有限公司</w:t>
      </w:r>
    </w:p>
    <w:p>
      <w:pPr>
        <w:spacing w:line="660" w:lineRule="exact"/>
        <w:jc w:val="center"/>
        <w:rPr>
          <w:rFonts w:hint="eastAsia" w:ascii="方正小标宋简体" w:hAnsi="方正小标宋简体" w:eastAsia="方正小标宋简体" w:cs="方正小标宋简体"/>
          <w:b/>
          <w:bCs/>
          <w:color w:val="auto"/>
          <w:spacing w:val="-20"/>
          <w:sz w:val="42"/>
          <w:szCs w:val="42"/>
          <w:lang w:eastAsia="zh-CN"/>
        </w:rPr>
      </w:pPr>
      <w:r>
        <w:rPr>
          <w:rFonts w:hint="eastAsia" w:ascii="方正小标宋简体" w:hAnsi="方正小标宋简体" w:eastAsia="方正小标宋简体" w:cs="方正小标宋简体"/>
          <w:b/>
          <w:bCs/>
          <w:color w:val="auto"/>
          <w:spacing w:val="-20"/>
          <w:sz w:val="42"/>
          <w:szCs w:val="42"/>
          <w:lang w:eastAsia="zh-CN"/>
        </w:rPr>
        <w:t>药芯焊丝生产项目环境影响报告表》的批复</w:t>
      </w:r>
    </w:p>
    <w:p>
      <w:pPr>
        <w:spacing w:line="600" w:lineRule="exact"/>
        <w:jc w:val="left"/>
        <w:rPr>
          <w:rStyle w:val="15"/>
          <w:rFonts w:hint="eastAsia" w:ascii="仿宋" w:hAnsi="仿宋" w:eastAsia="仿宋" w:cs="仿宋"/>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0" w:firstLineChars="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lang w:eastAsia="zh-CN"/>
        </w:rPr>
        <w:t>天津大桥焊材集团衡阳焊接材料有限公司</w:t>
      </w:r>
      <w:r>
        <w:rPr>
          <w:rStyle w:val="15"/>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你公司</w:t>
      </w:r>
      <w:r>
        <w:rPr>
          <w:rStyle w:val="15"/>
          <w:rFonts w:hint="eastAsia" w:ascii="仿宋_GB2312" w:hAnsi="仿宋_GB2312" w:eastAsia="仿宋_GB2312" w:cs="仿宋_GB2312"/>
          <w:color w:val="auto"/>
          <w:sz w:val="32"/>
          <w:szCs w:val="32"/>
          <w:lang w:val="en-US" w:eastAsia="zh-CN"/>
        </w:rPr>
        <w:t>报送</w:t>
      </w:r>
      <w:r>
        <w:rPr>
          <w:rStyle w:val="15"/>
          <w:rFonts w:hint="eastAsia" w:ascii="仿宋_GB2312" w:hAnsi="仿宋_GB2312" w:eastAsia="仿宋_GB2312" w:cs="仿宋_GB2312"/>
          <w:color w:val="auto"/>
          <w:sz w:val="32"/>
          <w:szCs w:val="32"/>
        </w:rPr>
        <w:t>的《</w:t>
      </w:r>
      <w:r>
        <w:rPr>
          <w:rStyle w:val="15"/>
          <w:rFonts w:hint="eastAsia" w:ascii="仿宋_GB2312" w:hAnsi="仿宋_GB2312" w:eastAsia="仿宋_GB2312" w:cs="仿宋_GB2312"/>
          <w:color w:val="auto"/>
          <w:sz w:val="32"/>
          <w:szCs w:val="32"/>
          <w:lang w:eastAsia="zh-CN"/>
        </w:rPr>
        <w:t>天津大桥焊材集团衡阳焊接材料有限公司药芯焊丝生产项目</w:t>
      </w:r>
      <w:r>
        <w:rPr>
          <w:rStyle w:val="15"/>
          <w:rFonts w:hint="eastAsia" w:ascii="仿宋_GB2312" w:hAnsi="仿宋_GB2312" w:eastAsia="仿宋_GB2312" w:cs="仿宋_GB2312"/>
          <w:color w:val="auto"/>
          <w:sz w:val="32"/>
          <w:szCs w:val="32"/>
        </w:rPr>
        <w:t>环境影响报告表》（报批稿）及专家组评审意见均已收悉，经研究，批复如下：</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lang w:val="en-US" w:eastAsia="zh-CN"/>
        </w:rPr>
        <w:t>一、</w:t>
      </w:r>
      <w:r>
        <w:rPr>
          <w:rStyle w:val="15"/>
          <w:rFonts w:hint="eastAsia" w:ascii="仿宋_GB2312" w:hAnsi="仿宋_GB2312" w:eastAsia="仿宋_GB2312" w:cs="仿宋_GB2312"/>
          <w:color w:val="auto"/>
          <w:sz w:val="32"/>
          <w:szCs w:val="32"/>
        </w:rPr>
        <w:t>项目建设的主要内容。天津大桥焊材集团衡阳焊接材料有限公司在衡南高新技术产业开发区云集片区购置地块</w:t>
      </w:r>
      <w:r>
        <w:rPr>
          <w:rStyle w:val="15"/>
          <w:rFonts w:hint="eastAsia" w:ascii="仿宋_GB2312" w:hAnsi="仿宋_GB2312" w:eastAsia="仿宋_GB2312" w:cs="仿宋_GB2312"/>
          <w:color w:val="auto"/>
          <w:sz w:val="32"/>
          <w:szCs w:val="32"/>
          <w:lang w:val="en-US" w:eastAsia="zh-CN"/>
        </w:rPr>
        <w:t>建设</w:t>
      </w:r>
      <w:r>
        <w:rPr>
          <w:rStyle w:val="15"/>
          <w:rFonts w:hint="eastAsia" w:ascii="仿宋_GB2312" w:hAnsi="仿宋_GB2312" w:eastAsia="仿宋_GB2312" w:cs="仿宋_GB2312"/>
          <w:color w:val="auto"/>
          <w:sz w:val="32"/>
          <w:szCs w:val="32"/>
        </w:rPr>
        <w:t>焊接材料生产线</w:t>
      </w:r>
      <w:r>
        <w:rPr>
          <w:rStyle w:val="15"/>
          <w:rFonts w:hint="eastAsia" w:ascii="仿宋_GB2312" w:hAnsi="仿宋_GB2312" w:eastAsia="仿宋_GB2312" w:cs="仿宋_GB2312"/>
          <w:color w:val="auto"/>
          <w:sz w:val="32"/>
          <w:szCs w:val="32"/>
          <w:lang w:val="en-US" w:eastAsia="zh-CN"/>
        </w:rPr>
        <w:t>建设项目，</w:t>
      </w:r>
      <w:r>
        <w:rPr>
          <w:rStyle w:val="15"/>
          <w:rFonts w:hint="eastAsia" w:ascii="仿宋_GB2312" w:hAnsi="仿宋_GB2312" w:eastAsia="仿宋_GB2312" w:cs="仿宋_GB2312"/>
          <w:color w:val="auto"/>
          <w:sz w:val="32"/>
          <w:szCs w:val="32"/>
        </w:rPr>
        <w:t>项目占地面积66939.33m</w:t>
      </w:r>
      <w:r>
        <w:rPr>
          <w:rStyle w:val="15"/>
          <w:rFonts w:hint="eastAsia" w:ascii="仿宋_GB2312" w:hAnsi="仿宋_GB2312" w:eastAsia="仿宋_GB2312" w:cs="仿宋_GB2312"/>
          <w:color w:val="auto"/>
          <w:sz w:val="32"/>
          <w:szCs w:val="32"/>
          <w:vertAlign w:val="superscript"/>
        </w:rPr>
        <w:t>2</w:t>
      </w:r>
      <w:r>
        <w:rPr>
          <w:rStyle w:val="15"/>
          <w:rFonts w:hint="eastAsia" w:ascii="仿宋_GB2312" w:hAnsi="仿宋_GB2312" w:eastAsia="仿宋_GB2312" w:cs="仿宋_GB2312"/>
          <w:color w:val="auto"/>
          <w:sz w:val="32"/>
          <w:szCs w:val="32"/>
        </w:rPr>
        <w:t>，年产电焊条5万t（其中J422电焊条4万t、J502电焊条1万t），2006年6月13日取得了衡南县环境保护局（现衡阳市生态环境局衡南分局）</w:t>
      </w:r>
      <w:r>
        <w:rPr>
          <w:rStyle w:val="15"/>
          <w:rFonts w:hint="eastAsia" w:ascii="仿宋_GB2312" w:hAnsi="仿宋_GB2312" w:eastAsia="仿宋_GB2312" w:cs="仿宋_GB2312"/>
          <w:color w:val="auto"/>
          <w:sz w:val="32"/>
          <w:szCs w:val="32"/>
          <w:lang w:val="en-US" w:eastAsia="zh-CN"/>
        </w:rPr>
        <w:t>环评批复</w:t>
      </w:r>
      <w:r>
        <w:rPr>
          <w:rStyle w:val="15"/>
          <w:rFonts w:hint="eastAsia" w:ascii="仿宋_GB2312" w:hAnsi="仿宋_GB2312" w:eastAsia="仿宋_GB2312" w:cs="仿宋_GB2312"/>
          <w:color w:val="auto"/>
          <w:sz w:val="32"/>
          <w:szCs w:val="32"/>
        </w:rPr>
        <w:t>，2015年12月23日通过了竣工环境保护验收</w:t>
      </w:r>
      <w:r>
        <w:rPr>
          <w:rStyle w:val="15"/>
          <w:rFonts w:hint="eastAsia" w:ascii="仿宋_GB2312" w:hAnsi="仿宋_GB2312" w:eastAsia="仿宋_GB2312" w:cs="仿宋_GB2312"/>
          <w:color w:val="auto"/>
          <w:spacing w:val="-20"/>
          <w:sz w:val="32"/>
          <w:szCs w:val="32"/>
          <w:lang w:eastAsia="zh-CN"/>
        </w:rPr>
        <w:t>（</w:t>
      </w:r>
      <w:r>
        <w:rPr>
          <w:rStyle w:val="15"/>
          <w:rFonts w:hint="eastAsia" w:ascii="仿宋_GB2312" w:hAnsi="仿宋_GB2312" w:eastAsia="仿宋_GB2312" w:cs="仿宋_GB2312"/>
          <w:color w:val="auto"/>
          <w:spacing w:val="-20"/>
          <w:sz w:val="32"/>
          <w:szCs w:val="32"/>
        </w:rPr>
        <w:t>南环发[2015]11号</w:t>
      </w:r>
      <w:r>
        <w:rPr>
          <w:rStyle w:val="15"/>
          <w:rFonts w:hint="eastAsia" w:ascii="仿宋_GB2312" w:hAnsi="仿宋_GB2312" w:eastAsia="仿宋_GB2312" w:cs="仿宋_GB2312"/>
          <w:color w:val="auto"/>
          <w:spacing w:val="-20"/>
          <w:sz w:val="32"/>
          <w:szCs w:val="32"/>
          <w:lang w:eastAsia="zh-CN"/>
        </w:rPr>
        <w:t>）</w:t>
      </w:r>
      <w:r>
        <w:rPr>
          <w:rStyle w:val="15"/>
          <w:rFonts w:hint="eastAsia" w:ascii="仿宋_GB2312" w:hAnsi="仿宋_GB2312" w:eastAsia="仿宋_GB2312" w:cs="仿宋_GB2312"/>
          <w:color w:val="auto"/>
          <w:spacing w:val="-20"/>
          <w:sz w:val="32"/>
          <w:szCs w:val="32"/>
        </w:rPr>
        <w:t>，2020年5月15日</w:t>
      </w:r>
      <w:r>
        <w:rPr>
          <w:rStyle w:val="15"/>
          <w:rFonts w:hint="eastAsia" w:ascii="仿宋_GB2312" w:hAnsi="仿宋_GB2312" w:eastAsia="仿宋_GB2312" w:cs="仿宋_GB2312"/>
          <w:color w:val="auto"/>
          <w:spacing w:val="-20"/>
          <w:sz w:val="32"/>
          <w:szCs w:val="32"/>
          <w:lang w:val="en-US" w:eastAsia="zh-CN"/>
        </w:rPr>
        <w:t>取得了</w:t>
      </w:r>
      <w:r>
        <w:rPr>
          <w:rStyle w:val="15"/>
          <w:rFonts w:hint="eastAsia" w:ascii="仿宋_GB2312" w:hAnsi="仿宋_GB2312" w:eastAsia="仿宋_GB2312" w:cs="仿宋_GB2312"/>
          <w:color w:val="auto"/>
          <w:spacing w:val="-20"/>
          <w:sz w:val="32"/>
          <w:szCs w:val="32"/>
        </w:rPr>
        <w:t>固定污染源排污登记回执</w:t>
      </w:r>
      <w:r>
        <w:rPr>
          <w:rStyle w:val="15"/>
          <w:rFonts w:hint="eastAsia" w:ascii="仿宋_GB2312" w:hAnsi="仿宋_GB2312" w:eastAsia="仿宋_GB2312" w:cs="仿宋_GB2312"/>
          <w:color w:val="auto"/>
          <w:spacing w:val="-20"/>
          <w:sz w:val="32"/>
          <w:szCs w:val="32"/>
          <w:lang w:eastAsia="zh-CN"/>
        </w:rPr>
        <w:t>（</w:t>
      </w:r>
      <w:r>
        <w:rPr>
          <w:rStyle w:val="15"/>
          <w:rFonts w:hint="eastAsia" w:ascii="仿宋_GB2312" w:hAnsi="仿宋_GB2312" w:eastAsia="仿宋_GB2312" w:cs="仿宋_GB2312"/>
          <w:color w:val="auto"/>
          <w:spacing w:val="-20"/>
          <w:sz w:val="32"/>
          <w:szCs w:val="32"/>
        </w:rPr>
        <w:t>登记编号 91430422774496943X001W</w:t>
      </w:r>
      <w:r>
        <w:rPr>
          <w:rStyle w:val="15"/>
          <w:rFonts w:hint="eastAsia" w:ascii="仿宋_GB2312" w:hAnsi="仿宋_GB2312" w:eastAsia="仿宋_GB2312" w:cs="仿宋_GB2312"/>
          <w:color w:val="auto"/>
          <w:spacing w:val="-20"/>
          <w:sz w:val="32"/>
          <w:szCs w:val="32"/>
          <w:lang w:eastAsia="zh-CN"/>
        </w:rPr>
        <w:t>）</w:t>
      </w:r>
      <w:r>
        <w:rPr>
          <w:rStyle w:val="15"/>
          <w:rFonts w:hint="eastAsia" w:ascii="仿宋_GB2312" w:hAnsi="仿宋_GB2312" w:eastAsia="仿宋_GB2312" w:cs="仿宋_GB2312"/>
          <w:color w:val="auto"/>
          <w:spacing w:val="-20"/>
          <w:sz w:val="32"/>
          <w:szCs w:val="32"/>
        </w:rPr>
        <w:t>。</w:t>
      </w:r>
      <w:r>
        <w:rPr>
          <w:rStyle w:val="15"/>
          <w:rFonts w:hint="eastAsia" w:ascii="仿宋_GB2312" w:hAnsi="仿宋_GB2312" w:eastAsia="仿宋_GB2312" w:cs="仿宋_GB2312"/>
          <w:color w:val="auto"/>
          <w:sz w:val="32"/>
          <w:szCs w:val="32"/>
        </w:rPr>
        <w:t>为了满足市场需求</w:t>
      </w:r>
      <w:r>
        <w:rPr>
          <w:rStyle w:val="15"/>
          <w:rFonts w:hint="eastAsia" w:ascii="仿宋_GB2312" w:hAnsi="仿宋_GB2312" w:eastAsia="仿宋_GB2312" w:cs="仿宋_GB2312"/>
          <w:color w:val="auto"/>
          <w:sz w:val="32"/>
          <w:szCs w:val="32"/>
          <w:lang w:eastAsia="zh-CN"/>
        </w:rPr>
        <w:t>，</w:t>
      </w:r>
      <w:r>
        <w:rPr>
          <w:rStyle w:val="15"/>
          <w:rFonts w:hint="eastAsia" w:ascii="仿宋_GB2312" w:hAnsi="仿宋_GB2312" w:eastAsia="仿宋_GB2312" w:cs="仿宋_GB2312"/>
          <w:color w:val="auto"/>
          <w:sz w:val="32"/>
          <w:szCs w:val="32"/>
        </w:rPr>
        <w:t>企业拟投资2000万元在现有用地范围内进行扩建</w:t>
      </w:r>
      <w:r>
        <w:rPr>
          <w:rStyle w:val="15"/>
          <w:rFonts w:hint="eastAsia" w:ascii="仿宋_GB2312" w:hAnsi="仿宋_GB2312" w:eastAsia="仿宋_GB2312" w:cs="仿宋_GB2312"/>
          <w:color w:val="auto"/>
          <w:sz w:val="32"/>
          <w:szCs w:val="32"/>
          <w:lang w:eastAsia="zh-CN"/>
        </w:rPr>
        <w:t>，</w:t>
      </w:r>
      <w:r>
        <w:rPr>
          <w:rStyle w:val="15"/>
          <w:rFonts w:hint="eastAsia" w:ascii="仿宋_GB2312" w:hAnsi="仿宋_GB2312" w:eastAsia="仿宋_GB2312" w:cs="仿宋_GB2312"/>
          <w:color w:val="auto"/>
          <w:sz w:val="32"/>
          <w:szCs w:val="32"/>
          <w:lang w:val="en-US" w:eastAsia="zh-CN"/>
        </w:rPr>
        <w:t>新建一条</w:t>
      </w:r>
      <w:r>
        <w:rPr>
          <w:rStyle w:val="15"/>
          <w:rFonts w:hint="eastAsia" w:ascii="仿宋_GB2312" w:hAnsi="仿宋_GB2312" w:eastAsia="仿宋_GB2312" w:cs="仿宋_GB2312"/>
          <w:color w:val="auto"/>
          <w:sz w:val="32"/>
          <w:szCs w:val="32"/>
        </w:rPr>
        <w:t>年产1万t药芯焊丝</w:t>
      </w:r>
      <w:r>
        <w:rPr>
          <w:rStyle w:val="15"/>
          <w:rFonts w:hint="eastAsia" w:ascii="仿宋_GB2312" w:hAnsi="仿宋_GB2312" w:eastAsia="仿宋_GB2312" w:cs="仿宋_GB2312"/>
          <w:color w:val="auto"/>
          <w:sz w:val="32"/>
          <w:szCs w:val="32"/>
          <w:lang w:val="en-US" w:eastAsia="zh-CN"/>
        </w:rPr>
        <w:t>项目</w:t>
      </w:r>
      <w:r>
        <w:rPr>
          <w:rStyle w:val="15"/>
          <w:rFonts w:hint="eastAsia" w:ascii="仿宋_GB2312" w:hAnsi="仿宋_GB2312" w:eastAsia="仿宋_GB2312" w:cs="仿宋_GB2312"/>
          <w:color w:val="auto"/>
          <w:sz w:val="32"/>
          <w:szCs w:val="32"/>
        </w:rPr>
        <w:t>。</w:t>
      </w:r>
      <w:r>
        <w:rPr>
          <w:rStyle w:val="15"/>
          <w:rFonts w:hint="eastAsia" w:ascii="仿宋_GB2312" w:hAnsi="仿宋_GB2312" w:eastAsia="仿宋_GB2312" w:cs="仿宋_GB2312"/>
          <w:color w:val="auto"/>
          <w:sz w:val="32"/>
          <w:szCs w:val="32"/>
          <w:lang w:val="en-US" w:eastAsia="zh-CN"/>
        </w:rPr>
        <w:t>该项目</w:t>
      </w:r>
      <w:r>
        <w:rPr>
          <w:rStyle w:val="15"/>
          <w:rFonts w:hint="eastAsia" w:ascii="仿宋_GB2312" w:hAnsi="仿宋_GB2312" w:eastAsia="仿宋_GB2312" w:cs="仿宋_GB2312"/>
          <w:color w:val="auto"/>
          <w:sz w:val="32"/>
          <w:szCs w:val="32"/>
        </w:rPr>
        <w:t>总建筑面积12560m</w:t>
      </w:r>
      <w:r>
        <w:rPr>
          <w:rStyle w:val="15"/>
          <w:rFonts w:hint="eastAsia" w:ascii="仿宋_GB2312" w:hAnsi="仿宋_GB2312" w:eastAsia="仿宋_GB2312" w:cs="仿宋_GB2312"/>
          <w:color w:val="auto"/>
          <w:sz w:val="32"/>
          <w:szCs w:val="32"/>
          <w:vertAlign w:val="superscript"/>
        </w:rPr>
        <w:t>2</w:t>
      </w:r>
      <w:r>
        <w:rPr>
          <w:rStyle w:val="15"/>
          <w:rFonts w:hint="eastAsia" w:ascii="仿宋_GB2312" w:hAnsi="仿宋_GB2312" w:eastAsia="仿宋_GB2312" w:cs="仿宋_GB2312"/>
          <w:color w:val="auto"/>
          <w:sz w:val="32"/>
          <w:szCs w:val="32"/>
        </w:rPr>
        <w:t>，</w:t>
      </w:r>
      <w:r>
        <w:rPr>
          <w:rStyle w:val="15"/>
          <w:rFonts w:hint="eastAsia" w:ascii="仿宋_GB2312" w:hAnsi="仿宋_GB2312" w:eastAsia="仿宋_GB2312" w:cs="仿宋_GB2312"/>
          <w:color w:val="000000" w:themeColor="text1"/>
          <w:sz w:val="32"/>
          <w:szCs w:val="32"/>
          <w:u w:val="none"/>
          <w14:textFill>
            <w14:solidFill>
              <w14:schemeClr w14:val="tx1"/>
            </w14:solidFill>
          </w14:textFill>
        </w:rPr>
        <w:t>主要建设内容</w:t>
      </w:r>
      <w:r>
        <w:rPr>
          <w:rStyle w:val="15"/>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Style w:val="15"/>
          <w:rFonts w:hint="eastAsia" w:ascii="仿宋_GB2312" w:hAnsi="仿宋_GB2312" w:eastAsia="仿宋_GB2312" w:cs="仿宋_GB2312"/>
          <w:color w:val="000000" w:themeColor="text1"/>
          <w:sz w:val="32"/>
          <w:szCs w:val="32"/>
          <w:u w:val="none"/>
          <w14:textFill>
            <w14:solidFill>
              <w14:schemeClr w14:val="tx1"/>
            </w14:solidFill>
          </w14:textFill>
        </w:rPr>
        <w:t>配粉车间（建筑面积2326m</w:t>
      </w:r>
      <w:r>
        <w:rPr>
          <w:rStyle w:val="15"/>
          <w:rFonts w:hint="eastAsia" w:ascii="仿宋_GB2312" w:hAnsi="仿宋_GB2312" w:eastAsia="仿宋_GB2312" w:cs="仿宋_GB2312"/>
          <w:color w:val="000000" w:themeColor="text1"/>
          <w:sz w:val="32"/>
          <w:szCs w:val="32"/>
          <w:u w:val="none"/>
          <w:vertAlign w:val="superscript"/>
          <w14:textFill>
            <w14:solidFill>
              <w14:schemeClr w14:val="tx1"/>
            </w14:solidFill>
          </w14:textFill>
        </w:rPr>
        <w:t>2</w:t>
      </w:r>
      <w:r>
        <w:rPr>
          <w:rStyle w:val="15"/>
          <w:rFonts w:hint="eastAsia" w:ascii="仿宋_GB2312" w:hAnsi="仿宋_GB2312" w:eastAsia="仿宋_GB2312" w:cs="仿宋_GB2312"/>
          <w:color w:val="000000" w:themeColor="text1"/>
          <w:sz w:val="32"/>
          <w:szCs w:val="32"/>
          <w:u w:val="none"/>
          <w14:textFill>
            <w14:solidFill>
              <w14:schemeClr w14:val="tx1"/>
            </w14:solidFill>
          </w14:textFill>
        </w:rPr>
        <w:t>）、成型车间（建筑面积10234m</w:t>
      </w:r>
      <w:r>
        <w:rPr>
          <w:rStyle w:val="15"/>
          <w:rFonts w:hint="eastAsia" w:ascii="仿宋_GB2312" w:hAnsi="仿宋_GB2312" w:eastAsia="仿宋_GB2312" w:cs="仿宋_GB2312"/>
          <w:color w:val="000000" w:themeColor="text1"/>
          <w:sz w:val="32"/>
          <w:szCs w:val="32"/>
          <w:u w:val="none"/>
          <w:vertAlign w:val="superscript"/>
          <w14:textFill>
            <w14:solidFill>
              <w14:schemeClr w14:val="tx1"/>
            </w14:solidFill>
          </w14:textFill>
        </w:rPr>
        <w:t>2</w:t>
      </w:r>
      <w:r>
        <w:rPr>
          <w:rStyle w:val="15"/>
          <w:rFonts w:hint="eastAsia" w:ascii="仿宋_GB2312" w:hAnsi="仿宋_GB2312" w:eastAsia="仿宋_GB2312" w:cs="仿宋_GB2312"/>
          <w:color w:val="000000" w:themeColor="text1"/>
          <w:sz w:val="32"/>
          <w:szCs w:val="32"/>
          <w:u w:val="none"/>
          <w14:textFill>
            <w14:solidFill>
              <w14:schemeClr w14:val="tx1"/>
            </w14:solidFill>
          </w14:textFill>
        </w:rPr>
        <w:t>），</w:t>
      </w:r>
      <w:r>
        <w:rPr>
          <w:rStyle w:val="15"/>
          <w:rFonts w:hint="eastAsia" w:ascii="仿宋_GB2312" w:hAnsi="仿宋_GB2312" w:eastAsia="仿宋_GB2312" w:cs="仿宋_GB2312"/>
          <w:color w:val="auto"/>
          <w:sz w:val="32"/>
          <w:szCs w:val="32"/>
          <w:lang w:val="en-US" w:eastAsia="zh-CN"/>
        </w:rPr>
        <w:t>以及辅助工程、公用工程、环保工程等配套设施。</w:t>
      </w:r>
      <w:r>
        <w:rPr>
          <w:rStyle w:val="15"/>
          <w:rFonts w:hint="eastAsia" w:ascii="仿宋_GB2312" w:hAnsi="仿宋_GB2312" w:eastAsia="仿宋_GB2312" w:cs="仿宋_GB2312"/>
          <w:color w:val="auto"/>
          <w:sz w:val="32"/>
          <w:szCs w:val="32"/>
        </w:rPr>
        <w:t>该项目环境影响报告表提出的污染防治措施客观可行，从环保角度分析，同意该项目建设。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二、在项目建设和运</w:t>
      </w:r>
      <w:r>
        <w:rPr>
          <w:rStyle w:val="15"/>
          <w:rFonts w:hint="eastAsia" w:ascii="仿宋_GB2312" w:hAnsi="仿宋_GB2312" w:eastAsia="仿宋_GB2312" w:cs="仿宋_GB2312"/>
          <w:color w:val="auto"/>
          <w:sz w:val="32"/>
          <w:szCs w:val="32"/>
          <w:lang w:val="en-US" w:eastAsia="zh-CN"/>
        </w:rPr>
        <w:t>营</w:t>
      </w:r>
      <w:r>
        <w:rPr>
          <w:rStyle w:val="15"/>
          <w:rFonts w:hint="eastAsia" w:ascii="仿宋_GB2312" w:hAnsi="仿宋_GB2312" w:eastAsia="仿宋_GB2312" w:cs="仿宋_GB2312"/>
          <w:color w:val="auto"/>
          <w:sz w:val="32"/>
          <w:szCs w:val="32"/>
        </w:rPr>
        <w:t>中，必须严格执行环保法律法规，认真落实报告表提出的各项污染防治措施，并着重做好以下工作：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lang w:val="en-US" w:eastAsia="zh-CN"/>
        </w:rPr>
      </w:pPr>
      <w:r>
        <w:rPr>
          <w:rStyle w:val="15"/>
          <w:rFonts w:hint="eastAsia" w:ascii="仿宋_GB2312" w:hAnsi="仿宋_GB2312" w:eastAsia="仿宋_GB2312" w:cs="仿宋_GB2312"/>
          <w:color w:val="auto"/>
          <w:sz w:val="32"/>
          <w:szCs w:val="32"/>
          <w:lang w:val="en-US" w:eastAsia="zh-CN"/>
        </w:rPr>
        <w:t>(一)</w:t>
      </w:r>
      <w:r>
        <w:rPr>
          <w:rStyle w:val="15"/>
          <w:rFonts w:hint="eastAsia" w:ascii="仿宋_GB2312" w:hAnsi="仿宋_GB2312" w:eastAsia="仿宋_GB2312" w:cs="仿宋_GB2312"/>
          <w:color w:val="auto"/>
          <w:sz w:val="32"/>
          <w:szCs w:val="32"/>
        </w:rPr>
        <w:t>做好大气污染防治工作。</w:t>
      </w:r>
      <w:r>
        <w:rPr>
          <w:rStyle w:val="15"/>
          <w:rFonts w:hint="eastAsia" w:ascii="仿宋_GB2312" w:hAnsi="仿宋_GB2312" w:eastAsia="仿宋_GB2312" w:cs="仿宋_GB2312"/>
          <w:color w:val="auto"/>
          <w:sz w:val="32"/>
          <w:szCs w:val="32"/>
          <w:lang w:val="en-US" w:eastAsia="zh-CN"/>
        </w:rPr>
        <w:t>项目</w:t>
      </w:r>
      <w:r>
        <w:rPr>
          <w:rStyle w:val="15"/>
          <w:rFonts w:hint="eastAsia" w:ascii="仿宋_GB2312" w:hAnsi="仿宋_GB2312" w:eastAsia="仿宋_GB2312" w:cs="仿宋_GB2312"/>
          <w:color w:val="auto"/>
          <w:sz w:val="32"/>
          <w:szCs w:val="32"/>
        </w:rPr>
        <w:t>筛粉、配粉、混粉、成型和拉丝过程产生的粉尘经集气罩收集，采用布袋除尘器处理后通过15m高排气筒（DA001）外排</w:t>
      </w:r>
      <w:r>
        <w:rPr>
          <w:rStyle w:val="15"/>
          <w:rFonts w:hint="eastAsia" w:ascii="仿宋_GB2312" w:hAnsi="仿宋_GB2312" w:eastAsia="仿宋_GB2312" w:cs="仿宋_GB2312"/>
          <w:color w:val="auto"/>
          <w:sz w:val="32"/>
          <w:szCs w:val="32"/>
          <w:lang w:eastAsia="zh-CN"/>
        </w:rPr>
        <w:t>，</w:t>
      </w:r>
      <w:r>
        <w:rPr>
          <w:rStyle w:val="15"/>
          <w:rFonts w:hint="eastAsia" w:ascii="仿宋_GB2312" w:hAnsi="仿宋_GB2312" w:eastAsia="仿宋_GB2312" w:cs="仿宋_GB2312"/>
          <w:color w:val="auto"/>
          <w:sz w:val="32"/>
          <w:szCs w:val="32"/>
          <w:lang w:val="en-US" w:eastAsia="zh-CN"/>
        </w:rPr>
        <w:t>颗粒物执行</w:t>
      </w:r>
      <w:r>
        <w:rPr>
          <w:rStyle w:val="15"/>
          <w:rFonts w:hint="eastAsia" w:ascii="仿宋_GB2312" w:hAnsi="仿宋_GB2312" w:eastAsia="仿宋_GB2312" w:cs="仿宋_GB2312"/>
          <w:color w:val="auto"/>
          <w:sz w:val="32"/>
          <w:szCs w:val="32"/>
        </w:rPr>
        <w:t>《大气污染物综合排放标准》（GB16297-1996）表2二级标准</w:t>
      </w:r>
      <w:r>
        <w:rPr>
          <w:rStyle w:val="15"/>
          <w:rFonts w:hint="eastAsia" w:ascii="仿宋_GB2312" w:hAnsi="仿宋_GB2312" w:eastAsia="仿宋_GB2312" w:cs="仿宋_GB2312"/>
          <w:color w:val="auto"/>
          <w:sz w:val="32"/>
          <w:szCs w:val="32"/>
          <w:lang w:eastAsia="zh-CN"/>
        </w:rPr>
        <w:t>；焊接烟气</w:t>
      </w:r>
      <w:r>
        <w:rPr>
          <w:rStyle w:val="15"/>
          <w:rFonts w:hint="eastAsia" w:ascii="仿宋_GB2312" w:hAnsi="仿宋_GB2312" w:eastAsia="仿宋_GB2312" w:cs="仿宋_GB2312"/>
          <w:color w:val="auto"/>
          <w:sz w:val="32"/>
          <w:szCs w:val="32"/>
          <w:lang w:val="en-US" w:eastAsia="zh-CN"/>
        </w:rPr>
        <w:t>通过</w:t>
      </w:r>
      <w:r>
        <w:rPr>
          <w:rStyle w:val="15"/>
          <w:rFonts w:hint="eastAsia" w:ascii="仿宋_GB2312" w:hAnsi="仿宋_GB2312" w:eastAsia="仿宋_GB2312" w:cs="仿宋_GB2312"/>
          <w:color w:val="auto"/>
          <w:sz w:val="32"/>
          <w:szCs w:val="32"/>
          <w:lang w:eastAsia="zh-CN"/>
        </w:rPr>
        <w:t>加强车间通风，</w:t>
      </w:r>
      <w:r>
        <w:rPr>
          <w:rStyle w:val="15"/>
          <w:rFonts w:hint="eastAsia" w:ascii="仿宋_GB2312" w:hAnsi="仿宋_GB2312" w:eastAsia="仿宋_GB2312" w:cs="仿宋_GB2312"/>
          <w:color w:val="auto"/>
          <w:sz w:val="32"/>
          <w:szCs w:val="32"/>
          <w:lang w:val="en-US" w:eastAsia="zh-CN"/>
        </w:rPr>
        <w:t>确保无组织颗粒物满足《大气污染物综合排放标准》（GB16297-1996）表2无组织排放浓度限值</w:t>
      </w:r>
      <w:r>
        <w:rPr>
          <w:rStyle w:val="15"/>
          <w:rFonts w:hint="eastAsia" w:ascii="仿宋_GB2312" w:hAnsi="仿宋_GB2312" w:eastAsia="仿宋_GB2312" w:cs="仿宋_GB2312"/>
          <w:color w:val="auto"/>
          <w:sz w:val="32"/>
          <w:szCs w:val="32"/>
          <w:lang w:eastAsia="zh-CN"/>
        </w:rPr>
        <w:t>；食堂油烟废气经油烟净化器处理后引至屋顶排放，满足《饮食业油烟排放标准（</w:t>
      </w:r>
      <w:r>
        <w:rPr>
          <w:rStyle w:val="15"/>
          <w:rFonts w:hint="eastAsia" w:ascii="仿宋_GB2312" w:hAnsi="仿宋_GB2312" w:eastAsia="仿宋_GB2312" w:cs="仿宋_GB2312"/>
          <w:color w:val="auto"/>
          <w:sz w:val="32"/>
          <w:szCs w:val="32"/>
          <w:lang w:val="en-US" w:eastAsia="zh-CN"/>
        </w:rPr>
        <w:t>试行</w:t>
      </w:r>
      <w:r>
        <w:rPr>
          <w:rStyle w:val="15"/>
          <w:rFonts w:hint="eastAsia" w:ascii="仿宋_GB2312" w:hAnsi="仿宋_GB2312" w:eastAsia="仿宋_GB2312" w:cs="仿宋_GB2312"/>
          <w:color w:val="auto"/>
          <w:sz w:val="32"/>
          <w:szCs w:val="32"/>
          <w:lang w:eastAsia="zh-CN"/>
        </w:rPr>
        <w:t>）》（GB18483-2001）</w:t>
      </w:r>
      <w:r>
        <w:rPr>
          <w:rStyle w:val="15"/>
          <w:rFonts w:hint="eastAsia" w:ascii="仿宋_GB2312" w:hAnsi="仿宋_GB2312" w:eastAsia="仿宋_GB2312" w:cs="仿宋_GB2312"/>
          <w:color w:val="auto"/>
          <w:sz w:val="32"/>
          <w:szCs w:val="32"/>
          <w:lang w:val="en-US" w:eastAsia="zh-CN"/>
        </w:rPr>
        <w:t>相关</w:t>
      </w:r>
      <w:r>
        <w:rPr>
          <w:rStyle w:val="15"/>
          <w:rFonts w:hint="eastAsia" w:ascii="仿宋_GB2312" w:hAnsi="仿宋_GB2312" w:eastAsia="仿宋_GB2312" w:cs="仿宋_GB2312"/>
          <w:color w:val="auto"/>
          <w:sz w:val="32"/>
          <w:szCs w:val="32"/>
          <w:lang w:eastAsia="zh-CN"/>
        </w:rPr>
        <w:t>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ED7D31" w:themeColor="accent2"/>
          <w:sz w:val="32"/>
          <w:szCs w:val="32"/>
          <w:u w:val="single"/>
          <w:lang w:eastAsia="zh-CN"/>
          <w14:textFill>
            <w14:solidFill>
              <w14:schemeClr w14:val="accent2"/>
            </w14:solidFill>
          </w14:textFill>
        </w:rPr>
      </w:pPr>
      <w:bookmarkStart w:id="0" w:name="OLE_LINK1"/>
      <w:r>
        <w:rPr>
          <w:rStyle w:val="15"/>
          <w:rFonts w:hint="eastAsia" w:ascii="仿宋_GB2312" w:hAnsi="仿宋_GB2312" w:eastAsia="仿宋_GB2312" w:cs="仿宋_GB2312"/>
          <w:color w:val="auto"/>
          <w:sz w:val="32"/>
          <w:szCs w:val="32"/>
        </w:rPr>
        <w:t>（二）强化水污染防治措施。</w:t>
      </w:r>
      <w:r>
        <w:rPr>
          <w:rStyle w:val="15"/>
          <w:rFonts w:hint="eastAsia" w:ascii="仿宋_GB2312" w:hAnsi="仿宋_GB2312" w:eastAsia="仿宋_GB2312" w:cs="仿宋_GB2312"/>
          <w:color w:val="auto"/>
          <w:sz w:val="32"/>
          <w:szCs w:val="32"/>
          <w:lang w:val="en-US" w:eastAsia="zh-CN"/>
        </w:rPr>
        <w:t>项目</w:t>
      </w:r>
      <w:r>
        <w:rPr>
          <w:rStyle w:val="15"/>
          <w:rFonts w:hint="eastAsia" w:ascii="仿宋_GB2312" w:hAnsi="仿宋_GB2312" w:eastAsia="仿宋_GB2312" w:cs="仿宋_GB2312"/>
          <w:color w:val="auto"/>
          <w:sz w:val="32"/>
          <w:szCs w:val="32"/>
        </w:rPr>
        <w:t>超声波清洗</w:t>
      </w:r>
      <w:r>
        <w:rPr>
          <w:rStyle w:val="15"/>
          <w:rFonts w:hint="eastAsia" w:ascii="仿宋_GB2312" w:hAnsi="仿宋_GB2312" w:eastAsia="仿宋_GB2312" w:cs="仿宋_GB2312"/>
          <w:color w:val="auto"/>
          <w:sz w:val="32"/>
          <w:szCs w:val="32"/>
          <w:lang w:val="en-US" w:eastAsia="zh-CN"/>
        </w:rPr>
        <w:t>废</w:t>
      </w:r>
      <w:r>
        <w:rPr>
          <w:rStyle w:val="15"/>
          <w:rFonts w:hint="eastAsia" w:ascii="仿宋_GB2312" w:hAnsi="仿宋_GB2312" w:eastAsia="仿宋_GB2312" w:cs="仿宋_GB2312"/>
          <w:color w:val="auto"/>
          <w:sz w:val="32"/>
          <w:szCs w:val="32"/>
        </w:rPr>
        <w:t>水经沉淀池沉淀处理后循环使用不外排</w:t>
      </w:r>
      <w:r>
        <w:rPr>
          <w:rStyle w:val="15"/>
          <w:rFonts w:hint="eastAsia" w:ascii="仿宋_GB2312" w:hAnsi="仿宋_GB2312" w:eastAsia="仿宋_GB2312" w:cs="仿宋_GB2312"/>
          <w:color w:val="auto"/>
          <w:sz w:val="32"/>
          <w:szCs w:val="32"/>
          <w:lang w:eastAsia="zh-CN"/>
        </w:rPr>
        <w:t>；设备冷却水循环使用不外排；生活污水依托现有项目化粪池（食堂废水依托现有项目隔油池）处理达到《污水综合排放标准》（GB8978-1996）表4三级标准后排入</w:t>
      </w:r>
      <w:bookmarkEnd w:id="0"/>
      <w:r>
        <w:rPr>
          <w:rStyle w:val="15"/>
          <w:rFonts w:hint="eastAsia" w:ascii="仿宋_GB2312" w:hAnsi="仿宋_GB2312" w:eastAsia="仿宋_GB2312" w:cs="仿宋_GB2312"/>
          <w:color w:val="000000" w:themeColor="text1"/>
          <w:sz w:val="32"/>
          <w:szCs w:val="32"/>
          <w:u w:val="none"/>
          <w:lang w:eastAsia="zh-CN"/>
          <w14:textFill>
            <w14:solidFill>
              <w14:schemeClr w14:val="tx1"/>
            </w14:solidFill>
          </w14:textFill>
        </w:rPr>
        <w:t>衡南县城乡污水处理云集污水处理厂。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lang w:val="en-US" w:eastAsia="zh-CN"/>
        </w:rPr>
      </w:pPr>
      <w:r>
        <w:rPr>
          <w:rStyle w:val="15"/>
          <w:rFonts w:hint="eastAsia" w:ascii="仿宋_GB2312" w:hAnsi="仿宋_GB2312" w:eastAsia="仿宋_GB2312" w:cs="仿宋_GB2312"/>
          <w:color w:val="auto"/>
          <w:sz w:val="32"/>
          <w:szCs w:val="32"/>
        </w:rPr>
        <w:t>（三）加强各类固废管理，并采取有效措施防止二次污染。</w:t>
      </w:r>
      <w:r>
        <w:rPr>
          <w:rStyle w:val="15"/>
          <w:rFonts w:hint="eastAsia" w:ascii="仿宋_GB2312" w:hAnsi="仿宋_GB2312" w:eastAsia="仿宋_GB2312" w:cs="仿宋_GB2312"/>
          <w:color w:val="auto"/>
          <w:sz w:val="32"/>
          <w:szCs w:val="32"/>
          <w:lang w:val="en-US" w:eastAsia="zh-CN"/>
        </w:rPr>
        <w:t>项目废包装材料、边角料收集后交废品回收站回收；收集的粉尘返回配粉工序；不合格品返回厂家；筛粉杂质、清洗污泥和生活垃圾收集后交由环卫部门统一清运处置；废矿物油、废油桶等危险废物，经危废暂存间暂存后，定期交由有资质单位处理，并办理好危险废物转移手续。一般工业固废暂存间按照《一般工业固体废物贮存和填埋污染控制标准》(GB18599-2020)要求建设;危险废物暂存间严格按照《危险废物贮存污染控制标准》(GB18597-2023)要求建设。</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（四）做好噪声污染控制工作。项目生产设备噪声通过</w:t>
      </w:r>
      <w:r>
        <w:rPr>
          <w:rStyle w:val="15"/>
          <w:rFonts w:hint="eastAsia" w:ascii="仿宋_GB2312" w:hAnsi="仿宋_GB2312" w:eastAsia="仿宋_GB2312" w:cs="仿宋_GB2312"/>
          <w:color w:val="auto"/>
          <w:sz w:val="32"/>
          <w:szCs w:val="32"/>
          <w:lang w:val="en-US" w:eastAsia="zh-CN"/>
        </w:rPr>
        <w:t>厂房隔噪，</w:t>
      </w:r>
      <w:r>
        <w:rPr>
          <w:rStyle w:val="15"/>
          <w:rFonts w:hint="eastAsia" w:ascii="仿宋_GB2312" w:hAnsi="仿宋_GB2312" w:eastAsia="仿宋_GB2312" w:cs="仿宋_GB2312"/>
          <w:color w:val="auto"/>
          <w:sz w:val="32"/>
          <w:szCs w:val="32"/>
        </w:rPr>
        <w:t>选用低噪声设备，</w:t>
      </w:r>
      <w:r>
        <w:rPr>
          <w:rStyle w:val="15"/>
          <w:rFonts w:hint="eastAsia" w:ascii="仿宋_GB2312" w:hAnsi="仿宋_GB2312" w:eastAsia="仿宋_GB2312" w:cs="仿宋_GB2312"/>
          <w:color w:val="auto"/>
          <w:sz w:val="32"/>
          <w:szCs w:val="32"/>
          <w:lang w:val="en-US" w:eastAsia="zh-CN"/>
        </w:rPr>
        <w:t>采取消声减振并对设备</w:t>
      </w:r>
      <w:r>
        <w:rPr>
          <w:rStyle w:val="15"/>
          <w:rFonts w:hint="eastAsia" w:ascii="仿宋_GB2312" w:hAnsi="仿宋_GB2312" w:eastAsia="仿宋_GB2312" w:cs="仿宋_GB2312"/>
          <w:color w:val="auto"/>
          <w:sz w:val="32"/>
          <w:szCs w:val="32"/>
        </w:rPr>
        <w:t>合理布</w:t>
      </w:r>
      <w:r>
        <w:rPr>
          <w:rStyle w:val="15"/>
          <w:rFonts w:hint="eastAsia" w:ascii="仿宋_GB2312" w:hAnsi="仿宋_GB2312" w:eastAsia="仿宋_GB2312" w:cs="仿宋_GB2312"/>
          <w:color w:val="auto"/>
          <w:sz w:val="32"/>
          <w:szCs w:val="32"/>
          <w:lang w:val="en-US" w:eastAsia="zh-CN"/>
        </w:rPr>
        <w:t>置等措施，</w:t>
      </w:r>
      <w:r>
        <w:rPr>
          <w:rStyle w:val="15"/>
          <w:rFonts w:hint="eastAsia" w:ascii="仿宋_GB2312" w:hAnsi="仿宋_GB2312" w:eastAsia="仿宋_GB2312" w:cs="仿宋_GB2312"/>
          <w:color w:val="auto"/>
          <w:sz w:val="32"/>
          <w:szCs w:val="32"/>
        </w:rPr>
        <w:t>确保营运期厂界噪声</w:t>
      </w:r>
      <w:r>
        <w:rPr>
          <w:rStyle w:val="15"/>
          <w:rFonts w:hint="eastAsia" w:ascii="仿宋_GB2312" w:hAnsi="仿宋_GB2312" w:eastAsia="仿宋_GB2312" w:cs="仿宋_GB2312"/>
          <w:color w:val="auto"/>
          <w:sz w:val="32"/>
          <w:szCs w:val="32"/>
          <w:lang w:val="en-US" w:eastAsia="zh-CN"/>
        </w:rPr>
        <w:t>达到</w:t>
      </w:r>
      <w:r>
        <w:rPr>
          <w:rStyle w:val="15"/>
          <w:rFonts w:hint="eastAsia" w:ascii="仿宋_GB2312" w:hAnsi="仿宋_GB2312" w:eastAsia="仿宋_GB2312" w:cs="仿宋_GB2312"/>
          <w:color w:val="auto"/>
          <w:sz w:val="32"/>
          <w:szCs w:val="32"/>
        </w:rPr>
        <w:t>《工业企业厂界环境噪声排放标准》(GB12348-2008)中的</w:t>
      </w:r>
      <w:r>
        <w:rPr>
          <w:rStyle w:val="15"/>
          <w:rFonts w:hint="eastAsia" w:ascii="仿宋_GB2312" w:hAnsi="仿宋_GB2312" w:eastAsia="仿宋_GB2312" w:cs="仿宋_GB2312"/>
          <w:color w:val="auto"/>
          <w:sz w:val="32"/>
          <w:szCs w:val="32"/>
          <w:lang w:val="en-US" w:eastAsia="zh-CN"/>
        </w:rPr>
        <w:t>3</w:t>
      </w:r>
      <w:r>
        <w:rPr>
          <w:rStyle w:val="15"/>
          <w:rFonts w:hint="eastAsia" w:ascii="仿宋_GB2312" w:hAnsi="仿宋_GB2312" w:eastAsia="仿宋_GB2312" w:cs="仿宋_GB2312"/>
          <w:color w:val="auto"/>
          <w:sz w:val="32"/>
          <w:szCs w:val="32"/>
        </w:rPr>
        <w:t>类标准限值要求。</w:t>
      </w:r>
      <w:bookmarkStart w:id="1" w:name="_GoBack"/>
      <w:bookmarkEnd w:id="1"/>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三、加强日常环境管理。建设单位应安排专职环保管理人员，建立健全环境管理制度，制定有效的风险防范措施和应急预案，防止发生环境风险事故。</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四、项目竣工后，</w:t>
      </w:r>
      <w:r>
        <w:rPr>
          <w:rStyle w:val="15"/>
          <w:rFonts w:hint="eastAsia" w:ascii="仿宋_GB2312" w:hAnsi="仿宋_GB2312" w:eastAsia="仿宋_GB2312" w:cs="仿宋_GB2312"/>
          <w:color w:val="auto"/>
          <w:sz w:val="32"/>
          <w:szCs w:val="32"/>
          <w:lang w:eastAsia="zh-CN"/>
        </w:rPr>
        <w:t>必须严格执行排污许可制度</w:t>
      </w:r>
      <w:r>
        <w:rPr>
          <w:rStyle w:val="15"/>
          <w:rFonts w:hint="eastAsia" w:ascii="仿宋_GB2312" w:hAnsi="仿宋_GB2312" w:eastAsia="仿宋_GB2312" w:cs="仿宋_GB2312"/>
          <w:color w:val="auto"/>
          <w:sz w:val="32"/>
          <w:szCs w:val="32"/>
          <w:lang w:val="en-US" w:eastAsia="zh-CN"/>
        </w:rPr>
        <w:t>,在发生实际排污行为前按照国家有关规定申领排污许可证。同时，</w:t>
      </w:r>
      <w:r>
        <w:rPr>
          <w:rStyle w:val="15"/>
          <w:rFonts w:hint="eastAsia" w:ascii="仿宋_GB2312" w:hAnsi="仿宋_GB2312" w:eastAsia="仿宋_GB2312" w:cs="仿宋_GB2312"/>
          <w:color w:val="auto"/>
          <w:sz w:val="32"/>
          <w:szCs w:val="32"/>
        </w:rPr>
        <w:t>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val="0"/>
        <w:kinsoku/>
        <w:wordWrap/>
        <w:overflowPunct/>
        <w:topLinePunct w:val="0"/>
        <w:autoSpaceDE/>
        <w:autoSpaceDN/>
        <w:bidi w:val="0"/>
        <w:adjustRightInd/>
        <w:snapToGrid/>
        <w:spacing w:line="580" w:lineRule="exact"/>
        <w:ind w:firstLine="0" w:firstLineChars="0"/>
        <w:jc w:val="both"/>
        <w:textAlignment w:val="auto"/>
        <w:rPr>
          <w:rStyle w:val="15"/>
          <w:rFonts w:hint="eastAsia" w:ascii="仿宋_GB2312" w:hAnsi="仿宋_GB2312" w:eastAsia="仿宋_GB2312" w:cs="仿宋_GB2312"/>
          <w:color w:val="auto"/>
          <w:sz w:val="32"/>
          <w:szCs w:val="32"/>
          <w:lang w:val="en-US" w:eastAsia="zh-CN"/>
        </w:rPr>
      </w:pPr>
      <w:r>
        <w:rPr>
          <w:rStyle w:val="15"/>
          <w:rFonts w:hint="eastAsia" w:ascii="仿宋_GB2312" w:hAnsi="仿宋_GB2312" w:eastAsia="仿宋_GB2312" w:cs="仿宋_GB2312"/>
          <w:color w:val="auto"/>
          <w:sz w:val="32"/>
          <w:szCs w:val="32"/>
        </w:rPr>
        <w:t xml:space="preserve">                         </w:t>
      </w:r>
      <w:r>
        <w:rPr>
          <w:rStyle w:val="15"/>
          <w:rFonts w:hint="eastAsia" w:ascii="仿宋_GB2312" w:hAnsi="仿宋_GB2312" w:eastAsia="仿宋_GB2312" w:cs="仿宋_GB2312"/>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0" w:firstLineChars="0"/>
        <w:jc w:val="right"/>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 xml:space="preserve"> 衡阳市生态环境局  </w:t>
      </w:r>
    </w:p>
    <w:p>
      <w:pPr>
        <w:keepNext w:val="0"/>
        <w:keepLines w:val="0"/>
        <w:pageBreakBefore w:val="0"/>
        <w:widowControl w:val="0"/>
        <w:kinsoku/>
        <w:wordWrap/>
        <w:overflowPunct/>
        <w:topLinePunct w:val="0"/>
        <w:autoSpaceDE/>
        <w:autoSpaceDN/>
        <w:bidi w:val="0"/>
        <w:adjustRightInd/>
        <w:snapToGrid/>
        <w:spacing w:line="580" w:lineRule="exact"/>
        <w:ind w:firstLine="0" w:firstLineChars="0"/>
        <w:jc w:val="right"/>
        <w:textAlignment w:val="auto"/>
        <w:rPr>
          <w:rStyle w:val="15"/>
          <w:rFonts w:hint="eastAsia" w:ascii="仿宋_GB2312" w:hAnsi="仿宋_GB2312" w:eastAsia="仿宋_GB2312" w:cs="仿宋_GB2312"/>
          <w:color w:val="auto"/>
          <w:sz w:val="32"/>
          <w:szCs w:val="32"/>
        </w:rPr>
      </w:pPr>
      <w:r>
        <w:rPr>
          <w:rStyle w:val="15"/>
          <w:rFonts w:hint="eastAsia" w:ascii="仿宋_GB2312" w:hAnsi="仿宋_GB2312" w:eastAsia="仿宋_GB2312" w:cs="仿宋_GB2312"/>
          <w:color w:val="auto"/>
          <w:sz w:val="32"/>
          <w:szCs w:val="32"/>
        </w:rPr>
        <w:t>202</w:t>
      </w:r>
      <w:r>
        <w:rPr>
          <w:rStyle w:val="15"/>
          <w:rFonts w:hint="eastAsia" w:ascii="仿宋_GB2312" w:hAnsi="仿宋_GB2312" w:eastAsia="仿宋_GB2312" w:cs="仿宋_GB2312"/>
          <w:color w:val="auto"/>
          <w:sz w:val="32"/>
          <w:szCs w:val="32"/>
          <w:lang w:val="en-US" w:eastAsia="zh-CN"/>
        </w:rPr>
        <w:t>4</w:t>
      </w:r>
      <w:r>
        <w:rPr>
          <w:rStyle w:val="15"/>
          <w:rFonts w:hint="eastAsia" w:ascii="仿宋_GB2312" w:hAnsi="仿宋_GB2312" w:eastAsia="仿宋_GB2312" w:cs="仿宋_GB2312"/>
          <w:color w:val="auto"/>
          <w:sz w:val="32"/>
          <w:szCs w:val="32"/>
        </w:rPr>
        <w:t>年</w:t>
      </w:r>
      <w:r>
        <w:rPr>
          <w:rStyle w:val="15"/>
          <w:rFonts w:hint="eastAsia" w:ascii="仿宋_GB2312" w:hAnsi="仿宋_GB2312" w:eastAsia="仿宋_GB2312" w:cs="仿宋_GB2312"/>
          <w:color w:val="auto"/>
          <w:sz w:val="32"/>
          <w:szCs w:val="32"/>
          <w:lang w:val="en-US" w:eastAsia="zh-CN"/>
        </w:rPr>
        <w:t>7</w:t>
      </w:r>
      <w:r>
        <w:rPr>
          <w:rStyle w:val="15"/>
          <w:rFonts w:hint="eastAsia" w:ascii="仿宋_GB2312" w:hAnsi="仿宋_GB2312" w:eastAsia="仿宋_GB2312" w:cs="仿宋_GB2312"/>
          <w:color w:val="auto"/>
          <w:sz w:val="32"/>
          <w:szCs w:val="32"/>
        </w:rPr>
        <w:t>月</w:t>
      </w:r>
      <w:r>
        <w:rPr>
          <w:rStyle w:val="15"/>
          <w:rFonts w:hint="eastAsia" w:ascii="仿宋_GB2312" w:hAnsi="仿宋_GB2312" w:eastAsia="仿宋_GB2312" w:cs="仿宋_GB2312"/>
          <w:color w:val="auto"/>
          <w:sz w:val="32"/>
          <w:szCs w:val="32"/>
          <w:lang w:val="en-US" w:eastAsia="zh-CN"/>
        </w:rPr>
        <w:t>5</w:t>
      </w:r>
      <w:r>
        <w:rPr>
          <w:rStyle w:val="15"/>
          <w:rFonts w:hint="eastAsia" w:ascii="仿宋_GB2312" w:hAnsi="仿宋_GB2312" w:eastAsia="仿宋_GB2312" w:cs="仿宋_GB2312"/>
          <w:color w:val="auto"/>
          <w:sz w:val="32"/>
          <w:szCs w:val="32"/>
        </w:rPr>
        <w:t>日</w:t>
      </w:r>
    </w:p>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汉仪君黑-45简">
    <w:panose1 w:val="020B0604020202020204"/>
    <w:charset w:val="86"/>
    <w:family w:val="auto"/>
    <w:pitch w:val="default"/>
    <w:sig w:usb0="A00002BF" w:usb1="0ACF7CFA" w:usb2="00000016" w:usb3="00000000" w:csb0="2004000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5D2E67"/>
    <w:multiLevelType w:val="singleLevel"/>
    <w:tmpl w:val="525D2E67"/>
    <w:lvl w:ilvl="0" w:tentative="0">
      <w:start w:val="1"/>
      <w:numFmt w:val="bullet"/>
      <w:pStyle w:val="6"/>
      <w:lvlText w:val=""/>
      <w:lvlJc w:val="left"/>
      <w:pPr>
        <w:tabs>
          <w:tab w:val="left" w:pos="2040"/>
        </w:tabs>
        <w:ind w:left="204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CB4F97"/>
    <w:rsid w:val="0006422F"/>
    <w:rsid w:val="00083B48"/>
    <w:rsid w:val="000E1770"/>
    <w:rsid w:val="00115BE3"/>
    <w:rsid w:val="00157AE1"/>
    <w:rsid w:val="002D355E"/>
    <w:rsid w:val="003C02C7"/>
    <w:rsid w:val="004820CA"/>
    <w:rsid w:val="00603455"/>
    <w:rsid w:val="00642C43"/>
    <w:rsid w:val="007676E4"/>
    <w:rsid w:val="007A6184"/>
    <w:rsid w:val="009543AD"/>
    <w:rsid w:val="009C54B0"/>
    <w:rsid w:val="00A64C2A"/>
    <w:rsid w:val="00B4641A"/>
    <w:rsid w:val="00CB4F97"/>
    <w:rsid w:val="00CB67E2"/>
    <w:rsid w:val="00E170FD"/>
    <w:rsid w:val="00EC47BD"/>
    <w:rsid w:val="00F86066"/>
    <w:rsid w:val="00FC5075"/>
    <w:rsid w:val="059D68C6"/>
    <w:rsid w:val="06724619"/>
    <w:rsid w:val="06972062"/>
    <w:rsid w:val="0F620CBD"/>
    <w:rsid w:val="10E223B0"/>
    <w:rsid w:val="12486EC1"/>
    <w:rsid w:val="14616D35"/>
    <w:rsid w:val="148301D9"/>
    <w:rsid w:val="151751BF"/>
    <w:rsid w:val="162C415B"/>
    <w:rsid w:val="21B65B0F"/>
    <w:rsid w:val="2B5A3060"/>
    <w:rsid w:val="2CF16FDD"/>
    <w:rsid w:val="2E521BFC"/>
    <w:rsid w:val="2EA6273A"/>
    <w:rsid w:val="30467EA7"/>
    <w:rsid w:val="318A6A3B"/>
    <w:rsid w:val="33816087"/>
    <w:rsid w:val="343E052E"/>
    <w:rsid w:val="39201EFD"/>
    <w:rsid w:val="39DE246F"/>
    <w:rsid w:val="3F0554C8"/>
    <w:rsid w:val="3F237417"/>
    <w:rsid w:val="3F887135"/>
    <w:rsid w:val="3FEC14FB"/>
    <w:rsid w:val="42AB1C58"/>
    <w:rsid w:val="48825F81"/>
    <w:rsid w:val="49CF378E"/>
    <w:rsid w:val="4AF30382"/>
    <w:rsid w:val="4B9316E4"/>
    <w:rsid w:val="4CDD598A"/>
    <w:rsid w:val="4E5E3241"/>
    <w:rsid w:val="4E845D6C"/>
    <w:rsid w:val="524746F3"/>
    <w:rsid w:val="52AE604E"/>
    <w:rsid w:val="55D27DCB"/>
    <w:rsid w:val="5F9966E8"/>
    <w:rsid w:val="63973407"/>
    <w:rsid w:val="688651C2"/>
    <w:rsid w:val="6A3A565B"/>
    <w:rsid w:val="6D6911F9"/>
    <w:rsid w:val="719C34A6"/>
    <w:rsid w:val="71CF4C44"/>
    <w:rsid w:val="76965A94"/>
    <w:rsid w:val="772C199E"/>
    <w:rsid w:val="77C5609A"/>
    <w:rsid w:val="7A071E3C"/>
    <w:rsid w:val="7AA07F90"/>
    <w:rsid w:val="7EFB0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paragraph" w:styleId="3">
    <w:name w:val="heading 4"/>
    <w:basedOn w:val="1"/>
    <w:next w:val="1"/>
    <w:qFormat/>
    <w:uiPriority w:val="0"/>
    <w:pPr>
      <w:keepNext/>
      <w:keepLines/>
      <w:spacing w:before="280" w:after="290" w:line="376" w:lineRule="auto"/>
      <w:ind w:firstLine="0" w:firstLineChars="0"/>
      <w:outlineLvl w:val="3"/>
    </w:pPr>
    <w:rPr>
      <w:rFonts w:ascii="Calibri Light" w:hAnsi="Calibri Light"/>
      <w:b/>
      <w:bCs/>
      <w:sz w:val="28"/>
      <w:szCs w:val="28"/>
    </w:rPr>
  </w:style>
  <w:style w:type="character" w:default="1" w:styleId="11">
    <w:name w:val="Default Paragraph Font"/>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4">
    <w:name w:val="annotation text"/>
    <w:basedOn w:val="1"/>
    <w:autoRedefine/>
    <w:qFormat/>
    <w:uiPriority w:val="0"/>
    <w:pPr>
      <w:jc w:val="left"/>
    </w:pPr>
  </w:style>
  <w:style w:type="paragraph" w:styleId="5">
    <w:name w:val="Body Text"/>
    <w:basedOn w:val="1"/>
    <w:next w:val="1"/>
    <w:link w:val="19"/>
    <w:autoRedefine/>
    <w:qFormat/>
    <w:uiPriority w:val="0"/>
    <w:pPr>
      <w:spacing w:line="0" w:lineRule="atLeast"/>
    </w:pPr>
    <w:rPr>
      <w:rFonts w:ascii="Calibri" w:hAnsi="Calibri" w:eastAsia="宋体" w:cs="Times New Roman"/>
      <w:sz w:val="28"/>
    </w:rPr>
  </w:style>
  <w:style w:type="paragraph" w:styleId="6">
    <w:name w:val="List Bullet 5"/>
    <w:basedOn w:val="1"/>
    <w:autoRedefine/>
    <w:qFormat/>
    <w:uiPriority w:val="0"/>
    <w:pPr>
      <w:numPr>
        <w:ilvl w:val="0"/>
        <w:numId w:val="1"/>
      </w:numPr>
    </w:pPr>
  </w:style>
  <w:style w:type="paragraph" w:styleId="7">
    <w:name w:val="Balloon Text"/>
    <w:basedOn w:val="1"/>
    <w:link w:val="20"/>
    <w:autoRedefine/>
    <w:qFormat/>
    <w:uiPriority w:val="0"/>
    <w:rPr>
      <w:sz w:val="18"/>
      <w:szCs w:val="18"/>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12">
    <w:name w:val="Default"/>
    <w:basedOn w:val="13"/>
    <w:next w:val="1"/>
    <w:autoRedefine/>
    <w:unhideWhenUsed/>
    <w:qFormat/>
    <w:uiPriority w:val="99"/>
    <w:pPr>
      <w:autoSpaceDE w:val="0"/>
      <w:autoSpaceDN w:val="0"/>
    </w:pPr>
    <w:rPr>
      <w:rFonts w:hint="eastAsia" w:ascii="Times New Roman" w:hAnsi="Times New Roman" w:eastAsia="Times New Roman" w:cs="Times New Roman"/>
      <w:color w:val="000000"/>
      <w:sz w:val="24"/>
      <w:szCs w:val="22"/>
    </w:rPr>
  </w:style>
  <w:style w:type="paragraph" w:customStyle="1" w:styleId="13">
    <w:name w:val="纯文本1"/>
    <w:basedOn w:val="1"/>
    <w:autoRedefine/>
    <w:qFormat/>
    <w:uiPriority w:val="0"/>
    <w:pPr>
      <w:adjustRightInd w:val="0"/>
    </w:pPr>
    <w:rPr>
      <w:rFonts w:ascii="宋体" w:hAnsi="Courier New"/>
    </w:rPr>
  </w:style>
  <w:style w:type="paragraph" w:customStyle="1" w:styleId="14">
    <w:name w:val="xl2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sz w:val="24"/>
    </w:rPr>
  </w:style>
  <w:style w:type="character" w:customStyle="1" w:styleId="15">
    <w:name w:val="content1"/>
    <w:basedOn w:val="11"/>
    <w:autoRedefine/>
    <w:qFormat/>
    <w:uiPriority w:val="0"/>
    <w:rPr>
      <w:color w:val="000000"/>
      <w:sz w:val="20"/>
      <w:szCs w:val="20"/>
    </w:rPr>
  </w:style>
  <w:style w:type="paragraph" w:customStyle="1" w:styleId="16">
    <w:name w:val="p0"/>
    <w:autoRedefine/>
    <w:qFormat/>
    <w:uiPriority w:val="0"/>
    <w:rPr>
      <w:rFonts w:asciiTheme="minorHAnsi" w:hAnsiTheme="minorHAnsi" w:eastAsiaTheme="minorEastAsia" w:cstheme="minorBidi"/>
      <w:sz w:val="21"/>
      <w:szCs w:val="21"/>
      <w:lang w:val="en-US" w:eastAsia="zh-CN" w:bidi="ar-SA"/>
    </w:rPr>
  </w:style>
  <w:style w:type="paragraph" w:customStyle="1" w:styleId="17">
    <w:name w:val="列出段落1"/>
    <w:basedOn w:val="1"/>
    <w:autoRedefine/>
    <w:unhideWhenUsed/>
    <w:qFormat/>
    <w:uiPriority w:val="99"/>
    <w:pPr>
      <w:ind w:firstLine="420" w:firstLineChars="200"/>
    </w:pPr>
  </w:style>
  <w:style w:type="paragraph" w:customStyle="1" w:styleId="18">
    <w:name w:val="Char Char Char Char"/>
    <w:basedOn w:val="1"/>
    <w:autoRedefine/>
    <w:qFormat/>
    <w:uiPriority w:val="0"/>
    <w:pPr>
      <w:widowControl/>
      <w:spacing w:after="160" w:line="240" w:lineRule="exact"/>
      <w:jc w:val="left"/>
    </w:pPr>
    <w:rPr>
      <w:rFonts w:ascii="Calibri" w:hAnsi="Calibri" w:eastAsia="宋体" w:cs="Times New Roman"/>
    </w:rPr>
  </w:style>
  <w:style w:type="character" w:customStyle="1" w:styleId="19">
    <w:name w:val="正文文本 Char"/>
    <w:basedOn w:val="11"/>
    <w:link w:val="5"/>
    <w:autoRedefine/>
    <w:qFormat/>
    <w:uiPriority w:val="0"/>
    <w:rPr>
      <w:rFonts w:ascii="Calibri" w:hAnsi="Calibri"/>
      <w:kern w:val="2"/>
      <w:sz w:val="28"/>
      <w:szCs w:val="24"/>
    </w:rPr>
  </w:style>
  <w:style w:type="character" w:customStyle="1" w:styleId="20">
    <w:name w:val="批注框文本 Char"/>
    <w:basedOn w:val="11"/>
    <w:link w:val="7"/>
    <w:autoRedefine/>
    <w:qFormat/>
    <w:uiPriority w:val="0"/>
    <w:rPr>
      <w:rFonts w:asciiTheme="minorHAnsi" w:hAnsiTheme="minorHAnsi" w:eastAsiaTheme="minorEastAsia" w:cstheme="minorBidi"/>
      <w:kern w:val="2"/>
      <w:sz w:val="18"/>
      <w:szCs w:val="18"/>
    </w:rPr>
  </w:style>
  <w:style w:type="paragraph" w:customStyle="1" w:styleId="21">
    <w:name w:val="标准正文"/>
    <w:basedOn w:val="1"/>
    <w:autoRedefine/>
    <w:qFormat/>
    <w:uiPriority w:val="0"/>
    <w:pPr>
      <w:spacing w:line="360" w:lineRule="auto"/>
      <w:ind w:firstLine="480" w:firstLineChars="200"/>
    </w:pPr>
    <w:rPr>
      <w:sz w:val="24"/>
    </w:rPr>
  </w:style>
  <w:style w:type="paragraph" w:customStyle="1" w:styleId="22">
    <w:name w:val="报告正文"/>
    <w:basedOn w:val="1"/>
    <w:autoRedefine/>
    <w:qFormat/>
    <w:uiPriority w:val="0"/>
    <w:pPr>
      <w:spacing w:line="360" w:lineRule="auto"/>
      <w:jc w:val="left"/>
    </w:pPr>
    <w:rPr>
      <w:rFonts w:ascii="宋体" w:hAnsi="宋体" w:cs="Arial"/>
      <w:bCs/>
      <w:color w:val="000000"/>
      <w:kern w:val="0"/>
      <w:sz w:val="24"/>
      <w:szCs w:val="20"/>
    </w:rPr>
  </w:style>
  <w:style w:type="paragraph" w:styleId="23">
    <w:name w:val="List Paragraph"/>
    <w:basedOn w:val="1"/>
    <w:autoRedefine/>
    <w:unhideWhenUsed/>
    <w:qFormat/>
    <w:uiPriority w:val="99"/>
    <w:pPr>
      <w:ind w:firstLine="420" w:firstLineChars="200"/>
    </w:pPr>
  </w:style>
  <w:style w:type="paragraph" w:customStyle="1" w:styleId="24">
    <w:name w:val=" Char Char1 Char Char Char Char Char Char Char Char Char Char Char Char Char Char Char Char Char Char Char Char1 Char"/>
    <w:basedOn w:val="1"/>
    <w:autoRedefine/>
    <w:qFormat/>
    <w:uiPriority w:val="0"/>
    <w:pPr>
      <w:spacing w:line="360" w:lineRule="auto"/>
      <w:ind w:firstLine="200" w:firstLineChars="200"/>
    </w:pPr>
  </w:style>
  <w:style w:type="paragraph" w:customStyle="1" w:styleId="25">
    <w:name w:val="环评正文"/>
    <w:basedOn w:val="1"/>
    <w:autoRedefine/>
    <w:qFormat/>
    <w:uiPriority w:val="0"/>
    <w:pPr>
      <w:spacing w:before="93" w:beforeLines="30"/>
      <w:ind w:firstLine="480" w:firstLineChars="200"/>
    </w:pPr>
    <w:rPr>
      <w:kern w:val="0"/>
      <w:sz w:val="24"/>
      <w:szCs w:val="20"/>
    </w:rPr>
  </w:style>
  <w:style w:type="paragraph" w:customStyle="1" w:styleId="26">
    <w:name w:val=" Char Char Char Char"/>
    <w:basedOn w:val="1"/>
    <w:autoRedefine/>
    <w:qFormat/>
    <w:uiPriority w:val="0"/>
    <w:pPr>
      <w:widowControl/>
      <w:spacing w:after="160" w:afterLines="0" w:line="240" w:lineRule="exact"/>
      <w:jc w:val="left"/>
    </w:pPr>
  </w:style>
  <w:style w:type="character" w:customStyle="1" w:styleId="27">
    <w:name w:val="_Style 0"/>
    <w:autoRedefine/>
    <w:qFormat/>
    <w:uiPriority w:val="21"/>
    <w:rPr>
      <w:b/>
      <w:bCs/>
      <w:i/>
      <w:iCs/>
      <w:color w:val="4F81BD"/>
    </w:rPr>
  </w:style>
  <w:style w:type="paragraph" w:customStyle="1" w:styleId="28">
    <w:name w:val="正文文本 全"/>
    <w:basedOn w:val="5"/>
    <w:autoRedefine/>
    <w:qFormat/>
    <w:uiPriority w:val="0"/>
    <w:pPr>
      <w:spacing w:before="0" w:after="0" w:line="360" w:lineRule="auto"/>
      <w:ind w:right="0" w:firstLine="200" w:firstLineChars="200"/>
    </w:pPr>
    <w:rPr>
      <w:sz w:val="21"/>
    </w:rPr>
  </w:style>
  <w:style w:type="paragraph" w:customStyle="1" w:styleId="29">
    <w:name w:val="正文-华联康"/>
    <w:basedOn w:val="5"/>
    <w:autoRedefine/>
    <w:qFormat/>
    <w:uiPriority w:val="0"/>
    <w:pPr>
      <w:spacing w:before="0" w:after="0" w:line="360" w:lineRule="auto"/>
      <w:ind w:right="0" w:firstLine="200" w:firstLineChars="200"/>
    </w:pPr>
  </w:style>
  <w:style w:type="paragraph" w:customStyle="1" w:styleId="30">
    <w:name w:val="0正文唐"/>
    <w:basedOn w:val="1"/>
    <w:autoRedefine/>
    <w:qFormat/>
    <w:uiPriority w:val="0"/>
    <w:pPr>
      <w:spacing w:line="360" w:lineRule="auto"/>
      <w:ind w:firstLine="720" w:firstLineChars="200"/>
      <w:jc w:val="left"/>
    </w:pPr>
    <w:rPr>
      <w:rFonts w:ascii="Times New Roman" w:hAnsi="Times New Roman" w:eastAsia="宋体"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1393</Words>
  <Characters>1563</Characters>
  <Lines>13</Lines>
  <Paragraphs>3</Paragraphs>
  <TotalTime>19</TotalTime>
  <ScaleCrop>false</ScaleCrop>
  <LinksUpToDate>false</LinksUpToDate>
  <CharactersWithSpaces>1631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2022-09-06T01:34:00Z</dcterms:created>
  <dc:creator>Administrator</dc:creator>
  <cp:lastModifiedBy>haiy(•̀⌄•́)</cp:lastModifiedBy>
  <cp:lastPrinted>2024-07-05T01:59:51Z</cp:lastPrinted>
  <dcterms:modified xsi:type="dcterms:W3CDTF">2024-07-05T02:04:00Z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E59826F8E6664593AC891C9985F6732B_13</vt:lpwstr>
  </property>
</Properties>
</file>