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03B566">
      <w:pPr>
        <w:spacing w:line="600" w:lineRule="exact"/>
        <w:jc w:val="center"/>
        <w:rPr>
          <w:rFonts w:ascii="仿宋" w:hAnsi="仿宋" w:eastAsia="仿宋" w:cs="仿宋"/>
          <w:sz w:val="32"/>
          <w:szCs w:val="32"/>
        </w:rPr>
      </w:pPr>
    </w:p>
    <w:p w14:paraId="6856F7E3">
      <w:pPr>
        <w:spacing w:line="600" w:lineRule="exact"/>
        <w:jc w:val="center"/>
        <w:rPr>
          <w:rFonts w:ascii="仿宋" w:hAnsi="仿宋" w:eastAsia="仿宋" w:cs="仿宋"/>
          <w:sz w:val="32"/>
          <w:szCs w:val="32"/>
        </w:rPr>
      </w:pPr>
    </w:p>
    <w:p w14:paraId="64BCC7E0">
      <w:pPr>
        <w:spacing w:line="600" w:lineRule="exact"/>
        <w:jc w:val="center"/>
        <w:rPr>
          <w:rFonts w:ascii="仿宋" w:hAnsi="仿宋" w:eastAsia="仿宋" w:cs="仿宋"/>
          <w:sz w:val="32"/>
          <w:szCs w:val="32"/>
        </w:rPr>
      </w:pPr>
    </w:p>
    <w:p w14:paraId="0A629A31">
      <w:pPr>
        <w:spacing w:line="600" w:lineRule="exact"/>
        <w:jc w:val="center"/>
        <w:rPr>
          <w:rFonts w:ascii="仿宋" w:hAnsi="仿宋" w:eastAsia="仿宋" w:cs="仿宋"/>
          <w:sz w:val="32"/>
          <w:szCs w:val="32"/>
        </w:rPr>
      </w:pPr>
      <w:r>
        <w:rPr>
          <w:rFonts w:hint="eastAsia" w:ascii="仿宋" w:hAnsi="仿宋" w:eastAsia="仿宋" w:cs="仿宋"/>
          <w:sz w:val="32"/>
          <w:szCs w:val="32"/>
        </w:rPr>
        <w:t xml:space="preserve">                               衡清环审字〔2024〕</w:t>
      </w:r>
      <w:r>
        <w:rPr>
          <w:rFonts w:hint="eastAsia" w:ascii="仿宋" w:hAnsi="仿宋" w:eastAsia="仿宋" w:cs="仿宋"/>
          <w:sz w:val="32"/>
          <w:szCs w:val="32"/>
          <w:lang w:val="en-US" w:eastAsia="zh-CN"/>
        </w:rPr>
        <w:t>14</w:t>
      </w:r>
      <w:r>
        <w:rPr>
          <w:rFonts w:hint="eastAsia" w:ascii="仿宋" w:hAnsi="仿宋" w:eastAsia="仿宋" w:cs="仿宋"/>
          <w:sz w:val="32"/>
          <w:szCs w:val="32"/>
        </w:rPr>
        <w:t>号</w:t>
      </w:r>
    </w:p>
    <w:p w14:paraId="470193D6">
      <w:pPr>
        <w:spacing w:line="600" w:lineRule="exact"/>
        <w:jc w:val="center"/>
        <w:rPr>
          <w:rFonts w:ascii="仿宋" w:hAnsi="仿宋" w:eastAsia="仿宋" w:cs="仿宋"/>
          <w:sz w:val="32"/>
          <w:szCs w:val="32"/>
        </w:rPr>
      </w:pPr>
    </w:p>
    <w:p w14:paraId="36E996F9">
      <w:pPr>
        <w:spacing w:line="660" w:lineRule="exact"/>
        <w:jc w:val="center"/>
        <w:rPr>
          <w:rFonts w:ascii="华文中宋" w:hAnsi="华文中宋" w:eastAsia="华文中宋" w:cs="华文中宋"/>
          <w:b/>
          <w:bCs/>
          <w:sz w:val="42"/>
          <w:szCs w:val="42"/>
        </w:rPr>
      </w:pPr>
      <w:r>
        <w:rPr>
          <w:rFonts w:hint="eastAsia" w:ascii="华文中宋" w:hAnsi="华文中宋" w:eastAsia="华文中宋" w:cs="华文中宋"/>
          <w:b/>
          <w:bCs/>
          <w:sz w:val="42"/>
          <w:szCs w:val="42"/>
        </w:rPr>
        <w:t>衡阳市生态环境局</w:t>
      </w:r>
    </w:p>
    <w:p w14:paraId="7A11061C">
      <w:pPr>
        <w:spacing w:line="660" w:lineRule="exact"/>
        <w:jc w:val="center"/>
        <w:rPr>
          <w:rFonts w:ascii="华文中宋" w:hAnsi="华文中宋" w:eastAsia="华文中宋" w:cs="华文中宋"/>
          <w:b/>
          <w:bCs/>
          <w:sz w:val="42"/>
          <w:szCs w:val="42"/>
        </w:rPr>
      </w:pPr>
      <w:r>
        <w:rPr>
          <w:rFonts w:hint="eastAsia" w:ascii="华文中宋" w:hAnsi="华文中宋" w:eastAsia="华文中宋" w:cs="华文中宋"/>
          <w:b/>
          <w:bCs/>
          <w:sz w:val="42"/>
          <w:szCs w:val="42"/>
        </w:rPr>
        <w:t>关于《特变电工云集高端智能制造产业园智能组件制造项目环境影响报告表》的批复</w:t>
      </w:r>
    </w:p>
    <w:p w14:paraId="4A6EEEE6">
      <w:pPr>
        <w:spacing w:line="460" w:lineRule="atLeast"/>
        <w:rPr>
          <w:rStyle w:val="47"/>
          <w:rFonts w:ascii="仿宋" w:hAnsi="仿宋" w:eastAsia="仿宋" w:cs="仿宋"/>
          <w:color w:val="auto"/>
          <w:sz w:val="32"/>
          <w:szCs w:val="32"/>
        </w:rPr>
      </w:pPr>
    </w:p>
    <w:p w14:paraId="3F2C34DC">
      <w:pPr>
        <w:spacing w:line="600" w:lineRule="exact"/>
        <w:rPr>
          <w:rStyle w:val="47"/>
          <w:rFonts w:ascii="仿宋" w:hAnsi="仿宋" w:eastAsia="仿宋" w:cs="仿宋"/>
          <w:color w:val="auto"/>
          <w:sz w:val="32"/>
          <w:szCs w:val="32"/>
        </w:rPr>
      </w:pPr>
      <w:r>
        <w:rPr>
          <w:rStyle w:val="47"/>
          <w:rFonts w:hint="eastAsia" w:ascii="仿宋" w:hAnsi="仿宋" w:eastAsia="仿宋" w:cs="仿宋"/>
          <w:color w:val="auto"/>
          <w:sz w:val="32"/>
          <w:szCs w:val="32"/>
        </w:rPr>
        <w:t>特变电工集团（湖南）电气科技有限公司：</w:t>
      </w:r>
    </w:p>
    <w:p w14:paraId="09DEE4EA">
      <w:pPr>
        <w:widowControl/>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你公司报送的《特变电工云集高端智能制造产业园智能组件制造项目环境影响报告表》（报批稿）及专家组评审意见均已收悉，经研究，批复如下：</w:t>
      </w:r>
    </w:p>
    <w:p w14:paraId="3A8B484F">
      <w:pPr>
        <w:pStyle w:val="48"/>
        <w:keepNext w:val="0"/>
        <w:keepLines w:val="0"/>
        <w:pageBreakBefore w:val="0"/>
        <w:widowControl w:val="0"/>
        <w:numPr>
          <w:ilvl w:val="0"/>
          <w:numId w:val="4"/>
        </w:numPr>
        <w:kinsoku/>
        <w:wordWrap/>
        <w:overflowPunct/>
        <w:topLinePunct w:val="0"/>
        <w:autoSpaceDE/>
        <w:autoSpaceDN/>
        <w:bidi w:val="0"/>
        <w:adjustRightInd w:val="0"/>
        <w:snapToGrid w:val="0"/>
        <w:spacing w:line="600" w:lineRule="exact"/>
        <w:ind w:firstLine="640"/>
        <w:textAlignment w:val="auto"/>
        <w:rPr>
          <w:rStyle w:val="47"/>
          <w:rFonts w:hint="eastAsia" w:ascii="仿宋" w:hAnsi="仿宋" w:eastAsia="仿宋" w:cs="仿宋"/>
          <w:color w:val="auto"/>
          <w:spacing w:val="-20"/>
          <w:sz w:val="32"/>
          <w:szCs w:val="32"/>
        </w:rPr>
      </w:pPr>
      <w:r>
        <w:rPr>
          <w:rStyle w:val="47"/>
          <w:rFonts w:hint="eastAsia" w:ascii="仿宋" w:hAnsi="仿宋" w:eastAsia="仿宋" w:cs="仿宋"/>
          <w:color w:val="auto"/>
          <w:sz w:val="32"/>
          <w:szCs w:val="32"/>
        </w:rPr>
        <w:t>项目建设的主要内容。特变电工集团（湖南）电气科技有限公司位于衡南高新技术产业开发区，2021年9月27日取得衡阳市生态环境局一期批复</w:t>
      </w:r>
      <w:r>
        <w:rPr>
          <w:rStyle w:val="47"/>
          <w:rFonts w:hint="eastAsia" w:ascii="仿宋" w:hAnsi="仿宋" w:eastAsia="仿宋" w:cs="仿宋"/>
          <w:color w:val="auto"/>
          <w:spacing w:val="-20"/>
          <w:sz w:val="32"/>
          <w:szCs w:val="32"/>
          <w:lang w:eastAsia="zh-CN"/>
        </w:rPr>
        <w:t>（</w:t>
      </w:r>
      <w:r>
        <w:rPr>
          <w:rStyle w:val="47"/>
          <w:rFonts w:hint="eastAsia" w:ascii="仿宋" w:hAnsi="仿宋" w:eastAsia="仿宋" w:cs="仿宋"/>
          <w:color w:val="auto"/>
          <w:spacing w:val="-20"/>
          <w:sz w:val="32"/>
          <w:szCs w:val="32"/>
        </w:rPr>
        <w:t>衡清环审字</w:t>
      </w:r>
      <w:r>
        <w:rPr>
          <w:rFonts w:hint="eastAsia" w:ascii="仿宋" w:hAnsi="仿宋" w:eastAsia="仿宋" w:cs="仿宋"/>
          <w:spacing w:val="-20"/>
          <w:sz w:val="32"/>
          <w:szCs w:val="32"/>
        </w:rPr>
        <w:t>〔202</w:t>
      </w:r>
      <w:r>
        <w:rPr>
          <w:rFonts w:hint="eastAsia" w:ascii="仿宋" w:hAnsi="仿宋" w:eastAsia="仿宋" w:cs="仿宋"/>
          <w:spacing w:val="-20"/>
          <w:sz w:val="32"/>
          <w:szCs w:val="32"/>
          <w:lang w:val="en-US" w:eastAsia="zh-CN"/>
        </w:rPr>
        <w:t>1</w:t>
      </w:r>
      <w:r>
        <w:rPr>
          <w:rFonts w:hint="eastAsia" w:ascii="仿宋" w:hAnsi="仿宋" w:eastAsia="仿宋" w:cs="仿宋"/>
          <w:spacing w:val="-20"/>
          <w:sz w:val="32"/>
          <w:szCs w:val="32"/>
        </w:rPr>
        <w:t>〕</w:t>
      </w:r>
      <w:r>
        <w:rPr>
          <w:rStyle w:val="47"/>
          <w:rFonts w:hint="eastAsia" w:ascii="仿宋" w:hAnsi="仿宋" w:eastAsia="仿宋" w:cs="仿宋"/>
          <w:color w:val="auto"/>
          <w:spacing w:val="-20"/>
          <w:sz w:val="32"/>
          <w:szCs w:val="32"/>
        </w:rPr>
        <w:t>29号</w:t>
      </w:r>
      <w:r>
        <w:rPr>
          <w:rStyle w:val="47"/>
          <w:rFonts w:hint="eastAsia" w:ascii="仿宋" w:hAnsi="仿宋" w:eastAsia="仿宋" w:cs="仿宋"/>
          <w:color w:val="auto"/>
          <w:spacing w:val="-20"/>
          <w:sz w:val="32"/>
          <w:szCs w:val="32"/>
          <w:lang w:eastAsia="zh-CN"/>
        </w:rPr>
        <w:t>）</w:t>
      </w:r>
      <w:r>
        <w:rPr>
          <w:rStyle w:val="47"/>
          <w:rFonts w:hint="eastAsia" w:ascii="仿宋" w:hAnsi="仿宋" w:eastAsia="仿宋" w:cs="仿宋"/>
          <w:color w:val="auto"/>
          <w:spacing w:val="-20"/>
          <w:sz w:val="32"/>
          <w:szCs w:val="32"/>
          <w:lang w:val="en-US" w:eastAsia="zh-CN"/>
        </w:rPr>
        <w:t>;</w:t>
      </w:r>
    </w:p>
    <w:p w14:paraId="004881B6">
      <w:pPr>
        <w:pStyle w:val="48"/>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textAlignment w:val="auto"/>
        <w:rPr>
          <w:rStyle w:val="47"/>
          <w:rFonts w:ascii="仿宋" w:hAnsi="仿宋" w:eastAsia="仿宋" w:cs="仿宋"/>
          <w:color w:val="auto"/>
          <w:sz w:val="32"/>
          <w:szCs w:val="32"/>
        </w:rPr>
      </w:pPr>
      <w:r>
        <w:rPr>
          <w:rStyle w:val="47"/>
          <w:rFonts w:hint="eastAsia" w:ascii="仿宋" w:hAnsi="仿宋" w:eastAsia="仿宋" w:cs="仿宋"/>
          <w:color w:val="auto"/>
          <w:spacing w:val="-20"/>
          <w:sz w:val="32"/>
          <w:szCs w:val="32"/>
        </w:rPr>
        <w:t>2022年11月29日取得衡阳市生态环境局二期批复</w:t>
      </w:r>
      <w:r>
        <w:rPr>
          <w:rStyle w:val="47"/>
          <w:rFonts w:hint="eastAsia" w:ascii="仿宋" w:hAnsi="仿宋" w:eastAsia="仿宋" w:cs="仿宋"/>
          <w:color w:val="auto"/>
          <w:spacing w:val="-20"/>
          <w:sz w:val="32"/>
          <w:szCs w:val="32"/>
          <w:lang w:eastAsia="zh-CN"/>
        </w:rPr>
        <w:t>（</w:t>
      </w:r>
      <w:r>
        <w:rPr>
          <w:rStyle w:val="47"/>
          <w:rFonts w:hint="eastAsia" w:ascii="仿宋" w:hAnsi="仿宋" w:eastAsia="仿宋" w:cs="仿宋"/>
          <w:color w:val="auto"/>
          <w:spacing w:val="-20"/>
          <w:sz w:val="32"/>
          <w:szCs w:val="32"/>
        </w:rPr>
        <w:t>衡清环审字</w:t>
      </w:r>
      <w:r>
        <w:rPr>
          <w:rFonts w:hint="eastAsia" w:ascii="仿宋" w:hAnsi="仿宋" w:eastAsia="仿宋" w:cs="仿宋"/>
          <w:spacing w:val="-20"/>
          <w:sz w:val="32"/>
          <w:szCs w:val="32"/>
        </w:rPr>
        <w:t>〔202</w:t>
      </w:r>
      <w:r>
        <w:rPr>
          <w:rFonts w:hint="eastAsia" w:ascii="仿宋" w:hAnsi="仿宋" w:eastAsia="仿宋" w:cs="仿宋"/>
          <w:spacing w:val="-20"/>
          <w:sz w:val="32"/>
          <w:szCs w:val="32"/>
          <w:lang w:val="en-US" w:eastAsia="zh-CN"/>
        </w:rPr>
        <w:t>2</w:t>
      </w:r>
      <w:r>
        <w:rPr>
          <w:rFonts w:hint="eastAsia" w:ascii="仿宋" w:hAnsi="仿宋" w:eastAsia="仿宋" w:cs="仿宋"/>
          <w:spacing w:val="-20"/>
          <w:sz w:val="32"/>
          <w:szCs w:val="32"/>
        </w:rPr>
        <w:t>〕</w:t>
      </w:r>
      <w:r>
        <w:rPr>
          <w:rStyle w:val="47"/>
          <w:rFonts w:hint="eastAsia" w:ascii="仿宋" w:hAnsi="仿宋" w:eastAsia="仿宋" w:cs="仿宋"/>
          <w:color w:val="auto"/>
          <w:spacing w:val="-20"/>
          <w:sz w:val="32"/>
          <w:szCs w:val="32"/>
        </w:rPr>
        <w:t>29号</w:t>
      </w:r>
      <w:r>
        <w:rPr>
          <w:rStyle w:val="47"/>
          <w:rFonts w:hint="eastAsia" w:ascii="仿宋" w:hAnsi="仿宋" w:eastAsia="仿宋" w:cs="仿宋"/>
          <w:color w:val="auto"/>
          <w:spacing w:val="-20"/>
          <w:sz w:val="32"/>
          <w:szCs w:val="32"/>
          <w:lang w:eastAsia="zh-CN"/>
        </w:rPr>
        <w:t>），</w:t>
      </w:r>
      <w:r>
        <w:rPr>
          <w:rStyle w:val="47"/>
          <w:rFonts w:hint="eastAsia" w:ascii="仿宋" w:hAnsi="仿宋" w:eastAsia="仿宋" w:cs="仿宋"/>
          <w:color w:val="auto"/>
          <w:spacing w:val="-20"/>
          <w:sz w:val="32"/>
          <w:szCs w:val="32"/>
        </w:rPr>
        <w:t>2022年5月11日获得了衡阳市生态环境局</w:t>
      </w:r>
      <w:r>
        <w:rPr>
          <w:rStyle w:val="47"/>
          <w:rFonts w:hint="eastAsia" w:ascii="仿宋" w:hAnsi="仿宋" w:eastAsia="仿宋" w:cs="仿宋"/>
          <w:color w:val="auto"/>
          <w:spacing w:val="-20"/>
          <w:sz w:val="32"/>
          <w:szCs w:val="32"/>
          <w:lang w:val="en-US" w:eastAsia="zh-CN"/>
        </w:rPr>
        <w:t>核</w:t>
      </w:r>
      <w:r>
        <w:rPr>
          <w:rStyle w:val="47"/>
          <w:rFonts w:hint="eastAsia" w:ascii="仿宋" w:hAnsi="仿宋" w:eastAsia="仿宋" w:cs="仿宋"/>
          <w:color w:val="auto"/>
          <w:spacing w:val="-20"/>
          <w:sz w:val="32"/>
          <w:szCs w:val="32"/>
        </w:rPr>
        <w:t>发的排污许可证，证书编号：91430422MA4PHC1RX6001U。</w:t>
      </w:r>
      <w:r>
        <w:rPr>
          <w:rStyle w:val="47"/>
          <w:rFonts w:hint="eastAsia" w:ascii="仿宋" w:hAnsi="仿宋" w:eastAsia="仿宋" w:cs="仿宋"/>
          <w:color w:val="auto"/>
          <w:sz w:val="32"/>
          <w:szCs w:val="32"/>
        </w:rPr>
        <w:t>为满足市场</w:t>
      </w:r>
      <w:r>
        <w:rPr>
          <w:rStyle w:val="47"/>
          <w:rFonts w:hint="eastAsia" w:ascii="仿宋" w:hAnsi="仿宋" w:eastAsia="仿宋" w:cs="仿宋"/>
          <w:color w:val="auto"/>
          <w:sz w:val="32"/>
          <w:szCs w:val="32"/>
          <w:lang w:val="en-US" w:eastAsia="zh-CN"/>
        </w:rPr>
        <w:t>需</w:t>
      </w:r>
      <w:r>
        <w:rPr>
          <w:rStyle w:val="47"/>
          <w:rFonts w:hint="eastAsia" w:ascii="仿宋" w:hAnsi="仿宋" w:eastAsia="仿宋" w:cs="仿宋"/>
          <w:color w:val="auto"/>
          <w:sz w:val="32"/>
          <w:szCs w:val="32"/>
        </w:rPr>
        <w:t>求</w:t>
      </w:r>
      <w:r>
        <w:rPr>
          <w:rStyle w:val="47"/>
          <w:rFonts w:hint="eastAsia" w:ascii="仿宋" w:hAnsi="仿宋" w:eastAsia="仿宋" w:cs="仿宋"/>
          <w:color w:val="auto"/>
          <w:sz w:val="32"/>
          <w:szCs w:val="32"/>
          <w:lang w:val="en-US" w:eastAsia="zh-CN"/>
        </w:rPr>
        <w:t>,</w:t>
      </w:r>
      <w:r>
        <w:rPr>
          <w:rStyle w:val="47"/>
          <w:rFonts w:hint="eastAsia" w:ascii="仿宋" w:hAnsi="仿宋" w:eastAsia="仿宋" w:cs="仿宋"/>
          <w:color w:val="auto"/>
          <w:sz w:val="32"/>
          <w:szCs w:val="32"/>
        </w:rPr>
        <w:t>特变电工集团（湖南）电气科技有限公司拟投资17562万元</w:t>
      </w:r>
      <w:r>
        <w:rPr>
          <w:rStyle w:val="47"/>
          <w:rFonts w:hint="eastAsia" w:ascii="仿宋" w:hAnsi="仿宋" w:eastAsia="仿宋" w:cs="仿宋"/>
          <w:color w:val="auto"/>
          <w:sz w:val="32"/>
          <w:szCs w:val="32"/>
          <w:lang w:val="en-US" w:eastAsia="zh-CN"/>
        </w:rPr>
        <w:t>依托二期已建成</w:t>
      </w:r>
      <w:r>
        <w:rPr>
          <w:rStyle w:val="47"/>
          <w:rFonts w:hint="eastAsia" w:ascii="仿宋" w:hAnsi="仿宋" w:eastAsia="仿宋" w:cs="仿宋"/>
          <w:color w:val="auto"/>
          <w:sz w:val="32"/>
          <w:szCs w:val="32"/>
        </w:rPr>
        <w:t>1栋智能组件生产厂房</w:t>
      </w:r>
      <w:r>
        <w:rPr>
          <w:rStyle w:val="47"/>
          <w:rFonts w:hint="eastAsia" w:ascii="仿宋" w:hAnsi="仿宋" w:eastAsia="仿宋" w:cs="仿宋"/>
          <w:color w:val="auto"/>
          <w:sz w:val="32"/>
          <w:szCs w:val="32"/>
          <w:lang w:val="en-US" w:eastAsia="zh-CN"/>
        </w:rPr>
        <w:t>实施本项目</w:t>
      </w:r>
      <w:r>
        <w:rPr>
          <w:rStyle w:val="47"/>
          <w:rFonts w:hint="eastAsia" w:ascii="仿宋" w:hAnsi="仿宋" w:eastAsia="仿宋" w:cs="仿宋"/>
          <w:color w:val="auto"/>
          <w:sz w:val="32"/>
          <w:szCs w:val="32"/>
        </w:rPr>
        <w:t>，厂房总面积为16886.99m</w:t>
      </w:r>
      <w:r>
        <w:rPr>
          <w:rStyle w:val="47"/>
          <w:rFonts w:hint="eastAsia" w:ascii="仿宋" w:hAnsi="仿宋" w:eastAsia="仿宋" w:cs="仿宋"/>
          <w:color w:val="auto"/>
          <w:sz w:val="32"/>
          <w:szCs w:val="32"/>
          <w:vertAlign w:val="superscript"/>
        </w:rPr>
        <w:t>2</w:t>
      </w:r>
      <w:r>
        <w:rPr>
          <w:rStyle w:val="47"/>
          <w:rFonts w:hint="eastAsia" w:ascii="仿宋" w:hAnsi="仿宋" w:eastAsia="仿宋" w:cs="仿宋"/>
          <w:color w:val="auto"/>
          <w:sz w:val="32"/>
          <w:szCs w:val="32"/>
        </w:rPr>
        <w:t>，年产蝶阀产品35万台、变压器用橡胶密封件产品303.3万个、变压器用环氧树脂绝缘件产品48</w:t>
      </w:r>
      <w:r>
        <w:rPr>
          <w:rStyle w:val="47"/>
          <w:rFonts w:hint="eastAsia" w:ascii="仿宋" w:hAnsi="仿宋" w:eastAsia="仿宋" w:cs="仿宋"/>
          <w:color w:val="auto"/>
          <w:sz w:val="32"/>
          <w:szCs w:val="32"/>
          <w:lang w:val="en-US" w:eastAsia="zh-CN"/>
        </w:rPr>
        <w:t>1325</w:t>
      </w:r>
      <w:r>
        <w:rPr>
          <w:rStyle w:val="47"/>
          <w:rFonts w:hint="eastAsia" w:ascii="仿宋" w:hAnsi="仿宋" w:eastAsia="仿宋" w:cs="仿宋"/>
          <w:color w:val="auto"/>
          <w:sz w:val="32"/>
          <w:szCs w:val="32"/>
        </w:rPr>
        <w:t>个、储油柜1500台。该项目环境影响报告表提出的污染防治措施客观可行，从环保角度分析，同意该项目建设。</w:t>
      </w:r>
    </w:p>
    <w:p w14:paraId="5E4A33A8">
      <w:pPr>
        <w:spacing w:line="600" w:lineRule="exact"/>
        <w:ind w:firstLine="640" w:firstLineChars="200"/>
        <w:rPr>
          <w:rFonts w:ascii="仿宋" w:hAnsi="仿宋" w:eastAsia="仿宋" w:cs="仿宋"/>
          <w:sz w:val="32"/>
          <w:szCs w:val="32"/>
        </w:rPr>
      </w:pPr>
      <w:r>
        <w:rPr>
          <w:rStyle w:val="47"/>
          <w:rFonts w:hint="eastAsia" w:ascii="仿宋" w:hAnsi="仿宋" w:eastAsia="仿宋" w:cs="仿宋"/>
          <w:color w:val="auto"/>
          <w:sz w:val="32"/>
          <w:szCs w:val="32"/>
        </w:rPr>
        <w:t>二、</w:t>
      </w:r>
      <w:r>
        <w:rPr>
          <w:rFonts w:hint="eastAsia" w:ascii="仿宋" w:hAnsi="仿宋" w:eastAsia="仿宋" w:cs="仿宋"/>
          <w:sz w:val="32"/>
          <w:szCs w:val="32"/>
        </w:rPr>
        <w:t>在项目建设和运</w:t>
      </w:r>
      <w:r>
        <w:rPr>
          <w:rFonts w:hint="eastAsia" w:ascii="仿宋" w:hAnsi="仿宋" w:eastAsia="仿宋" w:cs="仿宋"/>
          <w:sz w:val="32"/>
          <w:szCs w:val="32"/>
          <w:lang w:val="en-US" w:eastAsia="zh-CN"/>
        </w:rPr>
        <w:t>营</w:t>
      </w:r>
      <w:r>
        <w:rPr>
          <w:rFonts w:hint="eastAsia" w:ascii="仿宋" w:hAnsi="仿宋" w:eastAsia="仿宋" w:cs="仿宋"/>
          <w:sz w:val="32"/>
          <w:szCs w:val="32"/>
        </w:rPr>
        <w:t>中，必须严格执行环保法律法规，认真落实报告表提出的各项污染防治措施，并着重做好以下工作：</w:t>
      </w:r>
    </w:p>
    <w:p w14:paraId="1625DB61">
      <w:pPr>
        <w:adjustRightInd w:val="0"/>
        <w:snapToGrid w:val="0"/>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（一）做好大气污染防治工作。项目喷塑粉尘经一级滤筒+二级滤筒回收装置处理后经17m排气筒(DA009)排放，颗粒物执行《大气污染物综合排放标准》（GB16297- 1996）表2标准限值；</w:t>
      </w:r>
      <w:r>
        <w:rPr>
          <w:rStyle w:val="47"/>
          <w:rFonts w:hint="eastAsia" w:ascii="仿宋" w:hAnsi="仿宋" w:eastAsia="仿宋" w:cs="仿宋"/>
          <w:color w:val="auto"/>
          <w:sz w:val="32"/>
          <w:szCs w:val="32"/>
          <w:lang w:eastAsia="zh-CN"/>
        </w:rPr>
        <w:t>补漆室废气经集气罩+过滤棉+二级活性炭吸附装置+17m排气筒(DA010)处理后排放，颗粒物执行《大气污染物综合排放标准》（GB16297- 1996）表2标准限值，非甲烷总烃、二甲苯执行《表面涂装（汽车制造及维修）挥发性有机物、镍排放标准》（DB43/1356-2017）中表1标准限值；</w:t>
      </w:r>
      <w:r>
        <w:rPr>
          <w:rStyle w:val="47"/>
          <w:rFonts w:hint="eastAsia" w:ascii="仿宋" w:hAnsi="仿宋" w:eastAsia="仿宋" w:cs="仿宋"/>
          <w:color w:val="000000" w:themeColor="text1"/>
          <w:sz w:val="32"/>
          <w:szCs w:val="32"/>
          <w:lang w:eastAsia="zh-CN"/>
          <w14:textFill>
            <w14:solidFill>
              <w14:schemeClr w14:val="tx1"/>
            </w14:solidFill>
          </w14:textFill>
        </w:rPr>
        <w:t>天然气燃烧废气、固化有机废气、混炼、挤出、开炼、硫化废气经密闭收集+干式过滤器过滤+活性炭吸附脱附+催化燃烧装置+17m排气筒(DA011)处理后排放，颗粒物、非甲烷总烃执行《橡胶制品工业污染物排放标准》（GB 27632—2011）表5标准限值，CS</w:t>
      </w:r>
      <w:r>
        <w:rPr>
          <w:rStyle w:val="47"/>
          <w:rFonts w:hint="eastAsia" w:ascii="仿宋" w:hAnsi="仿宋" w:eastAsia="仿宋" w:cs="仿宋"/>
          <w:color w:val="000000" w:themeColor="text1"/>
          <w:sz w:val="32"/>
          <w:szCs w:val="32"/>
          <w:vertAlign w:val="subscript"/>
          <w:lang w:eastAsia="zh-CN"/>
          <w14:textFill>
            <w14:solidFill>
              <w14:schemeClr w14:val="tx1"/>
            </w14:solidFill>
          </w14:textFill>
        </w:rPr>
        <w:t>2</w:t>
      </w:r>
      <w:r>
        <w:rPr>
          <w:rStyle w:val="47"/>
          <w:rFonts w:hint="eastAsia" w:ascii="仿宋" w:hAnsi="仿宋" w:eastAsia="仿宋" w:cs="仿宋"/>
          <w:color w:val="000000" w:themeColor="text1"/>
          <w:sz w:val="32"/>
          <w:szCs w:val="32"/>
          <w:lang w:eastAsia="zh-CN"/>
          <w14:textFill>
            <w14:solidFill>
              <w14:schemeClr w14:val="tx1"/>
            </w14:solidFill>
          </w14:textFill>
        </w:rPr>
        <w:t>、硫化氢、臭气浓度执行《恶臭污染物排放标准》（GB14554-93）表2标准限值，二氧化硫、氮氧化物执行《锅炉大气污染物排放标准》（GB 13271-2014）表3标准限值；</w:t>
      </w:r>
      <w:r>
        <w:rPr>
          <w:rStyle w:val="47"/>
          <w:rFonts w:hint="eastAsia" w:ascii="仿宋" w:hAnsi="仿宋" w:eastAsia="仿宋" w:cs="仿宋"/>
          <w:color w:val="auto"/>
          <w:sz w:val="32"/>
          <w:szCs w:val="32"/>
        </w:rPr>
        <w:t>树脂浇注（含固化）、脱模有机废气经集气罩+二级活性炭吸附装置处理后经17m排气筒(DA012)排放，非甲烷总烃执行《合成树脂工业污染物排放标准》（GB 31572-2015）表4标准限值；天然气锅炉废气经17m排气筒(DA013)排放，颗粒物、二氧化硫、氮氧化物执行《锅炉大气污染物排放标准》（GB 13271-2014）表3标准限值</w:t>
      </w:r>
      <w:r>
        <w:rPr>
          <w:rStyle w:val="47"/>
          <w:rFonts w:hint="eastAsia" w:ascii="仿宋" w:hAnsi="仿宋" w:eastAsia="仿宋" w:cs="仿宋"/>
          <w:color w:val="auto"/>
          <w:sz w:val="32"/>
          <w:szCs w:val="32"/>
          <w:lang w:eastAsia="zh-CN"/>
        </w:rPr>
        <w:t>。</w:t>
      </w:r>
      <w:r>
        <w:rPr>
          <w:rStyle w:val="47"/>
          <w:rFonts w:hint="eastAsia" w:ascii="仿宋" w:hAnsi="仿宋" w:eastAsia="仿宋" w:cs="仿宋"/>
          <w:color w:val="auto"/>
          <w:sz w:val="32"/>
          <w:szCs w:val="32"/>
        </w:rPr>
        <w:t>打磨、抛丸等机加工工序粉尘经打磨、抛丸等机加工工序粉尘经集气罩+布袋除尘器处理后，车间内无组织排放；焊接烟尘经焊接烟尘经集气罩+焊烟净化器处理后，车间内无组织排放</w:t>
      </w:r>
      <w:r>
        <w:rPr>
          <w:rStyle w:val="47"/>
          <w:rFonts w:hint="eastAsia" w:ascii="仿宋" w:hAnsi="仿宋" w:eastAsia="仿宋" w:cs="仿宋"/>
          <w:color w:val="auto"/>
          <w:sz w:val="32"/>
          <w:szCs w:val="32"/>
          <w:lang w:eastAsia="zh-CN"/>
        </w:rPr>
        <w:t>；</w:t>
      </w:r>
      <w:r>
        <w:rPr>
          <w:rStyle w:val="47"/>
          <w:rFonts w:hint="eastAsia" w:ascii="仿宋" w:hAnsi="仿宋" w:eastAsia="仿宋" w:cs="仿宋"/>
          <w:color w:val="auto"/>
          <w:sz w:val="32"/>
          <w:szCs w:val="32"/>
        </w:rPr>
        <w:t>无组织废气颗粒物执行《大气污染物综合排放标准》（GB16297- 1996）表2标准限值，非甲烷总烃</w:t>
      </w:r>
      <w:r>
        <w:rPr>
          <w:rStyle w:val="47"/>
          <w:rFonts w:hint="eastAsia" w:ascii="仿宋" w:hAnsi="仿宋" w:eastAsia="仿宋" w:cs="仿宋"/>
          <w:color w:val="auto"/>
          <w:sz w:val="32"/>
          <w:szCs w:val="32"/>
          <w:lang w:eastAsia="zh-CN"/>
        </w:rPr>
        <w:t>、</w:t>
      </w:r>
      <w:r>
        <w:rPr>
          <w:rStyle w:val="47"/>
          <w:rFonts w:hint="eastAsia" w:ascii="仿宋" w:hAnsi="仿宋" w:eastAsia="仿宋" w:cs="仿宋"/>
          <w:color w:val="auto"/>
          <w:sz w:val="32"/>
          <w:szCs w:val="32"/>
        </w:rPr>
        <w:t>二甲苯执行《表面涂装（汽车制造及维修）挥发性有机物、镍排放标准》（DB43/1356-2017）中表3标准限值，CS2、硫化氢、臭气浓度执行《恶臭污染物排放标准》（GB14555-93）表1标准限值。厂区内非甲烷总烃无组织排放执行《挥发性有机物无组织排放控制标准》（GB37822-2019）中的表A1标准。</w:t>
      </w:r>
    </w:p>
    <w:p w14:paraId="71F5DB48">
      <w:pPr>
        <w:spacing w:line="600" w:lineRule="exact"/>
        <w:ind w:firstLine="640" w:firstLineChars="200"/>
        <w:rPr>
          <w:rStyle w:val="47"/>
          <w:rFonts w:ascii="仿宋" w:hAnsi="仿宋" w:eastAsia="仿宋" w:cs="仿宋"/>
          <w:color w:val="000000" w:themeColor="text1"/>
          <w:sz w:val="32"/>
          <w:szCs w:val="32"/>
          <w14:textFill>
            <w14:solidFill>
              <w14:schemeClr w14:val="tx1"/>
            </w14:solidFill>
          </w14:textFill>
        </w:rPr>
      </w:pPr>
      <w:bookmarkStart w:id="0" w:name="OLE_LINK1"/>
      <w:r>
        <w:rPr>
          <w:rStyle w:val="47"/>
          <w:rFonts w:hint="eastAsia" w:ascii="仿宋" w:hAnsi="仿宋" w:eastAsia="仿宋" w:cs="仿宋"/>
          <w:color w:val="auto"/>
          <w:sz w:val="32"/>
          <w:szCs w:val="32"/>
        </w:rPr>
        <w:t>（二）强化水污染防治措施。</w:t>
      </w:r>
      <w:bookmarkEnd w:id="0"/>
      <w:r>
        <w:rPr>
          <w:rStyle w:val="47"/>
          <w:rFonts w:hint="eastAsia" w:ascii="仿宋" w:hAnsi="仿宋" w:eastAsia="仿宋" w:cs="仿宋"/>
          <w:color w:val="auto"/>
          <w:sz w:val="32"/>
          <w:szCs w:val="32"/>
        </w:rPr>
        <w:t>厂区内实行雨污分流。脱脂水、水洗废水经厂内一期污水处理站处理后达到《污水综合排放标准》（GB8978-1996）中三级标准后排入衡南工业集中区污水处理厂（新塘埠污水处理厂）；生活</w:t>
      </w:r>
      <w:r>
        <w:rPr>
          <w:rStyle w:val="47"/>
          <w:rFonts w:hint="eastAsia" w:ascii="仿宋" w:hAnsi="仿宋" w:eastAsia="仿宋" w:cs="仿宋"/>
          <w:color w:val="000000" w:themeColor="text1"/>
          <w:sz w:val="32"/>
          <w:szCs w:val="32"/>
          <w14:textFill>
            <w14:solidFill>
              <w14:schemeClr w14:val="tx1"/>
            </w14:solidFill>
          </w14:textFill>
        </w:rPr>
        <w:t>污水经化粪池预处理达到《污水综合排放标准》（GB8978-1996）中三级标准后排入衡南工业集中区污水处理厂（新塘埠污水处理厂）。锅炉废水回用于厂区道路洒水降尘，不外排。</w:t>
      </w:r>
    </w:p>
    <w:p w14:paraId="41A41B79">
      <w:pPr>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（三）加强各类固废管理，并采取有效措施防止二次污染。 项目抛丸粉尘、打磨粉尘、废边角料、废橡胶边角料、打磨边角料、焊接废渣、废边角料、废包装材料</w:t>
      </w:r>
      <w:r>
        <w:rPr>
          <w:rStyle w:val="47"/>
          <w:rFonts w:hint="eastAsia" w:ascii="仿宋" w:hAnsi="仿宋" w:eastAsia="仿宋" w:cs="仿宋"/>
          <w:color w:val="auto"/>
          <w:sz w:val="32"/>
          <w:szCs w:val="32"/>
          <w:lang w:val="en-US" w:eastAsia="zh-CN"/>
        </w:rPr>
        <w:t>等</w:t>
      </w:r>
      <w:r>
        <w:rPr>
          <w:rStyle w:val="47"/>
          <w:rFonts w:hint="eastAsia" w:ascii="仿宋" w:hAnsi="仿宋" w:eastAsia="仿宋" w:cs="仿宋"/>
          <w:color w:val="auto"/>
          <w:sz w:val="32"/>
          <w:szCs w:val="32"/>
        </w:rPr>
        <w:t>，外售综合利用；废弃的滤筒、废布袋，收集后厂家回收；喷塑回收的粉尘，全部回用于生产；员工生活垃圾通过分类收集后交由当地环卫部门统一处置；废过滤棉、脱脂浮油、废催化剂、环氧树脂残渣、废油桶、废化学品包装物、废活性炭、废液压油、切削液、废机油、废含油抹布和手套等危险废物，经危废暂存间暂存后，委托有危废经营资质单位进行处置，并办理好危险废物转移手续。一般工业固废暂存间按照《一般工业固体废物贮存和填埋污染控制标准》(GB18599-2020)要求建设；危险废物暂存间严格按照《危险废物贮存污染控制标准》（GB18597-2023）要求建设。</w:t>
      </w:r>
    </w:p>
    <w:p w14:paraId="386D4183">
      <w:pPr>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（四）做好噪声污染控制工作。项目生产设备噪声，通过厂房隔噪，选用低噪声设备，采取消声减振,并对设备合理布置等措施</w:t>
      </w:r>
      <w:r>
        <w:rPr>
          <w:rStyle w:val="47"/>
          <w:rFonts w:hint="eastAsia" w:ascii="仿宋" w:hAnsi="仿宋" w:eastAsia="仿宋" w:cs="仿宋"/>
          <w:color w:val="auto"/>
          <w:sz w:val="32"/>
          <w:szCs w:val="32"/>
          <w:lang w:eastAsia="zh-CN"/>
        </w:rPr>
        <w:t>，</w:t>
      </w:r>
      <w:r>
        <w:rPr>
          <w:rStyle w:val="47"/>
          <w:rFonts w:hint="eastAsia" w:ascii="仿宋" w:hAnsi="仿宋" w:eastAsia="仿宋" w:cs="仿宋"/>
          <w:color w:val="auto"/>
          <w:sz w:val="32"/>
          <w:szCs w:val="32"/>
        </w:rPr>
        <w:t>确保营运期厂界噪声达到《工业企业厂界环境噪声排放标准》(GB12348-2008)中的3类标准限值要求。</w:t>
      </w:r>
    </w:p>
    <w:p w14:paraId="1B28B77B">
      <w:pPr>
        <w:pStyle w:val="2"/>
        <w:ind w:firstLine="640"/>
        <w:rPr>
          <w:rStyle w:val="47"/>
          <w:rFonts w:hint="eastAsia" w:ascii="仿宋" w:hAnsi="仿宋" w:eastAsia="仿宋" w:cs="仿宋"/>
          <w:color w:val="auto"/>
          <w:sz w:val="32"/>
          <w:szCs w:val="32"/>
        </w:rPr>
      </w:pPr>
      <w:r>
        <w:rPr>
          <w:rStyle w:val="47"/>
          <w:rFonts w:hint="eastAsia" w:ascii="仿宋" w:hAnsi="仿宋" w:eastAsia="仿宋" w:cs="仿宋"/>
          <w:color w:val="auto"/>
          <w:sz w:val="32"/>
          <w:szCs w:val="32"/>
        </w:rPr>
        <w:t>（五）总量控制指标。SO</w:t>
      </w:r>
      <w:r>
        <w:rPr>
          <w:rStyle w:val="47"/>
          <w:rFonts w:hint="eastAsia" w:ascii="仿宋" w:hAnsi="仿宋" w:eastAsia="仿宋" w:cs="仿宋"/>
          <w:color w:val="auto"/>
          <w:sz w:val="32"/>
          <w:szCs w:val="32"/>
          <w:vertAlign w:val="subscript"/>
        </w:rPr>
        <w:t>2</w:t>
      </w:r>
      <w:r>
        <w:rPr>
          <w:rStyle w:val="47"/>
          <w:rFonts w:hint="eastAsia" w:ascii="仿宋" w:hAnsi="仿宋" w:eastAsia="仿宋" w:cs="仿宋"/>
          <w:color w:val="auto"/>
          <w:sz w:val="32"/>
          <w:szCs w:val="32"/>
          <w:lang w:eastAsia="zh-CN"/>
        </w:rPr>
        <w:t>：</w:t>
      </w:r>
      <w:r>
        <w:rPr>
          <w:rStyle w:val="47"/>
          <w:rFonts w:hint="eastAsia" w:ascii="仿宋" w:hAnsi="仿宋" w:eastAsia="仿宋" w:cs="仿宋"/>
          <w:color w:val="auto"/>
          <w:sz w:val="32"/>
          <w:szCs w:val="32"/>
        </w:rPr>
        <w:t>0.0</w:t>
      </w:r>
      <w:r>
        <w:rPr>
          <w:rStyle w:val="47"/>
          <w:rFonts w:hint="eastAsia" w:ascii="仿宋" w:hAnsi="仿宋" w:eastAsia="仿宋" w:cs="仿宋"/>
          <w:color w:val="auto"/>
          <w:sz w:val="32"/>
          <w:szCs w:val="32"/>
          <w:lang w:val="en-US" w:eastAsia="zh-CN"/>
        </w:rPr>
        <w:t>6</w:t>
      </w:r>
      <w:r>
        <w:rPr>
          <w:rStyle w:val="47"/>
          <w:rFonts w:hint="eastAsia" w:ascii="仿宋" w:hAnsi="仿宋" w:eastAsia="仿宋" w:cs="仿宋"/>
          <w:color w:val="auto"/>
          <w:sz w:val="32"/>
          <w:szCs w:val="32"/>
        </w:rPr>
        <w:t>t/a、NOx</w:t>
      </w:r>
      <w:r>
        <w:rPr>
          <w:rStyle w:val="47"/>
          <w:rFonts w:hint="eastAsia" w:ascii="仿宋" w:hAnsi="仿宋" w:eastAsia="仿宋" w:cs="仿宋"/>
          <w:color w:val="auto"/>
          <w:sz w:val="32"/>
          <w:szCs w:val="32"/>
          <w:lang w:eastAsia="zh-CN"/>
        </w:rPr>
        <w:t>：</w:t>
      </w:r>
      <w:r>
        <w:rPr>
          <w:rStyle w:val="47"/>
          <w:rFonts w:hint="eastAsia" w:ascii="仿宋" w:hAnsi="仿宋" w:eastAsia="仿宋" w:cs="仿宋"/>
          <w:color w:val="auto"/>
          <w:sz w:val="32"/>
          <w:szCs w:val="32"/>
        </w:rPr>
        <w:t>0.5</w:t>
      </w:r>
      <w:r>
        <w:rPr>
          <w:rStyle w:val="47"/>
          <w:rFonts w:hint="eastAsia" w:ascii="仿宋" w:hAnsi="仿宋" w:eastAsia="仿宋" w:cs="仿宋"/>
          <w:color w:val="auto"/>
          <w:sz w:val="32"/>
          <w:szCs w:val="32"/>
          <w:lang w:val="en-US" w:eastAsia="zh-CN"/>
        </w:rPr>
        <w:t>6</w:t>
      </w:r>
      <w:r>
        <w:rPr>
          <w:rStyle w:val="47"/>
          <w:rFonts w:hint="eastAsia" w:ascii="仿宋" w:hAnsi="仿宋" w:eastAsia="仿宋" w:cs="仿宋"/>
          <w:color w:val="auto"/>
          <w:sz w:val="32"/>
          <w:szCs w:val="32"/>
        </w:rPr>
        <w:t>t/a、</w:t>
      </w:r>
    </w:p>
    <w:p w14:paraId="40664F74">
      <w:pPr>
        <w:pStyle w:val="2"/>
        <w:ind w:left="0" w:leftChars="0" w:firstLine="0" w:firstLineChars="0"/>
        <w:rPr>
          <w:rStyle w:val="47"/>
          <w:rFonts w:hint="default" w:ascii="仿宋" w:hAnsi="仿宋" w:eastAsia="仿宋" w:cs="仿宋"/>
          <w:color w:val="auto"/>
          <w:sz w:val="32"/>
          <w:szCs w:val="32"/>
          <w:lang w:val="en-US" w:eastAsia="zh-CN"/>
        </w:rPr>
      </w:pPr>
      <w:r>
        <w:rPr>
          <w:rStyle w:val="47"/>
          <w:rFonts w:hint="eastAsia" w:ascii="仿宋" w:hAnsi="仿宋" w:eastAsia="仿宋" w:cs="仿宋"/>
          <w:color w:val="auto"/>
          <w:sz w:val="32"/>
          <w:szCs w:val="32"/>
          <w:lang w:val="en-US" w:eastAsia="zh-CN"/>
        </w:rPr>
        <w:t>COD：0.15、NH3-N：0.07</w:t>
      </w:r>
    </w:p>
    <w:p w14:paraId="6859CC51">
      <w:pPr>
        <w:pStyle w:val="2"/>
        <w:ind w:firstLine="640"/>
        <w:rPr>
          <w:rFonts w:eastAsia="仿宋"/>
        </w:rPr>
      </w:pPr>
      <w:r>
        <w:rPr>
          <w:rStyle w:val="47"/>
          <w:rFonts w:hint="eastAsia" w:ascii="仿宋" w:hAnsi="仿宋" w:eastAsia="仿宋" w:cs="仿宋"/>
          <w:color w:val="auto"/>
          <w:sz w:val="32"/>
          <w:szCs w:val="32"/>
        </w:rPr>
        <w:t>（六）</w:t>
      </w:r>
      <w:r>
        <w:rPr>
          <w:rStyle w:val="47"/>
          <w:rFonts w:hint="eastAsia" w:ascii="仿宋" w:hAnsi="仿宋" w:eastAsia="仿宋" w:cs="仿宋"/>
          <w:color w:val="auto"/>
          <w:sz w:val="32"/>
          <w:szCs w:val="32"/>
          <w:lang w:val="en-US" w:eastAsia="zh-CN"/>
        </w:rPr>
        <w:t>该</w:t>
      </w:r>
      <w:r>
        <w:rPr>
          <w:rStyle w:val="47"/>
          <w:rFonts w:hint="eastAsia" w:ascii="仿宋" w:hAnsi="仿宋" w:eastAsia="仿宋" w:cs="仿宋"/>
          <w:color w:val="auto"/>
          <w:sz w:val="32"/>
          <w:szCs w:val="32"/>
        </w:rPr>
        <w:t>项目涉及辐射环境影响必须另行环评和报批。</w:t>
      </w:r>
    </w:p>
    <w:p w14:paraId="67380198">
      <w:pPr>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三、加强日常环境管理。建设单位应安排专职环保管理人员，建立健全环境管理制度，制定有效的风险防范措施和应急预案，防止发生环境风险事故。</w:t>
      </w:r>
      <w:bookmarkStart w:id="1" w:name="_GoBack"/>
      <w:bookmarkEnd w:id="1"/>
    </w:p>
    <w:p w14:paraId="4F9AA783">
      <w:pPr>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四、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14:paraId="4B30B245">
      <w:pPr>
        <w:adjustRightInd w:val="0"/>
        <w:snapToGrid w:val="0"/>
        <w:spacing w:line="600" w:lineRule="exact"/>
        <w:ind w:firstLine="640" w:firstLineChars="200"/>
        <w:rPr>
          <w:rStyle w:val="47"/>
          <w:rFonts w:ascii="仿宋" w:hAnsi="仿宋" w:eastAsia="仿宋" w:cs="仿宋"/>
          <w:color w:val="auto"/>
          <w:sz w:val="32"/>
          <w:szCs w:val="32"/>
        </w:rPr>
      </w:pPr>
      <w:r>
        <w:rPr>
          <w:rStyle w:val="47"/>
          <w:rFonts w:hint="eastAsia" w:ascii="仿宋" w:hAnsi="仿宋" w:eastAsia="仿宋" w:cs="仿宋"/>
          <w:color w:val="auto"/>
          <w:sz w:val="32"/>
          <w:szCs w:val="32"/>
        </w:rPr>
        <w:t xml:space="preserve">        </w:t>
      </w:r>
      <w:r>
        <w:rPr>
          <w:rFonts w:hint="eastAsia" w:ascii="仿宋_GB2312" w:eastAsia="仿宋_GB2312"/>
          <w:sz w:val="32"/>
          <w:szCs w:val="32"/>
        </w:rPr>
        <w:t xml:space="preserve">                  </w:t>
      </w:r>
    </w:p>
    <w:p w14:paraId="67D90F5A">
      <w:pPr>
        <w:adjustRightInd w:val="0"/>
        <w:snapToGrid w:val="0"/>
        <w:spacing w:line="600" w:lineRule="exact"/>
        <w:rPr>
          <w:rStyle w:val="47"/>
          <w:rFonts w:ascii="仿宋" w:hAnsi="仿宋" w:eastAsia="仿宋" w:cs="仿宋"/>
          <w:color w:val="auto"/>
          <w:sz w:val="32"/>
          <w:szCs w:val="32"/>
        </w:rPr>
      </w:pPr>
    </w:p>
    <w:p w14:paraId="3CC87F1D">
      <w:pPr>
        <w:adjustRightInd w:val="0"/>
        <w:snapToGrid w:val="0"/>
        <w:spacing w:line="600" w:lineRule="exact"/>
        <w:jc w:val="right"/>
        <w:rPr>
          <w:rFonts w:ascii="仿宋" w:hAnsi="仿宋" w:eastAsia="仿宋" w:cs="仿宋"/>
          <w:sz w:val="32"/>
          <w:szCs w:val="32"/>
        </w:rPr>
      </w:pPr>
      <w:r>
        <w:rPr>
          <w:rStyle w:val="47"/>
          <w:rFonts w:hint="eastAsia" w:ascii="仿宋" w:hAnsi="仿宋" w:eastAsia="仿宋" w:cs="仿宋"/>
          <w:color w:val="auto"/>
          <w:sz w:val="32"/>
          <w:szCs w:val="32"/>
        </w:rPr>
        <w:t xml:space="preserve">                    </w:t>
      </w:r>
      <w:r>
        <w:rPr>
          <w:rFonts w:hint="eastAsia" w:ascii="仿宋" w:hAnsi="仿宋" w:eastAsia="仿宋" w:cs="仿宋"/>
          <w:sz w:val="32"/>
          <w:szCs w:val="32"/>
        </w:rPr>
        <w:t xml:space="preserve">        衡阳市生态环境局</w:t>
      </w:r>
    </w:p>
    <w:p w14:paraId="149A91BC">
      <w:pPr>
        <w:spacing w:line="600" w:lineRule="exact"/>
        <w:jc w:val="right"/>
        <w:rPr>
          <w:rFonts w:ascii="仿宋" w:hAnsi="仿宋" w:eastAsia="仿宋" w:cs="仿宋"/>
          <w:b/>
          <w:bCs/>
          <w:sz w:val="32"/>
          <w:szCs w:val="32"/>
        </w:rPr>
      </w:pPr>
      <w:r>
        <w:rPr>
          <w:rFonts w:hint="eastAsia" w:ascii="仿宋" w:hAnsi="仿宋" w:eastAsia="仿宋" w:cs="仿宋"/>
          <w:sz w:val="32"/>
          <w:szCs w:val="32"/>
        </w:rPr>
        <w:t xml:space="preserve">                         2024年</w:t>
      </w:r>
      <w:r>
        <w:rPr>
          <w:rFonts w:hint="eastAsia" w:ascii="仿宋" w:hAnsi="仿宋" w:eastAsia="仿宋" w:cs="仿宋"/>
          <w:sz w:val="32"/>
          <w:szCs w:val="32"/>
          <w:lang w:val="en-US" w:eastAsia="zh-CN"/>
        </w:rPr>
        <w:t>7</w:t>
      </w:r>
      <w:r>
        <w:rPr>
          <w:rFonts w:hint="eastAsia" w:ascii="仿宋" w:hAnsi="仿宋" w:eastAsia="仿宋" w:cs="仿宋"/>
          <w:sz w:val="32"/>
          <w:szCs w:val="32"/>
        </w:rPr>
        <w:t>月</w:t>
      </w:r>
      <w:r>
        <w:rPr>
          <w:rFonts w:hint="eastAsia" w:ascii="仿宋" w:hAnsi="仿宋" w:eastAsia="仿宋" w:cs="仿宋"/>
          <w:sz w:val="32"/>
          <w:szCs w:val="32"/>
          <w:lang w:val="en-US" w:eastAsia="zh-CN"/>
        </w:rPr>
        <w:t>5</w:t>
      </w:r>
      <w:r>
        <w:rPr>
          <w:rFonts w:hint="eastAsia" w:ascii="仿宋" w:hAnsi="仿宋" w:eastAsia="仿宋" w:cs="仿宋"/>
          <w:sz w:val="32"/>
          <w:szCs w:val="32"/>
        </w:rPr>
        <w:t>日</w:t>
      </w:r>
    </w:p>
    <w:p w14:paraId="472219B4"/>
    <w:sectPr>
      <w:footerReference r:id="rId3" w:type="default"/>
      <w:pgSz w:w="11906" w:h="16838"/>
      <w:pgMar w:top="1440"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299A7">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845B5C">
                          <w:pPr>
                            <w:pStyle w:val="17"/>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8845B5C">
                    <w:pPr>
                      <w:pStyle w:val="17"/>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1E4CA2"/>
    <w:multiLevelType w:val="singleLevel"/>
    <w:tmpl w:val="A51E4CA2"/>
    <w:lvl w:ilvl="0" w:tentative="0">
      <w:start w:val="1"/>
      <w:numFmt w:val="decimal"/>
      <w:pStyle w:val="46"/>
      <w:suff w:val="nothing"/>
      <w:lvlText w:val="%1、"/>
      <w:lvlJc w:val="left"/>
    </w:lvl>
  </w:abstractNum>
  <w:abstractNum w:abstractNumId="1">
    <w:nsid w:val="EBADA63C"/>
    <w:multiLevelType w:val="singleLevel"/>
    <w:tmpl w:val="EBADA63C"/>
    <w:lvl w:ilvl="0" w:tentative="0">
      <w:start w:val="1"/>
      <w:numFmt w:val="chineseCounting"/>
      <w:suff w:val="nothing"/>
      <w:lvlText w:val="%1、"/>
      <w:lvlJc w:val="left"/>
      <w:rPr>
        <w:rFonts w:hint="eastAsia"/>
      </w:rPr>
    </w:lvl>
  </w:abstractNum>
  <w:abstractNum w:abstractNumId="2">
    <w:nsid w:val="0000000C"/>
    <w:multiLevelType w:val="singleLevel"/>
    <w:tmpl w:val="0000000C"/>
    <w:lvl w:ilvl="0" w:tentative="0">
      <w:start w:val="1"/>
      <w:numFmt w:val="bullet"/>
      <w:pStyle w:val="14"/>
      <w:lvlText w:val=""/>
      <w:lvlJc w:val="left"/>
      <w:pPr>
        <w:tabs>
          <w:tab w:val="left" w:pos="2040"/>
        </w:tabs>
        <w:ind w:left="2040" w:hanging="360"/>
      </w:pPr>
      <w:rPr>
        <w:rFonts w:hint="default" w:ascii="Wingdings" w:hAnsi="Wingdings"/>
      </w:rPr>
    </w:lvl>
  </w:abstractNum>
  <w:abstractNum w:abstractNumId="3">
    <w:nsid w:val="1ECBA01E"/>
    <w:multiLevelType w:val="multilevel"/>
    <w:tmpl w:val="1ECBA01E"/>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Restart w:val="1"/>
      <w:lvlText w:val="表%1-%5 "/>
      <w:lvlJc w:val="left"/>
      <w:pPr>
        <w:ind w:left="1008" w:hanging="1008"/>
      </w:pPr>
      <w:rPr>
        <w:rFonts w:hint="default" w:ascii="宋体" w:hAnsi="宋体" w:eastAsia="宋体" w:cs="宋体"/>
      </w:rPr>
    </w:lvl>
    <w:lvl w:ilvl="5" w:tentative="0">
      <w:start w:val="1"/>
      <w:numFmt w:val="decimal"/>
      <w:pStyle w:val="8"/>
      <w:lvlText w:val="图%1-%6 "/>
      <w:lvlJc w:val="left"/>
      <w:pPr>
        <w:ind w:left="1151" w:hanging="1151"/>
      </w:pPr>
      <w:rPr>
        <w:rFonts w:hint="default" w:ascii="宋体" w:hAnsi="宋体" w:eastAsia="宋体" w:cs="宋体"/>
      </w:rPr>
    </w:lvl>
    <w:lvl w:ilvl="6" w:tentative="0">
      <w:start w:val="1"/>
      <w:numFmt w:val="decimal"/>
      <w:pStyle w:val="9"/>
      <w:lvlText w:val="%1.%2.%3.%4.%5.%6.%7."/>
      <w:lvlJc w:val="left"/>
      <w:pPr>
        <w:ind w:left="1296" w:hanging="1296"/>
      </w:pPr>
      <w:rPr>
        <w:rFonts w:hint="default"/>
      </w:rPr>
    </w:lvl>
    <w:lvl w:ilvl="7" w:tentative="0">
      <w:start w:val="1"/>
      <w:numFmt w:val="decimal"/>
      <w:pStyle w:val="10"/>
      <w:lvlText w:val="%1.%2.%3.%4.%5.%6.%7.%8."/>
      <w:lvlJc w:val="left"/>
      <w:pPr>
        <w:ind w:left="1440" w:hanging="1440"/>
      </w:pPr>
      <w:rPr>
        <w:rFonts w:hint="default"/>
      </w:rPr>
    </w:lvl>
    <w:lvl w:ilvl="8" w:tentative="0">
      <w:start w:val="1"/>
      <w:numFmt w:val="decimal"/>
      <w:pStyle w:val="11"/>
      <w:lvlText w:val="%1.%2.%3.%4.%5.%6.%7.%8.%9."/>
      <w:lvlJc w:val="left"/>
      <w:pPr>
        <w:ind w:left="1583" w:hanging="1583"/>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6013A8"/>
    <w:rsid w:val="0011386E"/>
    <w:rsid w:val="001564F4"/>
    <w:rsid w:val="00214189"/>
    <w:rsid w:val="00235E53"/>
    <w:rsid w:val="00283568"/>
    <w:rsid w:val="002F6FD1"/>
    <w:rsid w:val="003E3BE1"/>
    <w:rsid w:val="00433143"/>
    <w:rsid w:val="004B23E3"/>
    <w:rsid w:val="005A40B4"/>
    <w:rsid w:val="005D2EA4"/>
    <w:rsid w:val="005E4F05"/>
    <w:rsid w:val="006013A8"/>
    <w:rsid w:val="007053B3"/>
    <w:rsid w:val="00765EB8"/>
    <w:rsid w:val="00786C7F"/>
    <w:rsid w:val="0079429C"/>
    <w:rsid w:val="00796200"/>
    <w:rsid w:val="007B4753"/>
    <w:rsid w:val="007F0C19"/>
    <w:rsid w:val="00862629"/>
    <w:rsid w:val="009A0971"/>
    <w:rsid w:val="009A5EA5"/>
    <w:rsid w:val="00A3436C"/>
    <w:rsid w:val="00B910B0"/>
    <w:rsid w:val="00BC529F"/>
    <w:rsid w:val="00D178E5"/>
    <w:rsid w:val="00DE40FF"/>
    <w:rsid w:val="00E530A6"/>
    <w:rsid w:val="00F35EC2"/>
    <w:rsid w:val="04662176"/>
    <w:rsid w:val="06085B78"/>
    <w:rsid w:val="07143F1F"/>
    <w:rsid w:val="079928AB"/>
    <w:rsid w:val="0C24583E"/>
    <w:rsid w:val="10887908"/>
    <w:rsid w:val="11595BDD"/>
    <w:rsid w:val="15233BEB"/>
    <w:rsid w:val="1A4542FD"/>
    <w:rsid w:val="1C053D3A"/>
    <w:rsid w:val="1E1945FE"/>
    <w:rsid w:val="1F3014A2"/>
    <w:rsid w:val="20EC1F03"/>
    <w:rsid w:val="2238234F"/>
    <w:rsid w:val="236D4403"/>
    <w:rsid w:val="281378B1"/>
    <w:rsid w:val="28E27C90"/>
    <w:rsid w:val="2B96058E"/>
    <w:rsid w:val="2E837EE4"/>
    <w:rsid w:val="300A6857"/>
    <w:rsid w:val="34BD3B5F"/>
    <w:rsid w:val="38D02CC2"/>
    <w:rsid w:val="3900497F"/>
    <w:rsid w:val="3B760E9F"/>
    <w:rsid w:val="3EFA6EDE"/>
    <w:rsid w:val="3F3F2B0B"/>
    <w:rsid w:val="40266A11"/>
    <w:rsid w:val="43C1117B"/>
    <w:rsid w:val="446B7428"/>
    <w:rsid w:val="44F43B9C"/>
    <w:rsid w:val="470F2F33"/>
    <w:rsid w:val="48DD3AFF"/>
    <w:rsid w:val="4BB91895"/>
    <w:rsid w:val="4D011BD6"/>
    <w:rsid w:val="4DCF4404"/>
    <w:rsid w:val="50EB3DFB"/>
    <w:rsid w:val="550B2446"/>
    <w:rsid w:val="579C1EF8"/>
    <w:rsid w:val="58FF3455"/>
    <w:rsid w:val="5A355835"/>
    <w:rsid w:val="5C8663C5"/>
    <w:rsid w:val="5D711142"/>
    <w:rsid w:val="61866447"/>
    <w:rsid w:val="63B219B9"/>
    <w:rsid w:val="65B03099"/>
    <w:rsid w:val="66FD5574"/>
    <w:rsid w:val="6A4A4910"/>
    <w:rsid w:val="6C884CE3"/>
    <w:rsid w:val="716A6346"/>
    <w:rsid w:val="72F773E8"/>
    <w:rsid w:val="750072CF"/>
    <w:rsid w:val="758535B9"/>
    <w:rsid w:val="7770369F"/>
    <w:rsid w:val="7F5E3F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25"/>
    <w:autoRedefine/>
    <w:qFormat/>
    <w:uiPriority w:val="0"/>
    <w:pPr>
      <w:keepNext/>
      <w:keepLines/>
      <w:spacing w:line="360" w:lineRule="auto"/>
      <w:jc w:val="left"/>
      <w:outlineLvl w:val="0"/>
    </w:pPr>
    <w:rPr>
      <w:rFonts w:ascii="Times New Roman" w:hAnsi="Times New Roman" w:eastAsia="宋体" w:cs="Times New Roman"/>
      <w:b/>
      <w:bCs/>
      <w:kern w:val="44"/>
      <w:sz w:val="30"/>
      <w:szCs w:val="44"/>
    </w:rPr>
  </w:style>
  <w:style w:type="paragraph" w:styleId="4">
    <w:name w:val="heading 2"/>
    <w:basedOn w:val="1"/>
    <w:next w:val="1"/>
    <w:link w:val="32"/>
    <w:autoRedefine/>
    <w:unhideWhenUsed/>
    <w:qFormat/>
    <w:uiPriority w:val="0"/>
    <w:pPr>
      <w:keepLines/>
      <w:spacing w:line="413" w:lineRule="auto"/>
      <w:jc w:val="left"/>
      <w:outlineLvl w:val="1"/>
    </w:pPr>
    <w:rPr>
      <w:rFonts w:ascii="Times New Roman" w:hAnsi="Times New Roman" w:eastAsia="宋体" w:cs="Times New Roman"/>
      <w:b/>
      <w:sz w:val="28"/>
      <w:szCs w:val="22"/>
    </w:rPr>
  </w:style>
  <w:style w:type="paragraph" w:styleId="5">
    <w:name w:val="heading 3"/>
    <w:basedOn w:val="1"/>
    <w:next w:val="1"/>
    <w:link w:val="35"/>
    <w:autoRedefine/>
    <w:unhideWhenUsed/>
    <w:qFormat/>
    <w:uiPriority w:val="0"/>
    <w:pPr>
      <w:keepNext/>
      <w:keepLines/>
      <w:jc w:val="left"/>
      <w:outlineLvl w:val="2"/>
    </w:pPr>
    <w:rPr>
      <w:rFonts w:ascii="Times New Roman" w:hAnsi="Times New Roman" w:eastAsia="宋体" w:cs="Times New Roman"/>
      <w:b/>
      <w:sz w:val="24"/>
      <w:szCs w:val="22"/>
    </w:rPr>
  </w:style>
  <w:style w:type="paragraph" w:styleId="6">
    <w:name w:val="heading 4"/>
    <w:basedOn w:val="1"/>
    <w:next w:val="1"/>
    <w:autoRedefine/>
    <w:unhideWhenUsed/>
    <w:qFormat/>
    <w:uiPriority w:val="0"/>
    <w:pPr>
      <w:keepNext/>
      <w:keepLines/>
      <w:spacing w:before="140" w:after="140"/>
      <w:ind w:left="864" w:hanging="864"/>
      <w:jc w:val="left"/>
      <w:outlineLvl w:val="3"/>
    </w:pPr>
    <w:rPr>
      <w:rFonts w:ascii="Times New Roman" w:hAnsi="Times New Roman" w:eastAsia="宋体"/>
      <w:b/>
      <w:sz w:val="24"/>
    </w:rPr>
  </w:style>
  <w:style w:type="paragraph" w:styleId="7">
    <w:name w:val="heading 5"/>
    <w:basedOn w:val="1"/>
    <w:next w:val="1"/>
    <w:autoRedefine/>
    <w:unhideWhenUsed/>
    <w:qFormat/>
    <w:uiPriority w:val="0"/>
    <w:pPr>
      <w:keepNext/>
      <w:keepLines/>
      <w:spacing w:line="360" w:lineRule="auto"/>
      <w:ind w:firstLine="1044" w:firstLineChars="200"/>
      <w:jc w:val="left"/>
      <w:outlineLvl w:val="4"/>
    </w:pPr>
    <w:rPr>
      <w:rFonts w:ascii="Times New Roman" w:hAnsi="Times New Roman" w:eastAsia="宋体" w:cs="Times New Roman"/>
      <w:b/>
      <w:sz w:val="24"/>
    </w:rPr>
  </w:style>
  <w:style w:type="paragraph" w:styleId="8">
    <w:name w:val="heading 6"/>
    <w:basedOn w:val="1"/>
    <w:next w:val="1"/>
    <w:autoRedefine/>
    <w:unhideWhenUsed/>
    <w:qFormat/>
    <w:uiPriority w:val="0"/>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1"/>
    <w:autoRedefine/>
    <w:unhideWhenUsed/>
    <w:qFormat/>
    <w:uiPriority w:val="0"/>
    <w:pPr>
      <w:keepNext/>
      <w:keepLines/>
      <w:numPr>
        <w:ilvl w:val="6"/>
        <w:numId w:val="1"/>
      </w:numPr>
      <w:spacing w:before="240" w:after="64" w:line="317" w:lineRule="auto"/>
      <w:outlineLvl w:val="6"/>
    </w:pPr>
    <w:rPr>
      <w:b/>
      <w:sz w:val="24"/>
    </w:rPr>
  </w:style>
  <w:style w:type="paragraph" w:styleId="10">
    <w:name w:val="heading 8"/>
    <w:basedOn w:val="1"/>
    <w:next w:val="1"/>
    <w:autoRedefine/>
    <w:unhideWhenUsed/>
    <w:qFormat/>
    <w:uiPriority w:val="0"/>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1"/>
    <w:autoRedefine/>
    <w:unhideWhenUsed/>
    <w:qFormat/>
    <w:uiPriority w:val="0"/>
    <w:pPr>
      <w:keepNext/>
      <w:keepLines/>
      <w:numPr>
        <w:ilvl w:val="8"/>
        <w:numId w:val="1"/>
      </w:numPr>
      <w:spacing w:before="240" w:after="64" w:line="317" w:lineRule="auto"/>
      <w:outlineLvl w:val="8"/>
    </w:pPr>
    <w:rPr>
      <w:rFonts w:ascii="Arial" w:hAnsi="Arial" w:eastAsia="黑体"/>
    </w:rPr>
  </w:style>
  <w:style w:type="character" w:default="1" w:styleId="23">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customStyle="1" w:styleId="2">
    <w:name w:val="0正文唐"/>
    <w:basedOn w:val="1"/>
    <w:link w:val="40"/>
    <w:autoRedefine/>
    <w:qFormat/>
    <w:uiPriority w:val="0"/>
    <w:pPr>
      <w:spacing w:line="360" w:lineRule="auto"/>
      <w:ind w:firstLine="720" w:firstLineChars="200"/>
      <w:jc w:val="left"/>
    </w:pPr>
    <w:rPr>
      <w:rFonts w:ascii="Times New Roman" w:hAnsi="Times New Roman" w:eastAsia="宋体" w:cs="Times New Roman"/>
      <w:sz w:val="28"/>
    </w:rPr>
  </w:style>
  <w:style w:type="paragraph" w:styleId="12">
    <w:name w:val="Normal Indent"/>
    <w:basedOn w:val="1"/>
    <w:autoRedefine/>
    <w:qFormat/>
    <w:uiPriority w:val="0"/>
    <w:pPr>
      <w:ind w:firstLine="420" w:firstLineChars="200"/>
    </w:pPr>
  </w:style>
  <w:style w:type="paragraph" w:styleId="13">
    <w:name w:val="Body Text"/>
    <w:basedOn w:val="1"/>
    <w:next w:val="14"/>
    <w:link w:val="33"/>
    <w:autoRedefine/>
    <w:qFormat/>
    <w:uiPriority w:val="0"/>
    <w:pPr>
      <w:widowControl/>
      <w:snapToGrid w:val="0"/>
      <w:spacing w:line="260" w:lineRule="auto"/>
      <w:ind w:right="113"/>
    </w:pPr>
    <w:rPr>
      <w:rFonts w:ascii="Times New Roman" w:hAnsi="Times New Roman" w:eastAsia="宋体"/>
      <w:kern w:val="0"/>
      <w:sz w:val="18"/>
      <w:szCs w:val="20"/>
    </w:rPr>
  </w:style>
  <w:style w:type="paragraph" w:styleId="14">
    <w:name w:val="List Bullet 5"/>
    <w:basedOn w:val="1"/>
    <w:autoRedefine/>
    <w:qFormat/>
    <w:uiPriority w:val="0"/>
    <w:pPr>
      <w:numPr>
        <w:ilvl w:val="0"/>
        <w:numId w:val="2"/>
      </w:numPr>
    </w:pPr>
  </w:style>
  <w:style w:type="paragraph" w:styleId="15">
    <w:name w:val="Body Text Indent"/>
    <w:basedOn w:val="1"/>
    <w:autoRedefine/>
    <w:qFormat/>
    <w:uiPriority w:val="0"/>
    <w:pPr>
      <w:spacing w:after="120"/>
      <w:ind w:left="420" w:leftChars="200"/>
    </w:pPr>
  </w:style>
  <w:style w:type="paragraph" w:styleId="16">
    <w:name w:val="Body Text Indent 2"/>
    <w:basedOn w:val="1"/>
    <w:next w:val="1"/>
    <w:link w:val="37"/>
    <w:autoRedefine/>
    <w:qFormat/>
    <w:uiPriority w:val="0"/>
    <w:pPr>
      <w:tabs>
        <w:tab w:val="left" w:pos="0"/>
      </w:tabs>
      <w:spacing w:line="360" w:lineRule="auto"/>
      <w:jc w:val="center"/>
    </w:pPr>
    <w:rPr>
      <w:rFonts w:ascii="Times New Roman" w:hAnsi="Times New Roman" w:eastAsia="宋体" w:cs="Times New Roman"/>
      <w:b/>
      <w:szCs w:val="22"/>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header"/>
    <w:basedOn w:val="1"/>
    <w:link w:val="39"/>
    <w:autoRedefine/>
    <w:qFormat/>
    <w:uiPriority w:val="0"/>
    <w:pPr>
      <w:pBdr>
        <w:bottom w:val="single" w:color="auto" w:sz="6" w:space="1"/>
      </w:pBdr>
      <w:tabs>
        <w:tab w:val="center" w:pos="4153"/>
        <w:tab w:val="right" w:pos="8306"/>
      </w:tabs>
      <w:jc w:val="center"/>
    </w:pPr>
    <w:rPr>
      <w:rFonts w:ascii="Times New Roman" w:hAnsi="Times New Roman" w:eastAsia="宋体"/>
      <w:sz w:val="18"/>
      <w:szCs w:val="18"/>
    </w:rPr>
  </w:style>
  <w:style w:type="paragraph" w:styleId="19">
    <w:name w:val="table of figures"/>
    <w:basedOn w:val="1"/>
    <w:next w:val="1"/>
    <w:autoRedefine/>
    <w:qFormat/>
    <w:uiPriority w:val="0"/>
    <w:pPr>
      <w:ind w:left="200" w:leftChars="200" w:hanging="200" w:hangingChars="200"/>
    </w:pPr>
  </w:style>
  <w:style w:type="paragraph" w:styleId="20">
    <w:name w:val="Title"/>
    <w:basedOn w:val="1"/>
    <w:autoRedefine/>
    <w:qFormat/>
    <w:uiPriority w:val="0"/>
    <w:pPr>
      <w:spacing w:before="240" w:after="60"/>
      <w:jc w:val="center"/>
      <w:outlineLvl w:val="0"/>
    </w:pPr>
    <w:rPr>
      <w:rFonts w:ascii="Arial" w:hAnsi="Arial"/>
      <w:b/>
      <w:sz w:val="32"/>
    </w:rPr>
  </w:style>
  <w:style w:type="paragraph" w:styleId="21">
    <w:name w:val="Body Text First Indent 2"/>
    <w:basedOn w:val="15"/>
    <w:autoRedefine/>
    <w:qFormat/>
    <w:uiPriority w:val="0"/>
    <w:pPr>
      <w:spacing w:line="360" w:lineRule="auto"/>
      <w:ind w:left="0" w:leftChars="0"/>
    </w:pPr>
    <w:rPr>
      <w:rFonts w:ascii="Times New Roman" w:hAnsi="Times New Roman" w:eastAsia="宋体"/>
    </w:rPr>
  </w:style>
  <w:style w:type="paragraph" w:customStyle="1" w:styleId="24">
    <w:name w:val="Default"/>
    <w:basedOn w:val="1"/>
    <w:next w:val="21"/>
    <w:autoRedefine/>
    <w:qFormat/>
    <w:uiPriority w:val="0"/>
    <w:pPr>
      <w:autoSpaceDE w:val="0"/>
      <w:autoSpaceDN w:val="0"/>
      <w:adjustRightInd w:val="0"/>
      <w:spacing w:line="360" w:lineRule="auto"/>
    </w:pPr>
    <w:rPr>
      <w:rFonts w:hint="eastAsia" w:ascii="宋体" w:hAnsi="宋体" w:eastAsia="宋体"/>
      <w:color w:val="000000"/>
    </w:rPr>
  </w:style>
  <w:style w:type="character" w:customStyle="1" w:styleId="25">
    <w:name w:val="标题 1 Char"/>
    <w:link w:val="3"/>
    <w:autoRedefine/>
    <w:qFormat/>
    <w:uiPriority w:val="99"/>
    <w:rPr>
      <w:rFonts w:ascii="Times New Roman" w:hAnsi="Times New Roman" w:eastAsia="宋体" w:cs="Times New Roman"/>
      <w:b/>
      <w:kern w:val="44"/>
      <w:sz w:val="30"/>
    </w:rPr>
  </w:style>
  <w:style w:type="paragraph" w:customStyle="1" w:styleId="26">
    <w:name w:val="正文5号"/>
    <w:basedOn w:val="1"/>
    <w:autoRedefine/>
    <w:qFormat/>
    <w:uiPriority w:val="0"/>
    <w:pPr>
      <w:spacing w:line="360" w:lineRule="auto"/>
      <w:ind w:firstLine="422" w:firstLineChars="200"/>
    </w:pPr>
    <w:rPr>
      <w:rFonts w:ascii="Times New Roman" w:hAnsi="Times New Roman"/>
      <w:bCs/>
      <w:kern w:val="24"/>
      <w:szCs w:val="21"/>
    </w:rPr>
  </w:style>
  <w:style w:type="paragraph" w:customStyle="1" w:styleId="27">
    <w:name w:val="正文5号-缩进2"/>
    <w:basedOn w:val="1"/>
    <w:autoRedefine/>
    <w:qFormat/>
    <w:uiPriority w:val="0"/>
    <w:pPr>
      <w:autoSpaceDE w:val="0"/>
      <w:autoSpaceDN w:val="0"/>
      <w:adjustRightInd w:val="0"/>
      <w:snapToGrid w:val="0"/>
      <w:spacing w:line="360" w:lineRule="auto"/>
      <w:ind w:firstLine="420" w:firstLineChars="200"/>
    </w:pPr>
    <w:rPr>
      <w:rFonts w:ascii="Times New Roman" w:hAnsi="Times New Roman" w:cs="宋体"/>
      <w:kern w:val="0"/>
      <w:szCs w:val="21"/>
    </w:rPr>
  </w:style>
  <w:style w:type="paragraph" w:customStyle="1" w:styleId="28">
    <w:name w:val="5号-缩进2"/>
    <w:basedOn w:val="1"/>
    <w:autoRedefine/>
    <w:qFormat/>
    <w:uiPriority w:val="0"/>
    <w:pPr>
      <w:autoSpaceDE w:val="0"/>
      <w:autoSpaceDN w:val="0"/>
      <w:adjustRightInd w:val="0"/>
      <w:snapToGrid w:val="0"/>
      <w:spacing w:line="360" w:lineRule="auto"/>
      <w:ind w:firstLine="420" w:firstLineChars="200"/>
    </w:pPr>
    <w:rPr>
      <w:rFonts w:ascii="Times New Roman" w:hAnsi="Times New Roman" w:eastAsia="宋体" w:cs="宋体"/>
      <w:kern w:val="0"/>
      <w:szCs w:val="21"/>
    </w:rPr>
  </w:style>
  <w:style w:type="paragraph" w:customStyle="1" w:styleId="29">
    <w:name w:val="5号居中"/>
    <w:basedOn w:val="1"/>
    <w:autoRedefine/>
    <w:qFormat/>
    <w:uiPriority w:val="0"/>
    <w:pPr>
      <w:adjustRightInd w:val="0"/>
      <w:snapToGrid w:val="0"/>
      <w:jc w:val="center"/>
    </w:pPr>
    <w:rPr>
      <w:rFonts w:ascii="Times New Roman" w:hAnsi="Times New Roman" w:cs="宋体"/>
      <w:szCs w:val="21"/>
    </w:rPr>
  </w:style>
  <w:style w:type="paragraph" w:customStyle="1" w:styleId="30">
    <w:name w:val="表头"/>
    <w:basedOn w:val="12"/>
    <w:next w:val="1"/>
    <w:autoRedefine/>
    <w:qFormat/>
    <w:uiPriority w:val="0"/>
    <w:pPr>
      <w:autoSpaceDE w:val="0"/>
      <w:autoSpaceDN w:val="0"/>
      <w:adjustRightInd w:val="0"/>
      <w:spacing w:before="50" w:beforeLines="50"/>
      <w:ind w:firstLine="0" w:firstLineChars="0"/>
      <w:jc w:val="center"/>
      <w:textAlignment w:val="baseline"/>
    </w:pPr>
    <w:rPr>
      <w:rFonts w:ascii="Times New Roman" w:hAnsi="Times New Roman" w:eastAsia="宋体" w:cs="Times New Roman"/>
      <w:b/>
      <w:color w:val="000000"/>
      <w:szCs w:val="21"/>
    </w:rPr>
  </w:style>
  <w:style w:type="paragraph" w:customStyle="1" w:styleId="31">
    <w:name w:val="表头5号"/>
    <w:basedOn w:val="1"/>
    <w:autoRedefine/>
    <w:qFormat/>
    <w:uiPriority w:val="0"/>
    <w:pPr>
      <w:spacing w:before="50" w:beforeLines="50"/>
      <w:jc w:val="center"/>
    </w:pPr>
    <w:rPr>
      <w:rFonts w:ascii="Times New Roman" w:hAnsi="Times New Roman" w:eastAsia="宋体" w:cs="Times New Roman"/>
      <w:b/>
      <w:bCs/>
      <w:szCs w:val="21"/>
      <w:lang w:bidi="en-US"/>
    </w:rPr>
  </w:style>
  <w:style w:type="character" w:customStyle="1" w:styleId="32">
    <w:name w:val="标题 2 Char"/>
    <w:link w:val="4"/>
    <w:autoRedefine/>
    <w:qFormat/>
    <w:uiPriority w:val="0"/>
    <w:rPr>
      <w:rFonts w:ascii="Times New Roman" w:hAnsi="Times New Roman" w:eastAsia="宋体" w:cs="Times New Roman"/>
      <w:b/>
      <w:sz w:val="28"/>
      <w:szCs w:val="22"/>
    </w:rPr>
  </w:style>
  <w:style w:type="character" w:customStyle="1" w:styleId="33">
    <w:name w:val="正文文本 Char"/>
    <w:link w:val="13"/>
    <w:autoRedefine/>
    <w:qFormat/>
    <w:locked/>
    <w:uiPriority w:val="0"/>
    <w:rPr>
      <w:rFonts w:ascii="Times New Roman" w:hAnsi="Times New Roman" w:eastAsia="宋体"/>
      <w:sz w:val="18"/>
    </w:rPr>
  </w:style>
  <w:style w:type="paragraph" w:customStyle="1" w:styleId="34">
    <w:name w:val="0正文"/>
    <w:basedOn w:val="1"/>
    <w:autoRedefine/>
    <w:qFormat/>
    <w:uiPriority w:val="0"/>
    <w:pPr>
      <w:spacing w:line="360" w:lineRule="auto"/>
      <w:ind w:firstLine="1040" w:firstLineChars="200"/>
    </w:pPr>
    <w:rPr>
      <w:rFonts w:ascii="Times New Roman" w:hAnsi="Times New Roman" w:cs="Times New Roman"/>
      <w:sz w:val="24"/>
    </w:rPr>
  </w:style>
  <w:style w:type="character" w:customStyle="1" w:styleId="35">
    <w:name w:val="标题 3 Char"/>
    <w:link w:val="5"/>
    <w:autoRedefine/>
    <w:qFormat/>
    <w:uiPriority w:val="0"/>
    <w:rPr>
      <w:rFonts w:ascii="Times New Roman" w:hAnsi="Times New Roman" w:eastAsia="宋体" w:cs="Times New Roman"/>
      <w:b/>
      <w:sz w:val="28"/>
      <w:szCs w:val="30"/>
    </w:rPr>
  </w:style>
  <w:style w:type="paragraph" w:customStyle="1" w:styleId="36">
    <w:name w:val="表 标题"/>
    <w:basedOn w:val="19"/>
    <w:autoRedefine/>
    <w:qFormat/>
    <w:uiPriority w:val="0"/>
    <w:pPr>
      <w:spacing w:before="50" w:beforeLines="50"/>
      <w:ind w:left="0" w:leftChars="0" w:firstLine="0" w:firstLineChars="0"/>
      <w:jc w:val="center"/>
    </w:pPr>
    <w:rPr>
      <w:rFonts w:ascii="Times New Roman" w:hAnsi="Times New Roman" w:eastAsia="宋体" w:cs="Times New Roman"/>
      <w:b/>
      <w:szCs w:val="20"/>
    </w:rPr>
  </w:style>
  <w:style w:type="character" w:customStyle="1" w:styleId="37">
    <w:name w:val="正文文本缩进 2 Char"/>
    <w:link w:val="16"/>
    <w:autoRedefine/>
    <w:qFormat/>
    <w:uiPriority w:val="0"/>
    <w:rPr>
      <w:rFonts w:ascii="Times New Roman" w:hAnsi="Times New Roman" w:eastAsia="宋体" w:cs="Times New Roman"/>
      <w:b/>
      <w:sz w:val="21"/>
      <w:szCs w:val="22"/>
    </w:rPr>
  </w:style>
  <w:style w:type="paragraph" w:customStyle="1" w:styleId="38">
    <w:name w:val="正  文"/>
    <w:autoRedefine/>
    <w:qFormat/>
    <w:uiPriority w:val="0"/>
    <w:pPr>
      <w:widowControl w:val="0"/>
      <w:spacing w:line="360" w:lineRule="auto"/>
      <w:ind w:firstLine="200" w:firstLineChars="200"/>
    </w:pPr>
    <w:rPr>
      <w:rFonts w:ascii="Times New Roman" w:hAnsi="Times New Roman" w:eastAsia="宋体" w:cs="Times New Roman"/>
      <w:kern w:val="2"/>
      <w:sz w:val="24"/>
      <w:szCs w:val="28"/>
      <w:lang w:val="en-US" w:eastAsia="zh-CN" w:bidi="ar-SA"/>
    </w:rPr>
  </w:style>
  <w:style w:type="character" w:customStyle="1" w:styleId="39">
    <w:name w:val="页眉 Char"/>
    <w:link w:val="18"/>
    <w:autoRedefine/>
    <w:qFormat/>
    <w:uiPriority w:val="99"/>
    <w:rPr>
      <w:rFonts w:ascii="Times New Roman" w:hAnsi="Times New Roman" w:eastAsia="宋体"/>
      <w:kern w:val="2"/>
      <w:sz w:val="18"/>
      <w:szCs w:val="18"/>
    </w:rPr>
  </w:style>
  <w:style w:type="character" w:customStyle="1" w:styleId="40">
    <w:name w:val="0正文唐 Char"/>
    <w:link w:val="2"/>
    <w:autoRedefine/>
    <w:qFormat/>
    <w:uiPriority w:val="0"/>
    <w:rPr>
      <w:rFonts w:ascii="Times New Roman" w:hAnsi="Times New Roman" w:eastAsia="宋体" w:cs="Times New Roman"/>
      <w:sz w:val="28"/>
    </w:rPr>
  </w:style>
  <w:style w:type="paragraph" w:customStyle="1" w:styleId="41">
    <w:name w:val="正文-唐"/>
    <w:basedOn w:val="2"/>
    <w:autoRedefine/>
    <w:qFormat/>
    <w:uiPriority w:val="0"/>
    <w:pPr>
      <w:ind w:firstLine="600"/>
    </w:pPr>
    <w:rPr>
      <w:szCs w:val="22"/>
    </w:rPr>
  </w:style>
  <w:style w:type="paragraph" w:customStyle="1" w:styleId="42">
    <w:name w:val="自编-正文"/>
    <w:basedOn w:val="1"/>
    <w:autoRedefine/>
    <w:qFormat/>
    <w:uiPriority w:val="0"/>
    <w:pPr>
      <w:spacing w:line="360" w:lineRule="auto"/>
      <w:ind w:firstLine="480" w:firstLineChars="200"/>
      <w:jc w:val="left"/>
    </w:pPr>
    <w:rPr>
      <w:rFonts w:ascii="Times New Roman" w:hAnsi="Times New Roman" w:eastAsia="宋体" w:cs="宋体"/>
      <w:sz w:val="24"/>
    </w:rPr>
  </w:style>
  <w:style w:type="paragraph" w:customStyle="1" w:styleId="43">
    <w:name w:val="报告正文"/>
    <w:basedOn w:val="1"/>
    <w:link w:val="44"/>
    <w:autoRedefine/>
    <w:qFormat/>
    <w:uiPriority w:val="0"/>
    <w:pPr>
      <w:spacing w:line="360" w:lineRule="auto"/>
      <w:textAlignment w:val="baseline"/>
    </w:pPr>
    <w:rPr>
      <w:rFonts w:ascii="Times New Roman" w:hAnsi="Times New Roman" w:eastAsia="宋体"/>
      <w:kern w:val="24"/>
      <w:sz w:val="24"/>
    </w:rPr>
  </w:style>
  <w:style w:type="character" w:customStyle="1" w:styleId="44">
    <w:name w:val="报告正文 Char"/>
    <w:link w:val="43"/>
    <w:autoRedefine/>
    <w:qFormat/>
    <w:uiPriority w:val="0"/>
    <w:rPr>
      <w:rFonts w:ascii="Times New Roman" w:hAnsi="Times New Roman" w:eastAsia="宋体"/>
      <w:kern w:val="24"/>
      <w:sz w:val="24"/>
      <w:szCs w:val="24"/>
    </w:rPr>
  </w:style>
  <w:style w:type="paragraph" w:customStyle="1" w:styleId="45">
    <w:name w:val="表内文字"/>
    <w:basedOn w:val="1"/>
    <w:autoRedefine/>
    <w:qFormat/>
    <w:uiPriority w:val="0"/>
    <w:pPr>
      <w:jc w:val="center"/>
    </w:pPr>
    <w:rPr>
      <w:rFonts w:ascii="Times New Roman" w:hAnsi="Times New Roman" w:eastAsia="宋体" w:cs="Times New Roman"/>
      <w:bCs/>
      <w:szCs w:val="21"/>
    </w:rPr>
  </w:style>
  <w:style w:type="paragraph" w:customStyle="1" w:styleId="46">
    <w:name w:val="0验收正文"/>
    <w:basedOn w:val="2"/>
    <w:next w:val="2"/>
    <w:autoRedefine/>
    <w:qFormat/>
    <w:uiPriority w:val="0"/>
    <w:pPr>
      <w:numPr>
        <w:ilvl w:val="0"/>
        <w:numId w:val="3"/>
      </w:numPr>
      <w:jc w:val="both"/>
    </w:pPr>
    <w:rPr>
      <w:bCs/>
    </w:rPr>
  </w:style>
  <w:style w:type="character" w:customStyle="1" w:styleId="47">
    <w:name w:val="content1"/>
    <w:basedOn w:val="23"/>
    <w:autoRedefine/>
    <w:qFormat/>
    <w:uiPriority w:val="0"/>
    <w:rPr>
      <w:color w:val="000000"/>
      <w:sz w:val="20"/>
      <w:szCs w:val="20"/>
    </w:rPr>
  </w:style>
  <w:style w:type="paragraph" w:customStyle="1" w:styleId="48">
    <w:name w:val="列出段落1"/>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5</Pages>
  <Words>2071</Words>
  <Characters>2401</Characters>
  <Lines>19</Lines>
  <Paragraphs>5</Paragraphs>
  <TotalTime>5</TotalTime>
  <ScaleCrop>false</ScaleCrop>
  <LinksUpToDate>false</LinksUpToDate>
  <CharactersWithSpaces>2519</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2024-04-01T02:17:00Z</dcterms:created>
  <dc:creator>fm</dc:creator>
  <cp:lastModifiedBy>haiy(•̀⌄•́)</cp:lastModifiedBy>
  <cp:lastPrinted>2024-07-25T00:31:22Z</cp:lastPrinted>
  <dcterms:modified xsi:type="dcterms:W3CDTF">2024-07-25T00:31:28Z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520AF48FB1684B639C1F365FC8BABA72_13</vt:lpwstr>
  </property>
</Properties>
</file>