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 w:hAnsi="仿宋" w:eastAsia="仿宋" w:cs="仿宋"/>
          <w:color w:val="auto"/>
          <w:sz w:val="32"/>
          <w:szCs w:val="32"/>
        </w:rPr>
      </w:pPr>
      <w:bookmarkStart w:id="0" w:name="_GoBack"/>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19</w:t>
      </w:r>
      <w:r>
        <w:rPr>
          <w:rFonts w:hint="eastAsia" w:ascii="仿宋" w:hAnsi="仿宋" w:eastAsia="仿宋" w:cs="仿宋"/>
          <w:color w:val="auto"/>
          <w:sz w:val="32"/>
          <w:szCs w:val="32"/>
        </w:rPr>
        <w:t>号</w:t>
      </w:r>
    </w:p>
    <w:p>
      <w:pPr>
        <w:spacing w:line="600" w:lineRule="exact"/>
        <w:jc w:val="center"/>
        <w:rPr>
          <w:rFonts w:ascii="仿宋" w:hAnsi="仿宋" w:eastAsia="仿宋" w:cs="仿宋"/>
          <w:color w:val="auto"/>
          <w:sz w:val="32"/>
          <w:szCs w:val="32"/>
        </w:rPr>
      </w:pPr>
    </w:p>
    <w:bookmarkEnd w:id="0"/>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关于《衡南县双江水闸除险加固工程项目</w:t>
      </w:r>
    </w:p>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pPr>
        <w:spacing w:line="360" w:lineRule="auto"/>
        <w:rPr>
          <w:rFonts w:hint="eastAsia" w:ascii="仿宋" w:hAnsi="仿宋" w:eastAsia="仿宋" w:cs="仿宋"/>
          <w:b w:val="0"/>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你中心报送的《衡南县双江水闸除险加固工程项目环境影响报告表》（报批稿）及专家组评审意见收悉，经研究，批复如下：     </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2240万元在衡南县江口镇江州村建设衡南县双江水闸除险加固工程项目，主要建设内容包括：对溢流坝砼溢流面板及闸墩拆除重建，水闸堰体进行充填灌浆，新建上游铺盖、下游底流消能及防冲设施；新建溢流坝1#～7#泄洪平板钢闸门及启闭设备；重建水轮泵房，水轮泵站进水口设进水闸，闸前增设拦污栅；对水闸上下游新建翼墙；增设水闸水位、流量、扬压力等观测设施。本项目禁止进行河道采砂，项目施工工期8个月。该项目环境影响报告表提出的污染防治措施和生态保护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（一）严格落实水污染防治措施。项目不设施工营地，施工人员食宿依托周边农户生活设施。基坑废水经沉淀池处理后达标排放。合理选择施工期，避免雨季施工，减少水下施工时间，减少水体扰动。</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color w:val="auto"/>
          <w:kern w:val="2"/>
          <w:sz w:val="32"/>
          <w:szCs w:val="32"/>
          <w:u w:val="none"/>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color w:val="auto"/>
          <w:kern w:val="2"/>
          <w:sz w:val="32"/>
          <w:szCs w:val="32"/>
          <w:u w:val="none"/>
          <w:lang w:val="en-US" w:eastAsia="zh-CN" w:bidi="ar-SA"/>
        </w:rPr>
      </w:pPr>
      <w:r>
        <w:rPr>
          <w:rFonts w:hint="eastAsia" w:ascii="仿宋_GB2312" w:hAnsi="仿宋_GB2312" w:eastAsia="仿宋_GB2312" w:cs="仿宋_GB2312"/>
          <w:b w:val="0"/>
          <w:bCs/>
          <w:color w:val="auto"/>
          <w:kern w:val="2"/>
          <w:sz w:val="32"/>
          <w:szCs w:val="32"/>
          <w:u w:val="none"/>
          <w:lang w:val="en-US" w:eastAsia="zh-CN" w:bidi="ar-SA"/>
        </w:rPr>
        <w:t>（四）加强各类固废管理，并采取有效措施防止二次污染。施工过程中的废弃土石方转运至弃渣场堆存，并做好相关污染防治措施。</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left"/>
        <w:textAlignment w:val="auto"/>
        <w:rPr>
          <w:rFonts w:hint="eastAsia" w:ascii="仿宋_GB2312" w:hAnsi="仿宋_GB2312" w:eastAsia="仿宋_GB2312" w:cs="仿宋_GB2312"/>
          <w:b w:val="0"/>
          <w:bCs/>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2024年7月5日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9701AF"/>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860239"/>
    <w:rsid w:val="0FB030EC"/>
    <w:rsid w:val="0FF6454B"/>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261D73"/>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1CD2C98"/>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0536F7"/>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A97091"/>
    <w:rsid w:val="32CD75B6"/>
    <w:rsid w:val="32FC55D3"/>
    <w:rsid w:val="33093365"/>
    <w:rsid w:val="33562DAE"/>
    <w:rsid w:val="33BB5D83"/>
    <w:rsid w:val="342B13E8"/>
    <w:rsid w:val="344E1BDE"/>
    <w:rsid w:val="34E66A4D"/>
    <w:rsid w:val="352320EA"/>
    <w:rsid w:val="355F0639"/>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3E62C3"/>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3A4726"/>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D83F1F"/>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062CD"/>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1132</Words>
  <Characters>1162</Characters>
  <Lines>0</Lines>
  <Paragraphs>0</Paragraphs>
  <TotalTime>5</TotalTime>
  <ScaleCrop>false</ScaleCrop>
  <LinksUpToDate>false</LinksUpToDate>
  <CharactersWithSpaces>1492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2024-07-05T08:12:44Z</cp:lastPrinted>
  <dcterms:modified xsi:type="dcterms:W3CDTF">2024-07-05T08:27:22Z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DDD133BE1EDB406A9E1BCD894C7888AB_13</vt:lpwstr>
  </property>
</Properties>
</file>