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 w:cstheme="minorBidi"/>
          <w:b/>
          <w:bCs/>
          <w:color w:val="000000" w:themeColor="text1"/>
          <w:sz w:val="48"/>
          <w:szCs w:val="48"/>
          <w:lang w:val="en-US" w:eastAsia="zh-CN"/>
        </w:rPr>
      </w:pPr>
      <w:r>
        <w:rPr>
          <w:rFonts w:hint="eastAsia" w:asciiTheme="majorEastAsia" w:hAnsiTheme="majorEastAsia" w:eastAsiaTheme="majorEastAsia" w:cstheme="minorBidi"/>
          <w:b/>
          <w:bCs/>
          <w:color w:val="000000" w:themeColor="text1"/>
          <w:sz w:val="48"/>
          <w:szCs w:val="48"/>
          <w:lang w:val="en-US" w:eastAsia="zh-CN"/>
        </w:rPr>
        <w:t>衡南县信访局</w:t>
      </w:r>
    </w:p>
    <w:p>
      <w:pPr>
        <w:jc w:val="center"/>
        <w:rPr>
          <w:rFonts w:hint="eastAsia" w:asciiTheme="majorEastAsia" w:hAnsiTheme="majorEastAsia" w:eastAsiaTheme="majorEastAsia" w:cstheme="minorBidi"/>
          <w:b/>
          <w:bCs/>
          <w:color w:val="000000" w:themeColor="text1"/>
          <w:sz w:val="48"/>
          <w:szCs w:val="48"/>
          <w:lang w:val="en-US" w:eastAsia="zh-CN"/>
        </w:rPr>
      </w:pPr>
      <w:r>
        <w:rPr>
          <w:rFonts w:hint="eastAsia" w:asciiTheme="majorEastAsia" w:hAnsiTheme="majorEastAsia" w:eastAsiaTheme="majorEastAsia" w:cstheme="minorBidi"/>
          <w:b/>
          <w:bCs/>
          <w:color w:val="000000" w:themeColor="text1"/>
          <w:sz w:val="48"/>
          <w:szCs w:val="48"/>
          <w:lang w:val="en-US" w:eastAsia="zh-CN"/>
        </w:rPr>
        <w:t>2023年度部门整体支出绩效自评报告</w:t>
      </w:r>
    </w:p>
    <w:p>
      <w:pPr>
        <w:jc w:val="center"/>
        <w:rPr>
          <w:rFonts w:hint="eastAsia" w:asciiTheme="majorEastAsia" w:hAnsiTheme="majorEastAsia" w:eastAsiaTheme="majorEastAsia" w:cstheme="minorBidi"/>
          <w:b/>
          <w:bCs/>
          <w:color w:val="000000" w:themeColor="text1"/>
          <w:sz w:val="48"/>
          <w:szCs w:val="48"/>
          <w:lang w:val="en-US" w:eastAsia="zh-CN"/>
        </w:rPr>
      </w:pP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 w:cstheme="minorBidi"/>
          <w:color w:val="000000" w:themeColor="text1"/>
          <w:sz w:val="32"/>
          <w:szCs w:val="32"/>
        </w:rPr>
        <w:t>为加强财政预算资金管理，进一步规范预算资金使用，提高财政资金使用效益，根据《衡南县财政局关于开展2023年度财政资金绩效自评工作的通知》(清财绩[2024]118号)文件要求，我办积极组织，对2023年度本单位整体支出进行了绩效自评，现将具体绩效评价情况报告如下：</w:t>
      </w:r>
      <w:r>
        <w:rPr>
          <w:rFonts w:hint="eastAsia" w:ascii="仿宋" w:hAnsi="仿宋" w:eastAsia="仿宋"/>
          <w:color w:val="000000" w:themeColor="text1"/>
          <w:sz w:val="32"/>
          <w:szCs w:val="32"/>
        </w:rPr>
        <w:t> </w:t>
      </w:r>
    </w:p>
    <w:p>
      <w:pPr>
        <w:adjustRightInd w:val="0"/>
        <w:snapToGrid w:val="0"/>
        <w:spacing w:line="600" w:lineRule="exact"/>
        <w:ind w:firstLine="729" w:firstLineChars="228"/>
        <w:rPr>
          <w:rFonts w:hint="eastAsia" w:ascii="黑体" w:hAnsi="黑体" w:eastAsia="黑体" w:cstheme="minorBidi"/>
          <w:color w:val="000000" w:themeColor="text1"/>
          <w:sz w:val="32"/>
          <w:szCs w:val="32"/>
        </w:rPr>
      </w:pPr>
      <w:r>
        <w:rPr>
          <w:rFonts w:hint="eastAsia" w:ascii="黑体" w:hAnsi="黑体" w:eastAsia="黑体" w:cstheme="minorBidi"/>
          <w:color w:val="000000" w:themeColor="text1"/>
          <w:sz w:val="32"/>
          <w:szCs w:val="32"/>
        </w:rPr>
        <w:t>一、</w:t>
      </w:r>
      <w:r>
        <w:rPr>
          <w:rFonts w:hint="eastAsia" w:ascii="黑体" w:hAnsi="黑体" w:eastAsia="黑体" w:cstheme="minorBidi"/>
          <w:color w:val="000000" w:themeColor="text1"/>
          <w:sz w:val="32"/>
          <w:szCs w:val="32"/>
          <w:lang w:eastAsia="zh-CN"/>
        </w:rPr>
        <w:t>部门</w:t>
      </w:r>
      <w:r>
        <w:rPr>
          <w:rFonts w:hint="eastAsia" w:ascii="黑体" w:hAnsi="黑体" w:eastAsia="黑体" w:cstheme="minorBidi"/>
          <w:color w:val="000000" w:themeColor="text1"/>
          <w:sz w:val="32"/>
          <w:szCs w:val="32"/>
        </w:rPr>
        <w:t>基本情况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衡南县信访局为全额财政拨款单位，纳入国库集中支付体系，财务制度执行《行政单位会计制度》。</w:t>
      </w:r>
    </w:p>
    <w:p>
      <w:pPr>
        <w:spacing w:line="520" w:lineRule="exact"/>
        <w:ind w:firstLine="643" w:firstLineChars="200"/>
        <w:rPr>
          <w:rFonts w:hint="eastAsia" w:ascii="楷体" w:hAnsi="楷体" w:eastAsia="楷体" w:cs="楷体"/>
          <w:b/>
          <w:color w:val="000000" w:themeColor="text1"/>
          <w:sz w:val="32"/>
          <w:szCs w:val="32"/>
        </w:rPr>
      </w:pPr>
      <w:r>
        <w:rPr>
          <w:rFonts w:hint="eastAsia" w:ascii="楷体" w:hAnsi="楷体" w:eastAsia="楷体" w:cs="楷体"/>
          <w:b/>
          <w:color w:val="000000" w:themeColor="text1"/>
          <w:sz w:val="32"/>
          <w:szCs w:val="32"/>
        </w:rPr>
        <w:t>1、部门职责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接待来信、来访，负责上传下达，承担信访事件的复查复核，督促落实；研究、统计、分析信访情况，及时向县委、县政府提出完善政策和改进工作的建议；对全县各单位的信访工作进行指导、督促、协调、检查、考核。</w:t>
      </w:r>
    </w:p>
    <w:p>
      <w:pPr>
        <w:spacing w:line="520" w:lineRule="exact"/>
        <w:ind w:firstLine="643" w:firstLineChars="200"/>
        <w:rPr>
          <w:rFonts w:hint="eastAsia" w:ascii="楷体" w:hAnsi="楷体" w:eastAsia="楷体" w:cs="楷体"/>
          <w:b/>
          <w:color w:val="000000" w:themeColor="text1"/>
          <w:sz w:val="32"/>
          <w:szCs w:val="32"/>
        </w:rPr>
      </w:pPr>
      <w:r>
        <w:rPr>
          <w:rFonts w:hint="eastAsia" w:ascii="楷体" w:hAnsi="楷体" w:eastAsia="楷体" w:cs="楷体"/>
          <w:b/>
          <w:color w:val="000000" w:themeColor="text1"/>
          <w:sz w:val="32"/>
          <w:szCs w:val="32"/>
        </w:rPr>
        <w:t>2、机构设置情况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我局设办公室、接访股、网信股督查和复查复核股、人民来访接待中心。</w:t>
      </w:r>
    </w:p>
    <w:p>
      <w:pPr>
        <w:spacing w:line="520" w:lineRule="exact"/>
        <w:ind w:firstLine="643" w:firstLineChars="200"/>
        <w:rPr>
          <w:rFonts w:hint="eastAsia" w:ascii="楷体" w:hAnsi="楷体" w:eastAsia="楷体" w:cs="楷体"/>
          <w:b/>
          <w:color w:val="000000" w:themeColor="text1"/>
          <w:sz w:val="32"/>
          <w:szCs w:val="32"/>
        </w:rPr>
      </w:pPr>
      <w:r>
        <w:rPr>
          <w:rFonts w:hint="eastAsia" w:ascii="楷体" w:hAnsi="楷体" w:eastAsia="楷体" w:cs="楷体"/>
          <w:b/>
          <w:color w:val="000000" w:themeColor="text1"/>
          <w:sz w:val="32"/>
          <w:szCs w:val="32"/>
        </w:rPr>
        <w:t>3、人员编制情况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截止2023年底在编实有人数共计1</w:t>
      </w: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napToGrid w:val="0"/>
          <w:sz w:val="32"/>
          <w:szCs w:val="32"/>
        </w:rPr>
        <w:t>人，其中在职行政编</w:t>
      </w: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napToGrid w:val="0"/>
          <w:sz w:val="32"/>
          <w:szCs w:val="32"/>
        </w:rPr>
        <w:t>人，机关后勤服务全额事业编制</w:t>
      </w: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napToGrid w:val="0"/>
          <w:sz w:val="32"/>
          <w:szCs w:val="32"/>
        </w:rPr>
        <w:t>人，人民来访接待中心事业编制</w:t>
      </w: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napToGrid w:val="0"/>
          <w:sz w:val="32"/>
          <w:szCs w:val="32"/>
        </w:rPr>
        <w:t>人。</w:t>
      </w:r>
    </w:p>
    <w:p>
      <w:pPr>
        <w:spacing w:line="520" w:lineRule="exact"/>
        <w:ind w:firstLine="640" w:firstLineChars="200"/>
        <w:rPr>
          <w:rFonts w:hint="eastAsia" w:ascii="黑体" w:hAnsi="黑体" w:eastAsia="黑体" w:cstheme="minorBidi"/>
          <w:color w:val="000000" w:themeColor="text1"/>
          <w:sz w:val="32"/>
          <w:szCs w:val="32"/>
        </w:rPr>
      </w:pPr>
      <w:r>
        <w:rPr>
          <w:rFonts w:hint="eastAsia" w:ascii="黑体" w:hAnsi="黑体" w:eastAsia="黑体" w:cstheme="minorBidi"/>
          <w:color w:val="000000" w:themeColor="text1"/>
          <w:sz w:val="32"/>
          <w:szCs w:val="32"/>
        </w:rPr>
        <w:t>二、部门整体支出管理及使用情况</w:t>
      </w:r>
    </w:p>
    <w:p>
      <w:pPr>
        <w:spacing w:line="520" w:lineRule="exact"/>
        <w:ind w:firstLine="643" w:firstLineChars="200"/>
        <w:rPr>
          <w:rFonts w:hint="eastAsia" w:ascii="楷体" w:hAnsi="楷体" w:eastAsia="楷体" w:cs="楷体"/>
          <w:b/>
          <w:color w:val="000000" w:themeColor="text1"/>
          <w:sz w:val="32"/>
          <w:szCs w:val="32"/>
        </w:rPr>
      </w:pPr>
      <w:r>
        <w:rPr>
          <w:rFonts w:hint="eastAsia" w:ascii="楷体" w:hAnsi="楷体" w:eastAsia="楷体" w:cs="楷体"/>
          <w:b/>
          <w:color w:val="000000" w:themeColor="text1"/>
          <w:sz w:val="32"/>
          <w:szCs w:val="32"/>
        </w:rPr>
        <w:t>1、2023年部门预算收支情况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收入情况：我局2023年经本级财政批复年初预算数为182.99万元；全年预算数为</w:t>
      </w: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>648.75</w:t>
      </w:r>
      <w:r>
        <w:rPr>
          <w:rFonts w:hint="eastAsia" w:ascii="仿宋" w:hAnsi="仿宋" w:eastAsia="仿宋" w:cs="仿宋"/>
          <w:snapToGrid w:val="0"/>
          <w:sz w:val="32"/>
          <w:szCs w:val="32"/>
        </w:rPr>
        <w:t>万元，其中：一般公共预算财政拨款收入</w:t>
      </w: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>608.4</w:t>
      </w:r>
      <w:r>
        <w:rPr>
          <w:rFonts w:hint="eastAsia" w:ascii="仿宋" w:hAnsi="仿宋" w:eastAsia="仿宋" w:cs="仿宋"/>
          <w:snapToGrid w:val="0"/>
          <w:sz w:val="32"/>
          <w:szCs w:val="32"/>
        </w:rPr>
        <w:t>万元，政府性基金拨款0万元，其他资金</w:t>
      </w: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>40.35</w:t>
      </w:r>
      <w:r>
        <w:rPr>
          <w:rFonts w:hint="eastAsia" w:ascii="仿宋" w:hAnsi="仿宋" w:eastAsia="仿宋" w:cs="仿宋"/>
          <w:snapToGrid w:val="0"/>
          <w:sz w:val="32"/>
          <w:szCs w:val="32"/>
        </w:rPr>
        <w:t>万元；全年执行数为648.75万元，完成调整预算执行数为</w:t>
      </w: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>100</w:t>
      </w:r>
      <w:r>
        <w:rPr>
          <w:rFonts w:hint="eastAsia" w:ascii="仿宋" w:hAnsi="仿宋" w:eastAsia="仿宋" w:cs="仿宋"/>
          <w:snapToGrid w:val="0"/>
          <w:sz w:val="32"/>
          <w:szCs w:val="32"/>
        </w:rPr>
        <w:t>%</w:t>
      </w:r>
      <w:bookmarkStart w:id="0" w:name="OLE_LINK1"/>
      <w:r>
        <w:rPr>
          <w:rFonts w:hint="eastAsia" w:ascii="仿宋" w:hAnsi="仿宋" w:eastAsia="仿宋" w:cs="仿宋"/>
          <w:snapToGrid w:val="0"/>
          <w:sz w:val="32"/>
          <w:szCs w:val="32"/>
        </w:rPr>
        <w:t>。</w:t>
      </w:r>
      <w:bookmarkEnd w:id="0"/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支出情况：2023年部门决算数支出合计648.75万元：其中基本支出98.83万元，年初预算数为124.99万元，完成年初预算数80%；项目支出549.92万元，年初预算数为58万元，完成年初预算数</w:t>
      </w: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>948.14</w:t>
      </w:r>
      <w:r>
        <w:rPr>
          <w:rFonts w:hint="eastAsia" w:ascii="仿宋" w:hAnsi="仿宋" w:eastAsia="仿宋" w:cs="仿宋"/>
          <w:snapToGrid w:val="0"/>
          <w:sz w:val="32"/>
          <w:szCs w:val="32"/>
        </w:rPr>
        <w:t>%。</w:t>
      </w:r>
    </w:p>
    <w:p>
      <w:pPr>
        <w:spacing w:line="520" w:lineRule="exact"/>
        <w:ind w:firstLine="643" w:firstLineChars="200"/>
        <w:rPr>
          <w:rFonts w:hint="eastAsia" w:ascii="楷体" w:hAnsi="楷体" w:eastAsia="楷体" w:cs="楷体"/>
          <w:b/>
          <w:color w:val="000000" w:themeColor="text1"/>
          <w:sz w:val="32"/>
          <w:szCs w:val="32"/>
        </w:rPr>
      </w:pPr>
      <w:r>
        <w:rPr>
          <w:rFonts w:hint="eastAsia" w:ascii="楷体" w:hAnsi="楷体" w:eastAsia="楷体" w:cs="楷体"/>
          <w:b/>
          <w:color w:val="000000" w:themeColor="text1"/>
          <w:sz w:val="32"/>
          <w:szCs w:val="32"/>
        </w:rPr>
        <w:t xml:space="preserve"> 2、2023年支出分类情况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基本保障我局正常运转，完成日常工作任务而发生的各项支出，包括用于在职人员的基本工资、津贴补贴等人员经费、办公费等日常公用经费。2023年基本支出98.83万元，其中：人员经费支出91.03万元，占总支出14.03%；日常公用经费支出7.8万元，占总支出1.2%；项目支出合计549.92万元，分别为2022年度信访工作管理考核优胜单位专项经费23万元，全国、省、市两会期间及盛大金禧信访维稳工作经费100万元，重要会议值班及日常接待等运转经费支出2</w:t>
      </w: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>76</w:t>
      </w:r>
      <w:r>
        <w:rPr>
          <w:rFonts w:hint="eastAsia" w:ascii="仿宋" w:hAnsi="仿宋" w:eastAsia="仿宋" w:cs="仿宋"/>
          <w:snapToGrid w:val="0"/>
          <w:sz w:val="32"/>
          <w:szCs w:val="32"/>
        </w:rPr>
        <w:t>.</w:t>
      </w: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>45</w:t>
      </w:r>
      <w:r>
        <w:rPr>
          <w:rFonts w:hint="eastAsia" w:ascii="仿宋" w:hAnsi="仿宋" w:eastAsia="仿宋" w:cs="仿宋"/>
          <w:snapToGrid w:val="0"/>
          <w:sz w:val="32"/>
          <w:szCs w:val="32"/>
        </w:rPr>
        <w:t>万元，特殊疑难问题信访复查及救助10.12万元，信访工作示范创建百日攻坚工作经费100万元，其他政府办公厅（室）及相关机构事务支出40.35万元等，项目支出占全年总支出84.77%。</w:t>
      </w:r>
    </w:p>
    <w:p>
      <w:pPr>
        <w:spacing w:line="520" w:lineRule="exact"/>
        <w:ind w:firstLine="643" w:firstLineChars="200"/>
        <w:rPr>
          <w:rFonts w:hint="eastAsia" w:ascii="楷体" w:hAnsi="楷体" w:eastAsia="楷体" w:cs="楷体"/>
          <w:b/>
          <w:color w:val="000000" w:themeColor="text1"/>
          <w:sz w:val="32"/>
          <w:szCs w:val="32"/>
        </w:rPr>
      </w:pPr>
      <w:r>
        <w:rPr>
          <w:rFonts w:hint="eastAsia" w:ascii="楷体" w:hAnsi="楷体" w:eastAsia="楷体" w:cs="楷体"/>
          <w:b/>
          <w:color w:val="000000" w:themeColor="text1"/>
          <w:sz w:val="32"/>
          <w:szCs w:val="32"/>
        </w:rPr>
        <w:t>3、“三公”经费情况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2023年“三公”经费实际支出</w:t>
      </w: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>0.32</w:t>
      </w:r>
      <w:r>
        <w:rPr>
          <w:rFonts w:hint="eastAsia" w:ascii="仿宋" w:hAnsi="仿宋" w:eastAsia="仿宋" w:cs="仿宋"/>
          <w:snapToGrid w:val="0"/>
          <w:sz w:val="32"/>
          <w:szCs w:val="32"/>
        </w:rPr>
        <w:t>万元，其中国内公务接待0.32万元，公务接待费比上年增加0.32万元，主要原因上年度没有内公务接待。</w:t>
      </w:r>
    </w:p>
    <w:p>
      <w:pPr>
        <w:spacing w:line="520" w:lineRule="exact"/>
        <w:ind w:firstLine="640" w:firstLineChars="200"/>
        <w:rPr>
          <w:rFonts w:hint="eastAsia" w:ascii="黑体" w:hAnsi="黑体" w:eastAsia="黑体" w:cs="Times New Roman"/>
          <w:color w:val="000000" w:themeColor="text1"/>
          <w:sz w:val="32"/>
          <w:szCs w:val="32"/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</w:rPr>
        <w:t>三、部门整体支出绩效指标评价情况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2023年通过加强预算收支的管理，加强资产管理，不断建立健全内部管理制度，使部门整体支出管理情况得到了提升，较好的完成了各项目标任务。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一是支出总额控制在预算总额以内，严格执行了国库集中支付、政府采购等有关规定，确保了支出管理流程、审批手续的完整。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二是在确保人员经费、日常公用经费的正常开支基础上，保证重点工作支出，大力压缩一般性支出，严控“三公”经费支出，提高财政资金使用效益。</w:t>
      </w:r>
    </w:p>
    <w:p>
      <w:pPr>
        <w:snapToGrid w:val="0"/>
        <w:ind w:firstLine="643" w:firstLineChars="200"/>
        <w:rPr>
          <w:rFonts w:ascii="仿宋" w:hAnsi="仿宋" w:eastAsia="仿宋" w:cs="仿宋"/>
          <w:b/>
          <w:snapToGrid w:val="0"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snapToGrid w:val="0"/>
          <w:kern w:val="0"/>
          <w:sz w:val="32"/>
          <w:szCs w:val="32"/>
        </w:rPr>
        <w:t>主要工作成绩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（一）坚持顶层推动，全面压实信访工作责任。县委、县政府将信访工作列入重要议事日程，今年以来，县委常委会会议、县政府常务会议专题研究部署信访工作5次。全县严格落实县级领导轮流到县信访局值班接访制度，县级领导共接待群众来信来访993批2147人。结合主题教育和“四下基层”，联乡镇（街道）县级领导每月至少下沉到联点乡镇（街道）接访约访一次。乡镇（街道）班子成员每周至少下沉到村（社区）接访约访一次。今年以来6月份以来，全县各县级领导共下访约访 102次，接待群众225批468人次。全县上下基本形成了领导干部带头抓，层层落实责任，齐抓共管的信访工作新格局。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（二）坚持预防为先，源头化解矛盾纠纷。坚持日常排查与集中排查相结合，县每月、乡镇（街道）每旬、村（社区）每周排查一次矛盾隐患，共摸排矛盾隐患785件，成功调解纠纷697起。对重点群众和重点领域开展集中排查，今年来，多次对赴省进京越级访、非正常上访等重点人员开展集中排查摸排工作，共摸排存在赴省进京越级上访风险重点人员414人。组织开展精神障碍患者摸排管理专项行动，共摸排精神异常人员17人。同时组织对涉非法集资领域、涉房地产办证领域、商品房无法及时交付问题、重点项目征地拆迁领域等开展集中排查，共排查矛盾隐患18个群体。大力推行“3+N”模式，由公安、信访、维稳“铁三角”情报信息专班进行情报信息预警，建立每天都是特护期的全天候信息排查预警机制，确保一有情况、迅速上报，一体联动、高效处置。同时建立信访维稳“红黄蓝”三色预警督办制度，提高有关领导对各类矛盾问题和不稳定因素的关注度，督促各责任单位超前介入，有效处置，妥善化解。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（三）坚持突出重点，聚焦积案进行攻坚。以“事要解决”为核心，深入推行“四有推定”工作法，持续开展“治理重复信访、化解信访突出问题攻坚年”活动。县信访联席会议牵头对重信重访信访问题，分类建立台账，实行动态管理，做到周调度、月通报。今年来，共办理省委巡视组移交信访件8批次148件，办结率100%，满意率84.7%（超过省委巡视组办结率不低于90%，满意率不低于80%的要求），领导见面率94.2%，得到上级领导肯定。办理中央联席办第三批专项工作移交信访件25件，办结率100%。9月份以来，由县信访联席办联合“两办”督查室对今年来县委书记和县长接访约访交办的91件信访件开展两轮专项督查，目前已有效化解78件。在办理信访积案的同时，加大初信初访办理力度，所有初信初访都由单位主要领导亲自包案、全过程参与，确保不出现初访变重访、个访变集访的现象。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（四）坚持宣传引导，着力推动信访法治化。开展《信访工作条例》系列宣传活动，共发放宣传资料6万余份。我局局长先后3次到县委党校开展《信访工作条例》宣传宣讲，在全县掀起了一股学《条例》、守《条例》、用《条例》的热潮。开展“我与《信访工作条例》”主题征文活动，共收到优秀主题征文10余篇。自11月20日起，我县开展信访法治化试点工作，该项工作是中央联席办在全国推广的一项改革，先试点后推广，全省共安排18个试点县（市区），衡南县是试点之一，目前我县已完成宣传培训及阵地建设等相关工作。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hint="eastAsia"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（五）坚持底线思维，落实重点维稳任务。在全国两会、中非经贸博览会、杭州亚运会、国庆、2024年市两会、及省两会等特护期间，全县上下紧紧围绕“五个不发生”工作目标，下先手棋，钻矛盾窝，打主动仗，取得良好成绩。今年以来主动预警核查重点人员出行信息282次，有效做到源头稳控，得到省市好评。</w:t>
      </w:r>
    </w:p>
    <w:p>
      <w:pPr>
        <w:spacing w:line="520" w:lineRule="exact"/>
        <w:ind w:firstLine="640" w:firstLineChars="200"/>
        <w:rPr>
          <w:rFonts w:ascii="仿宋" w:hAnsi="仿宋" w:eastAsia="仿宋" w:cs="Times New Roman"/>
          <w:color w:val="000000" w:themeColor="text1"/>
          <w:sz w:val="32"/>
          <w:szCs w:val="32"/>
        </w:rPr>
      </w:pPr>
      <w:r>
        <w:rPr>
          <w:rFonts w:hint="eastAsia" w:ascii="仿宋" w:hAnsi="仿宋" w:eastAsia="仿宋" w:cs="Times New Roman"/>
          <w:color w:val="000000" w:themeColor="text1"/>
          <w:sz w:val="32"/>
          <w:szCs w:val="32"/>
        </w:rPr>
        <w:t>根据《2023年度部门整体支出绩效自评考核评价表》评分细则，我单位整体支出绩效自评分</w:t>
      </w:r>
      <w:bookmarkStart w:id="1" w:name="_GoBack"/>
      <w:bookmarkEnd w:id="1"/>
      <w:r>
        <w:rPr>
          <w:rFonts w:hint="eastAsia" w:ascii="仿宋" w:hAnsi="仿宋" w:eastAsia="仿宋" w:cs="Times New Roman"/>
          <w:color w:val="000000" w:themeColor="text1"/>
          <w:sz w:val="32"/>
          <w:szCs w:val="32"/>
        </w:rPr>
        <w:t>为</w:t>
      </w:r>
      <w:r>
        <w:rPr>
          <w:rFonts w:hint="eastAsia" w:ascii="仿宋" w:hAnsi="仿宋" w:eastAsia="仿宋"/>
          <w:color w:val="000000" w:themeColor="text1"/>
          <w:sz w:val="32"/>
          <w:szCs w:val="32"/>
        </w:rPr>
        <w:t>9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/>
          <w:color w:val="000000" w:themeColor="text1"/>
          <w:sz w:val="32"/>
          <w:szCs w:val="32"/>
        </w:rPr>
        <w:t>.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</w:rPr>
        <w:t>分，具体指标的自评分详见《2023年度部门整体支出绩效自评考核评价表》。</w:t>
      </w:r>
    </w:p>
    <w:p>
      <w:pPr>
        <w:spacing w:line="520" w:lineRule="exact"/>
        <w:ind w:firstLine="640" w:firstLineChars="200"/>
        <w:rPr>
          <w:rFonts w:hint="eastAsia" w:ascii="黑体" w:hAnsi="黑体" w:eastAsia="黑体" w:cs="Times New Roman"/>
          <w:color w:val="000000" w:themeColor="text1"/>
          <w:sz w:val="32"/>
          <w:szCs w:val="32"/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</w:rPr>
        <w:t>四、存在的主要问题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年初预算的编制较为精细，按照费用支出的使用范围和内容，进行了基本支出、项目支出的严格区分，并按照预算的最末级明细进行预算支出管理，专款专用。但对于追加的项目支出、上年结余结转的项目资金，没有进行预算分解，编制明细预算。</w:t>
      </w:r>
    </w:p>
    <w:p>
      <w:pPr>
        <w:spacing w:line="520" w:lineRule="exact"/>
        <w:ind w:firstLine="640" w:firstLineChars="200"/>
        <w:rPr>
          <w:rFonts w:hint="eastAsia" w:ascii="黑体" w:hAnsi="黑体" w:eastAsia="黑体" w:cs="Times New Roman"/>
          <w:color w:val="000000" w:themeColor="text1"/>
          <w:sz w:val="32"/>
          <w:szCs w:val="32"/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</w:rPr>
        <w:t>五、改进措施和建议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hint="eastAsia" w:ascii="仿宋" w:hAnsi="仿宋" w:eastAsia="仿宋" w:cs="仿宋"/>
          <w:snapToGrid w:val="0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sz w:val="32"/>
          <w:szCs w:val="32"/>
        </w:rPr>
        <w:t>进一步加强内部机构的预算管理意识，严格按照预算编制的相关制度和要求，进一步提高预算编制的科学性、合理性、严谨性和可控性，在日常预算管理过程中，进一步加强预算支出的审核、跟踪及预算执行情况。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hint="eastAsia" w:ascii="仿宋" w:hAnsi="仿宋" w:eastAsia="仿宋" w:cs="仿宋"/>
          <w:snapToGrid w:val="0"/>
          <w:sz w:val="32"/>
          <w:szCs w:val="32"/>
        </w:rPr>
      </w:pP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hint="eastAsia" w:ascii="仿宋" w:hAnsi="仿宋" w:eastAsia="仿宋" w:cs="仿宋"/>
          <w:snapToGrid w:val="0"/>
          <w:sz w:val="32"/>
          <w:szCs w:val="32"/>
        </w:rPr>
      </w:pP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hint="eastAsia" w:ascii="仿宋" w:hAnsi="仿宋" w:eastAsia="仿宋" w:cs="仿宋"/>
          <w:snapToGrid w:val="0"/>
          <w:sz w:val="32"/>
          <w:szCs w:val="32"/>
        </w:rPr>
      </w:pP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 xml:space="preserve">                              衡南县信访局</w:t>
      </w:r>
    </w:p>
    <w:p>
      <w:pPr>
        <w:pStyle w:val="3"/>
        <w:widowControl/>
        <w:adjustRightInd w:val="0"/>
        <w:snapToGrid w:val="0"/>
        <w:spacing w:beforeLines="50" w:beforeAutospacing="0" w:afterLines="50" w:afterAutospacing="0"/>
        <w:ind w:firstLine="640" w:firstLineChars="200"/>
        <w:rPr>
          <w:rFonts w:hint="default" w:ascii="仿宋" w:hAnsi="仿宋" w:eastAsia="仿宋" w:cs="仿宋"/>
          <w:snapToGrid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napToGrid w:val="0"/>
          <w:sz w:val="32"/>
          <w:szCs w:val="32"/>
          <w:lang w:val="en-US" w:eastAsia="zh-CN"/>
        </w:rPr>
        <w:t xml:space="preserve">                            2024年10月17日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YzgzM2VlNDI5ZmQzOWVmNTE0ZjNlYTUxY2M5ZDk4MDkifQ=="/>
  </w:docVars>
  <w:rsids>
    <w:rsidRoot w:val="2E784CA5"/>
    <w:rsid w:val="00053851"/>
    <w:rsid w:val="000815BE"/>
    <w:rsid w:val="001106B7"/>
    <w:rsid w:val="001A0E0C"/>
    <w:rsid w:val="001E4DB4"/>
    <w:rsid w:val="001E515B"/>
    <w:rsid w:val="002913D0"/>
    <w:rsid w:val="00422AA4"/>
    <w:rsid w:val="00647830"/>
    <w:rsid w:val="006C60F1"/>
    <w:rsid w:val="00854865"/>
    <w:rsid w:val="00907196"/>
    <w:rsid w:val="00916CFD"/>
    <w:rsid w:val="00A2557C"/>
    <w:rsid w:val="00AB2460"/>
    <w:rsid w:val="00AB5228"/>
    <w:rsid w:val="00B40B88"/>
    <w:rsid w:val="00BA0D49"/>
    <w:rsid w:val="00CD2B90"/>
    <w:rsid w:val="00E152F0"/>
    <w:rsid w:val="00E46D9D"/>
    <w:rsid w:val="00E52CF5"/>
    <w:rsid w:val="00ED0CBE"/>
    <w:rsid w:val="07DD2528"/>
    <w:rsid w:val="08F67A32"/>
    <w:rsid w:val="091126EE"/>
    <w:rsid w:val="0D4D7AA8"/>
    <w:rsid w:val="0E1A17EA"/>
    <w:rsid w:val="18EE72AE"/>
    <w:rsid w:val="1B772383"/>
    <w:rsid w:val="1BF119F7"/>
    <w:rsid w:val="241D1508"/>
    <w:rsid w:val="260C01FF"/>
    <w:rsid w:val="29D32CD9"/>
    <w:rsid w:val="2AB46B72"/>
    <w:rsid w:val="2E784CA5"/>
    <w:rsid w:val="371A07CC"/>
    <w:rsid w:val="41CC7DDB"/>
    <w:rsid w:val="4B25433B"/>
    <w:rsid w:val="4BD641D9"/>
    <w:rsid w:val="4BFE60DA"/>
    <w:rsid w:val="4EE505F0"/>
    <w:rsid w:val="59330FD7"/>
    <w:rsid w:val="5DAC384B"/>
    <w:rsid w:val="60E96A75"/>
    <w:rsid w:val="6EEB0416"/>
    <w:rsid w:val="6FD1796D"/>
    <w:rsid w:val="77B62176"/>
    <w:rsid w:val="7D826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color w:val="000000" w:themeColor="text1"/>
      <w:kern w:val="2"/>
      <w:sz w:val="18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2849</Words>
  <Characters>3069</Characters>
  <Lines>21</Lines>
  <Paragraphs>5</Paragraphs>
  <TotalTime>1</TotalTime>
  <ScaleCrop>false</ScaleCrop>
  <LinksUpToDate>false</LinksUpToDate>
  <CharactersWithSpaces>3130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2024-05-06T03:53:00Z</dcterms:created>
  <dc:creator>X~hua✨</dc:creator>
  <cp:lastModifiedBy>茜茜</cp:lastModifiedBy>
  <cp:lastPrinted>2024-05-07T03:21:00Z</cp:lastPrinted>
  <dcterms:modified xsi:type="dcterms:W3CDTF">2024-12-20T02:38:28Z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4AE46AA21F1A46849BE928C6C30A2FA8</vt:lpwstr>
  </property>
</Properties>
</file>