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E409AB">
      <w:pPr>
        <w:rPr>
          <w:rFonts w:ascii="黑体" w:eastAsia="黑体"/>
          <w:sz w:val="32"/>
          <w:szCs w:val="32"/>
        </w:rPr>
      </w:pPr>
      <w:bookmarkStart w:id="0" w:name="_GoBack"/>
      <w:bookmarkEnd w:id="0"/>
    </w:p>
    <w:p w14:paraId="5A238201">
      <w:pPr>
        <w:spacing w:line="360" w:lineRule="auto"/>
        <w:ind w:firstLine="1293" w:firstLineChars="300"/>
        <w:rPr>
          <w:rFonts w:hint="eastAsia" w:ascii="方正小标宋_GBK" w:eastAsia="方正小标宋_GBK"/>
          <w:sz w:val="44"/>
          <w:szCs w:val="44"/>
        </w:rPr>
      </w:pPr>
      <w:r>
        <w:rPr>
          <w:rFonts w:hint="eastAsia" w:ascii="方正小标宋_GBK" w:eastAsia="方正小标宋_GBK"/>
          <w:sz w:val="44"/>
          <w:szCs w:val="44"/>
          <w:lang w:eastAsia="zh-CN"/>
        </w:rPr>
        <w:t>衡南县</w:t>
      </w:r>
      <w:r>
        <w:rPr>
          <w:rFonts w:hint="eastAsia" w:ascii="方正小标宋_GBK" w:eastAsia="方正小标宋_GBK"/>
          <w:sz w:val="44"/>
          <w:szCs w:val="44"/>
        </w:rPr>
        <w:t>部门整体支出绩效自评报告</w:t>
      </w:r>
    </w:p>
    <w:p w14:paraId="78413885">
      <w:pPr>
        <w:spacing w:line="360" w:lineRule="auto"/>
        <w:ind w:firstLine="402" w:firstLineChars="200"/>
        <w:jc w:val="center"/>
      </w:pPr>
    </w:p>
    <w:p w14:paraId="0DC12E26">
      <w:pPr>
        <w:tabs>
          <w:tab w:val="center" w:pos="4473"/>
          <w:tab w:val="right" w:pos="8306"/>
        </w:tabs>
        <w:spacing w:line="360" w:lineRule="auto"/>
        <w:ind w:firstLine="622" w:firstLineChars="200"/>
        <w:jc w:val="left"/>
        <w:rPr>
          <w:rFonts w:hint="eastAsia" w:ascii="仿宋_GB2312" w:eastAsia="仿宋_GB2312"/>
          <w:sz w:val="32"/>
          <w:szCs w:val="32"/>
        </w:rPr>
      </w:pPr>
      <w:r>
        <w:rPr>
          <w:rFonts w:ascii="仿宋_GB2312" w:eastAsia="仿宋_GB2312"/>
          <w:sz w:val="32"/>
          <w:szCs w:val="32"/>
        </w:rPr>
        <w:tab/>
      </w:r>
      <w:r>
        <w:rPr>
          <w:rFonts w:hint="eastAsia" w:ascii="仿宋_GB2312" w:eastAsia="仿宋_GB2312"/>
          <w:sz w:val="32"/>
          <w:szCs w:val="32"/>
        </w:rPr>
        <w:t>（ 20</w:t>
      </w:r>
      <w:r>
        <w:rPr>
          <w:rFonts w:ascii="仿宋_GB2312" w:eastAsia="仿宋_GB2312"/>
          <w:sz w:val="32"/>
          <w:szCs w:val="32"/>
        </w:rPr>
        <w:t>2</w:t>
      </w:r>
      <w:r>
        <w:rPr>
          <w:rFonts w:hint="eastAsia" w:ascii="仿宋_GB2312" w:eastAsia="仿宋_GB2312"/>
          <w:sz w:val="32"/>
          <w:szCs w:val="32"/>
          <w:lang w:val="en-US" w:eastAsia="zh-CN"/>
        </w:rPr>
        <w:t>3</w:t>
      </w:r>
      <w:r>
        <w:rPr>
          <w:rFonts w:hint="eastAsia" w:ascii="仿宋_GB2312" w:eastAsia="仿宋_GB2312"/>
          <w:sz w:val="32"/>
          <w:szCs w:val="32"/>
        </w:rPr>
        <w:t>年度 ）</w:t>
      </w:r>
      <w:r>
        <w:rPr>
          <w:rFonts w:ascii="仿宋_GB2312" w:eastAsia="仿宋_GB2312"/>
          <w:sz w:val="32"/>
          <w:szCs w:val="32"/>
        </w:rPr>
        <w:tab/>
      </w:r>
    </w:p>
    <w:p w14:paraId="32F9A18A">
      <w:pPr>
        <w:spacing w:line="360" w:lineRule="auto"/>
        <w:ind w:firstLine="402" w:firstLineChars="200"/>
        <w:rPr>
          <w:rFonts w:hint="eastAsia"/>
        </w:rPr>
      </w:pPr>
    </w:p>
    <w:p w14:paraId="43C70771">
      <w:pPr>
        <w:spacing w:line="360" w:lineRule="auto"/>
        <w:ind w:firstLine="402" w:firstLineChars="200"/>
        <w:rPr>
          <w:rFonts w:hint="eastAsia"/>
        </w:rPr>
      </w:pPr>
    </w:p>
    <w:p w14:paraId="4BB2B990">
      <w:pPr>
        <w:spacing w:line="360" w:lineRule="auto"/>
        <w:ind w:firstLine="402" w:firstLineChars="200"/>
        <w:rPr>
          <w:rFonts w:hint="eastAsia"/>
        </w:rPr>
      </w:pPr>
    </w:p>
    <w:p w14:paraId="14ABDA72">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部门(单位)名称：</w:t>
      </w:r>
      <w:r>
        <w:rPr>
          <w:rFonts w:hint="eastAsia" w:ascii="仿宋_GB2312" w:eastAsia="仿宋_GB2312"/>
          <w:sz w:val="32"/>
          <w:szCs w:val="32"/>
          <w:lang w:eastAsia="zh-CN"/>
        </w:rPr>
        <w:t>衡南县文化馆</w:t>
      </w:r>
      <w:r>
        <w:rPr>
          <w:rFonts w:hint="eastAsia" w:ascii="仿宋_GB2312" w:eastAsia="仿宋_GB2312"/>
          <w:sz w:val="32"/>
          <w:szCs w:val="32"/>
        </w:rPr>
        <w:t xml:space="preserve">              </w:t>
      </w:r>
    </w:p>
    <w:p w14:paraId="0FF01F43">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501003</w:t>
      </w:r>
      <w:r>
        <w:rPr>
          <w:rFonts w:hint="eastAsia" w:ascii="仿宋_GB2312" w:eastAsia="仿宋_GB2312"/>
          <w:sz w:val="32"/>
          <w:szCs w:val="32"/>
        </w:rPr>
        <w:t xml:space="preserve">        </w:t>
      </w:r>
    </w:p>
    <w:p w14:paraId="4B384FBA">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 xml:space="preserve">评价方式：部门（单位）自评☑  </w:t>
      </w:r>
    </w:p>
    <w:p w14:paraId="620D87E7">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中介机构评价□</w:t>
      </w:r>
    </w:p>
    <w:p w14:paraId="622175D1">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评价机构：部门（单位）评价组☑</w:t>
      </w:r>
    </w:p>
    <w:p w14:paraId="178E5396">
      <w:pPr>
        <w:spacing w:line="360" w:lineRule="auto"/>
        <w:ind w:firstLine="933" w:firstLineChars="300"/>
        <w:rPr>
          <w:rFonts w:hint="eastAsia" w:ascii="仿宋_GB2312" w:eastAsia="仿宋_GB2312"/>
          <w:sz w:val="32"/>
          <w:szCs w:val="32"/>
        </w:rPr>
      </w:pPr>
      <w:r>
        <w:rPr>
          <w:rFonts w:hint="eastAsia" w:ascii="仿宋_GB2312" w:eastAsia="仿宋_GB2312"/>
          <w:sz w:val="32"/>
          <w:szCs w:val="32"/>
        </w:rPr>
        <w:t>中介机构□</w:t>
      </w:r>
    </w:p>
    <w:p w14:paraId="02D98C18">
      <w:pPr>
        <w:spacing w:line="360" w:lineRule="auto"/>
        <w:ind w:firstLine="402" w:firstLineChars="200"/>
      </w:pPr>
    </w:p>
    <w:p w14:paraId="1E067696">
      <w:pPr>
        <w:spacing w:line="360" w:lineRule="auto"/>
        <w:ind w:firstLine="402" w:firstLineChars="200"/>
      </w:pPr>
    </w:p>
    <w:p w14:paraId="6A61A2C1">
      <w:pPr>
        <w:spacing w:line="360" w:lineRule="auto"/>
        <w:ind w:firstLine="402" w:firstLineChars="200"/>
        <w:rPr>
          <w:rFonts w:hint="eastAsia"/>
        </w:rPr>
      </w:pPr>
    </w:p>
    <w:p w14:paraId="578167E7">
      <w:pPr>
        <w:spacing w:line="360" w:lineRule="auto"/>
        <w:ind w:firstLine="402" w:firstLineChars="200"/>
        <w:rPr>
          <w:rFonts w:hint="eastAsia"/>
        </w:rPr>
      </w:pPr>
    </w:p>
    <w:p w14:paraId="790C978D">
      <w:pPr>
        <w:spacing w:line="360" w:lineRule="auto"/>
        <w:ind w:firstLine="402" w:firstLineChars="200"/>
        <w:rPr>
          <w:rFonts w:hint="eastAsia"/>
        </w:rPr>
      </w:pPr>
    </w:p>
    <w:p w14:paraId="3DB5F2C9">
      <w:pPr>
        <w:spacing w:line="360" w:lineRule="auto"/>
        <w:ind w:firstLine="402" w:firstLineChars="200"/>
        <w:rPr>
          <w:rFonts w:hint="eastAsia"/>
        </w:rPr>
      </w:pPr>
    </w:p>
    <w:p w14:paraId="0B8EB106">
      <w:pPr>
        <w:spacing w:line="360" w:lineRule="auto"/>
        <w:ind w:firstLine="402" w:firstLineChars="200"/>
        <w:rPr>
          <w:rFonts w:hint="eastAsia"/>
        </w:rPr>
      </w:pPr>
    </w:p>
    <w:p w14:paraId="6F9D0522">
      <w:pPr>
        <w:spacing w:line="360" w:lineRule="auto"/>
        <w:jc w:val="center"/>
        <w:rPr>
          <w:rFonts w:hint="eastAsia" w:ascii="仿宋_GB2312" w:eastAsia="仿宋_GB2312"/>
          <w:sz w:val="32"/>
          <w:szCs w:val="32"/>
        </w:rPr>
      </w:pPr>
      <w:r>
        <w:rPr>
          <w:rFonts w:hint="eastAsia" w:ascii="仿宋_GB2312" w:eastAsia="仿宋_GB2312"/>
          <w:sz w:val="32"/>
          <w:szCs w:val="32"/>
        </w:rPr>
        <w:t>报告日期：  20</w:t>
      </w:r>
      <w:r>
        <w:rPr>
          <w:rFonts w:ascii="仿宋_GB2312" w:eastAsia="仿宋_GB2312"/>
          <w:sz w:val="32"/>
          <w:szCs w:val="32"/>
        </w:rPr>
        <w:t>2</w:t>
      </w:r>
      <w:r>
        <w:rPr>
          <w:rFonts w:hint="eastAsia" w:ascii="仿宋_GB2312" w:eastAsia="仿宋_GB2312"/>
          <w:sz w:val="32"/>
          <w:szCs w:val="32"/>
          <w:lang w:val="en-US" w:eastAsia="zh-CN"/>
        </w:rPr>
        <w:t>4</w:t>
      </w:r>
      <w:r>
        <w:rPr>
          <w:rFonts w:hint="eastAsia" w:ascii="仿宋_GB2312" w:eastAsia="仿宋_GB2312"/>
          <w:sz w:val="32"/>
          <w:szCs w:val="32"/>
        </w:rPr>
        <w:t xml:space="preserve"> 年 </w:t>
      </w:r>
      <w:r>
        <w:rPr>
          <w:rFonts w:hint="eastAsia" w:ascii="仿宋_GB2312" w:eastAsia="仿宋_GB2312"/>
          <w:sz w:val="32"/>
          <w:szCs w:val="32"/>
          <w:lang w:val="en-US" w:eastAsia="zh-CN"/>
        </w:rPr>
        <w:t>5</w:t>
      </w:r>
      <w:r>
        <w:rPr>
          <w:rFonts w:hint="eastAsia" w:ascii="仿宋_GB2312" w:eastAsia="仿宋_GB2312"/>
          <w:sz w:val="32"/>
          <w:szCs w:val="32"/>
        </w:rPr>
        <w:t xml:space="preserve">月 </w:t>
      </w:r>
      <w:r>
        <w:rPr>
          <w:rFonts w:hint="eastAsia" w:ascii="仿宋_GB2312" w:eastAsia="仿宋_GB2312"/>
          <w:sz w:val="32"/>
          <w:szCs w:val="32"/>
          <w:lang w:val="en-US" w:eastAsia="zh-CN"/>
        </w:rPr>
        <w:t>10</w:t>
      </w:r>
      <w:r>
        <w:rPr>
          <w:rFonts w:hint="eastAsia" w:ascii="仿宋_GB2312" w:eastAsia="仿宋_GB2312"/>
          <w:sz w:val="32"/>
          <w:szCs w:val="32"/>
        </w:rPr>
        <w:t>日</w:t>
      </w:r>
    </w:p>
    <w:p w14:paraId="322B61AD">
      <w:pPr>
        <w:pStyle w:val="9"/>
        <w:rPr>
          <w:rFonts w:hint="eastAsia" w:ascii="仿宋_GB2312" w:eastAsia="仿宋_GB2312"/>
          <w:sz w:val="32"/>
          <w:szCs w:val="32"/>
        </w:rPr>
      </w:pPr>
    </w:p>
    <w:p w14:paraId="77EEC974">
      <w:pPr>
        <w:pStyle w:val="9"/>
        <w:rPr>
          <w:rFonts w:hint="eastAsia" w:ascii="仿宋_GB2312" w:eastAsia="仿宋_GB2312"/>
          <w:sz w:val="32"/>
          <w:szCs w:val="32"/>
        </w:rPr>
      </w:pPr>
    </w:p>
    <w:p w14:paraId="4065D84A">
      <w:pPr>
        <w:pStyle w:val="9"/>
        <w:rPr>
          <w:rFonts w:hint="eastAsia" w:ascii="仿宋_GB2312" w:eastAsia="仿宋_GB2312"/>
          <w:sz w:val="32"/>
          <w:szCs w:val="32"/>
        </w:rPr>
      </w:pPr>
    </w:p>
    <w:p w14:paraId="30001AB8">
      <w:pPr>
        <w:pStyle w:val="9"/>
        <w:rPr>
          <w:rFonts w:hint="eastAsia" w:ascii="仿宋_GB2312" w:eastAsia="仿宋_GB2312"/>
          <w:sz w:val="32"/>
          <w:szCs w:val="32"/>
        </w:rPr>
      </w:pPr>
    </w:p>
    <w:p w14:paraId="3E6F7D88">
      <w:pPr>
        <w:ind w:firstLine="622" w:firstLineChars="200"/>
        <w:jc w:val="left"/>
        <w:rPr>
          <w:rFonts w:ascii="仿宋" w:hAnsi="仿宋" w:eastAsia="仿宋" w:cs="仿宋"/>
          <w:color w:val="333333"/>
          <w:spacing w:val="-2"/>
          <w:sz w:val="32"/>
          <w:szCs w:val="32"/>
        </w:rPr>
      </w:pPr>
      <w:r>
        <w:rPr>
          <w:rFonts w:hint="eastAsia" w:ascii="仿宋" w:hAnsi="仿宋" w:eastAsia="仿宋" w:cs="仿宋"/>
          <w:b w:val="0"/>
          <w:i w:val="0"/>
          <w:caps w:val="0"/>
          <w:color w:val="000000"/>
          <w:spacing w:val="0"/>
          <w:kern w:val="0"/>
          <w:sz w:val="32"/>
          <w:szCs w:val="32"/>
          <w:lang w:val="en-US" w:eastAsia="zh-CN"/>
        </w:rPr>
        <w:t> </w:t>
      </w:r>
      <w:r>
        <w:rPr>
          <w:rFonts w:hint="eastAsia" w:asciiTheme="minorEastAsia" w:hAnsiTheme="minorEastAsia" w:eastAsiaTheme="minorEastAsia" w:cstheme="minorEastAsia"/>
          <w:sz w:val="28"/>
          <w:szCs w:val="28"/>
          <w:lang w:val="en-US" w:eastAsia="zh-CN"/>
        </w:rPr>
        <w:t>为加强财政预算资金管理，进一步规范预算资金使用，提高财政资金使用效益，根据《衡南县财政局关于开展2023年度财政资金绩效自评工作的通知》（清财绩[2024]118号）要求，我馆对2023年度本单位财政性资金整体使用情况进行了绩效自评，现将具体绩效评价情况报告如下：</w:t>
      </w:r>
    </w:p>
    <w:p w14:paraId="0062188B">
      <w:pPr>
        <w:pStyle w:val="9"/>
        <w:rPr>
          <w:rFonts w:ascii="仿宋_GB2312" w:hAnsi="黑体" w:eastAsia="仿宋_GB2312"/>
          <w:sz w:val="32"/>
          <w:szCs w:val="32"/>
        </w:rPr>
      </w:pPr>
    </w:p>
    <w:p w14:paraId="272CF2FA">
      <w:pPr>
        <w:pStyle w:val="27"/>
        <w:widowControl/>
        <w:numPr>
          <w:ilvl w:val="0"/>
          <w:numId w:val="1"/>
        </w:numPr>
        <w:spacing w:line="600" w:lineRule="exact"/>
        <w:ind w:firstLineChars="0"/>
        <w:rPr>
          <w:rFonts w:hint="eastAsia" w:ascii="黑体" w:hAnsi="黑体" w:eastAsia="黑体"/>
          <w:sz w:val="32"/>
          <w:szCs w:val="32"/>
          <w:lang w:eastAsia="zh-CN"/>
        </w:rPr>
      </w:pPr>
      <w:r>
        <w:rPr>
          <w:rFonts w:hint="default" w:ascii="黑体" w:hAnsi="黑体" w:eastAsia="黑体"/>
          <w:sz w:val="32"/>
          <w:szCs w:val="32"/>
          <w:lang w:eastAsia="zh-CN"/>
        </w:rPr>
        <w:t>部门、单位基本情况</w:t>
      </w:r>
    </w:p>
    <w:p w14:paraId="591815C8">
      <w:pPr>
        <w:pStyle w:val="27"/>
        <w:widowControl/>
        <w:numPr>
          <w:ilvl w:val="0"/>
          <w:numId w:val="0"/>
        </w:numPr>
        <w:spacing w:line="600" w:lineRule="exact"/>
        <w:ind w:left="620" w:leftChars="0"/>
        <w:rPr>
          <w:rFonts w:hint="eastAsia" w:ascii="黑体" w:hAnsi="黑体" w:eastAsia="黑体"/>
          <w:sz w:val="32"/>
          <w:szCs w:val="32"/>
          <w:lang w:eastAsia="zh-CN"/>
        </w:rPr>
      </w:pPr>
      <w:r>
        <w:rPr>
          <w:rFonts w:hint="eastAsia" w:ascii="黑体" w:hAnsi="黑体" w:eastAsia="黑体"/>
          <w:sz w:val="32"/>
          <w:szCs w:val="32"/>
          <w:lang w:eastAsia="zh-CN"/>
        </w:rPr>
        <w:t>（一）</w:t>
      </w:r>
      <w:r>
        <w:rPr>
          <w:rFonts w:hint="default" w:ascii="黑体" w:hAnsi="黑体" w:eastAsia="黑体"/>
          <w:sz w:val="32"/>
          <w:szCs w:val="32"/>
          <w:lang w:eastAsia="zh-CN"/>
        </w:rPr>
        <w:t>机构设置情况</w:t>
      </w:r>
    </w:p>
    <w:p w14:paraId="2E2E73E7">
      <w:pPr>
        <w:spacing w:line="600" w:lineRule="exact"/>
        <w:ind w:firstLine="542" w:firstLineChars="200"/>
        <w:rPr>
          <w:rFonts w:hint="eastAsia" w:ascii="宋体" w:hAnsi="宋体" w:eastAsia="宋体" w:cs="宋体"/>
          <w:i w:val="0"/>
          <w:iCs w:val="0"/>
          <w:caps w:val="0"/>
          <w:color w:val="000000"/>
          <w:spacing w:val="0"/>
          <w:sz w:val="28"/>
          <w:szCs w:val="28"/>
          <w:lang w:eastAsia="zh-CN"/>
        </w:rPr>
      </w:pPr>
      <w:r>
        <w:rPr>
          <w:rFonts w:hint="eastAsia" w:asciiTheme="minorEastAsia" w:hAnsiTheme="minorEastAsia" w:eastAsiaTheme="minorEastAsia" w:cstheme="minorEastAsia"/>
          <w:sz w:val="28"/>
          <w:szCs w:val="28"/>
          <w:lang w:val="en-US" w:eastAsia="zh-CN"/>
        </w:rPr>
        <w:t>衡南县文化馆属财政补助事业单位，</w:t>
      </w:r>
      <w:r>
        <w:rPr>
          <w:rFonts w:hint="eastAsia" w:ascii="宋体" w:hAnsi="宋体" w:eastAsia="宋体" w:cs="宋体"/>
          <w:i w:val="0"/>
          <w:iCs w:val="0"/>
          <w:caps w:val="0"/>
          <w:color w:val="000000"/>
          <w:spacing w:val="0"/>
          <w:sz w:val="28"/>
          <w:szCs w:val="28"/>
        </w:rPr>
        <w:t>下设办公室、文艺创作股、群文辅导股、公共文化服务股、工会等相关股室</w:t>
      </w:r>
      <w:r>
        <w:rPr>
          <w:rFonts w:hint="eastAsia" w:ascii="宋体" w:hAnsi="宋体" w:eastAsia="宋体" w:cs="宋体"/>
          <w:i w:val="0"/>
          <w:iCs w:val="0"/>
          <w:caps w:val="0"/>
          <w:color w:val="000000"/>
          <w:spacing w:val="0"/>
          <w:sz w:val="28"/>
          <w:szCs w:val="28"/>
          <w:lang w:eastAsia="zh-CN"/>
        </w:rPr>
        <w:t>。</w:t>
      </w:r>
    </w:p>
    <w:p w14:paraId="5900DF27">
      <w:pPr>
        <w:pStyle w:val="27"/>
        <w:widowControl/>
        <w:numPr>
          <w:ilvl w:val="0"/>
          <w:numId w:val="0"/>
        </w:numPr>
        <w:spacing w:line="600" w:lineRule="exact"/>
        <w:ind w:left="620" w:leftChars="0"/>
        <w:rPr>
          <w:rFonts w:hint="eastAsia" w:asciiTheme="minorEastAsia" w:hAnsiTheme="minorEastAsia" w:eastAsiaTheme="minorEastAsia" w:cstheme="minorEastAsia"/>
          <w:sz w:val="28"/>
          <w:szCs w:val="28"/>
          <w:lang w:val="en-US" w:eastAsia="zh-CN"/>
        </w:rPr>
      </w:pPr>
      <w:r>
        <w:rPr>
          <w:rFonts w:hint="eastAsia" w:ascii="黑体" w:hAnsi="黑体" w:eastAsia="黑体"/>
          <w:sz w:val="32"/>
          <w:szCs w:val="32"/>
          <w:lang w:val="en-US" w:eastAsia="zh-CN"/>
        </w:rPr>
        <w:t>（二）人员编制情况</w:t>
      </w:r>
    </w:p>
    <w:p w14:paraId="4B3ACDF9">
      <w:pPr>
        <w:spacing w:line="600" w:lineRule="exact"/>
        <w:ind w:firstLine="542" w:firstLineChars="200"/>
        <w:rPr>
          <w:rFonts w:hint="default" w:ascii="仿宋_GB2312" w:hAnsi="黑体" w:eastAsia="仿宋_GB2312"/>
          <w:sz w:val="32"/>
          <w:szCs w:val="32"/>
          <w:lang w:val="en-US" w:eastAsia="zh-CN"/>
        </w:rPr>
      </w:pPr>
      <w:r>
        <w:rPr>
          <w:rFonts w:hint="eastAsia" w:asciiTheme="minorEastAsia" w:hAnsiTheme="minorEastAsia" w:eastAsiaTheme="minorEastAsia" w:cstheme="minorEastAsia"/>
          <w:sz w:val="28"/>
          <w:szCs w:val="28"/>
          <w:lang w:val="en-US" w:eastAsia="zh-CN"/>
        </w:rPr>
        <w:t>现衡南县文化馆共有财政补助编制人员13名。</w:t>
      </w:r>
    </w:p>
    <w:p w14:paraId="212D797C">
      <w:pPr>
        <w:pStyle w:val="27"/>
        <w:widowControl/>
        <w:numPr>
          <w:ilvl w:val="0"/>
          <w:numId w:val="0"/>
        </w:numPr>
        <w:spacing w:line="600" w:lineRule="exact"/>
        <w:ind w:left="620" w:leftChars="0"/>
        <w:rPr>
          <w:rFonts w:ascii="黑体" w:hAnsi="黑体" w:eastAsia="黑体"/>
          <w:sz w:val="32"/>
          <w:szCs w:val="32"/>
        </w:rPr>
      </w:pPr>
      <w:r>
        <w:rPr>
          <w:rFonts w:hint="eastAsia" w:ascii="黑体" w:hAnsi="黑体" w:eastAsia="黑体"/>
          <w:sz w:val="32"/>
          <w:szCs w:val="32"/>
          <w:lang w:eastAsia="zh-CN"/>
        </w:rPr>
        <w:t>（三）主要职能职责</w:t>
      </w:r>
    </w:p>
    <w:p w14:paraId="1AB20522">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（1）举办各类展览、讲座、培训等，普及科学文化知识，开展社会教育，提高群众文化素质，促进当地精神文明建设。</w:t>
      </w:r>
    </w:p>
    <w:p w14:paraId="5DD0CC5A">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（2）组织开展丰富多彩的、群众喜闻乐见的文化活动；开展流动文化服务；指导群众业余文艺团队建设，辅导和培训群众文艺骨干。</w:t>
      </w:r>
    </w:p>
    <w:p w14:paraId="07F1E64A">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（3）组织并指导群众文艺创作，开展群众文化工作理论研究。</w:t>
      </w:r>
    </w:p>
    <w:p w14:paraId="260833E6">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（4）收集、整理、研究非物质文化遗产，开展非物质文化遗产的普查、展示、宣传活动，指导传承人开展传习活动。</w:t>
      </w:r>
    </w:p>
    <w:p w14:paraId="7E6BAD5F">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（5）建成全国文化信息资源共享工程基层服务点，开展数字文化信息服务。</w:t>
      </w:r>
    </w:p>
    <w:p w14:paraId="3F9D8169">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（6）指导下一级文化馆（文化站、社区文化中心）工作，为下一级文化馆（文化站、社区文化中心）培训人员，并向下一级文化馆（文化站、社区文化中心）配送文化资源和文化服务。</w:t>
      </w:r>
    </w:p>
    <w:p w14:paraId="21014AD6">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(7）指导本地区老年文化、老年教育、少儿文化工作。</w:t>
      </w:r>
    </w:p>
    <w:p w14:paraId="7063581F">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(8)开展对外民间文化交流。</w:t>
      </w:r>
    </w:p>
    <w:p w14:paraId="36C947EA">
      <w:pPr>
        <w:pStyle w:val="9"/>
        <w:rPr>
          <w:rFonts w:hint="eastAsia"/>
          <w:lang w:val="en-US" w:eastAsia="zh-CN"/>
        </w:rPr>
      </w:pPr>
    </w:p>
    <w:p w14:paraId="58AB89A9">
      <w:pPr>
        <w:pStyle w:val="27"/>
        <w:widowControl/>
        <w:numPr>
          <w:ilvl w:val="0"/>
          <w:numId w:val="0"/>
        </w:numPr>
        <w:spacing w:line="600" w:lineRule="exact"/>
        <w:ind w:left="620" w:leftChars="0"/>
        <w:rPr>
          <w:rFonts w:hint="eastAsia" w:ascii="黑体" w:hAnsi="黑体" w:eastAsia="黑体"/>
          <w:sz w:val="32"/>
          <w:szCs w:val="32"/>
          <w:lang w:val="en-US" w:eastAsia="zh-CN"/>
        </w:rPr>
      </w:pPr>
      <w:r>
        <w:rPr>
          <w:rFonts w:hint="eastAsia" w:ascii="黑体" w:hAnsi="黑体" w:eastAsia="黑体"/>
          <w:sz w:val="32"/>
          <w:szCs w:val="32"/>
          <w:lang w:val="en-US" w:eastAsia="zh-CN"/>
        </w:rPr>
        <w:t>（四）绩效目标设定情况：</w:t>
      </w:r>
    </w:p>
    <w:p w14:paraId="7A79B1E1">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在本年度收支预算内，确保完成以下整体目标：</w:t>
      </w:r>
    </w:p>
    <w:p w14:paraId="763C8BDA">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目标1：完善服务体系，提升服务水平。实施我馆效能提升专项行动，持续推进文化馆总分馆制。落实错时延时开放制度，做好文化馆免费开放。探索建立分馆服务效能建设长效机制，加强文化队伍建设，大力实施文化乡村振兴。</w:t>
      </w:r>
    </w:p>
    <w:p w14:paraId="3D0738E9">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目标2：突出时代主题，打造精品力作。围绕党的二十大精神，集中力量打造一批精品力作，推动文学、音乐、美术等给艺术门类创作全面繁荣。多形式深入基层开展送文化下乡、戏曲进乡村、进景区等活动。</w:t>
      </w:r>
    </w:p>
    <w:p w14:paraId="5A1F2658">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目标3：坚持传承创新，着力遗产保护。推进市县两级非遗名录体系建设，推动有代表性的非遗项目及传承人“走出去”。</w:t>
      </w:r>
    </w:p>
    <w:p w14:paraId="3AC1240E">
      <w:pPr>
        <w:pStyle w:val="9"/>
        <w:rPr>
          <w:rFonts w:hint="eastAsia" w:asciiTheme="minorEastAsia" w:hAnsiTheme="minorEastAsia" w:eastAsiaTheme="minorEastAsia" w:cstheme="minorEastAsia"/>
          <w:sz w:val="28"/>
          <w:szCs w:val="28"/>
          <w:lang w:val="en-US" w:eastAsia="zh-CN"/>
        </w:rPr>
      </w:pPr>
    </w:p>
    <w:p w14:paraId="10913893">
      <w:pPr>
        <w:spacing w:line="600" w:lineRule="exact"/>
        <w:ind w:firstLine="271" w:firstLineChars="100"/>
        <w:rPr>
          <w:rFonts w:hint="default"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2023年实际完成情况：</w:t>
      </w:r>
    </w:p>
    <w:p w14:paraId="7B6B1342">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（一）2023年工作情况</w:t>
      </w:r>
    </w:p>
    <w:p w14:paraId="7AC4B35F">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2023年以来，县文化馆在局党委、县委、县政府的正确领导下，紧紧围绕改革发展这一中心，以全新的状态、昂扬的精神、争当一流的勇气和决心，狠抓班子建设、强化队伍管理、夯实工作基础，我馆始终坚持服务基层、服务大众的工作方针，在创作、辅导、培训、活动等方面都取得了较好的工作业绩，圆满完成了全年工作任务。</w:t>
      </w:r>
    </w:p>
    <w:p w14:paraId="34A96F49">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文艺创作精品辈出、深入挖掘、狠抓群众文艺创作</w:t>
      </w:r>
    </w:p>
    <w:p w14:paraId="5704C928">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艺术创作是群众文化工作的生命线，也是文化馆工作的“主业”。今年来，围绕学习宣传党的二十大精神和红色教育，创作、新闻各类作品40件，其中在国家、省、地（市）级公开发表、展、演、播、出版各类文学艺术作品19件（国家级 1件，省级4件，地(市)级 13件）；获奖4件。</w:t>
      </w:r>
    </w:p>
    <w:p w14:paraId="377CB470">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1、谭绩的散文《敏东湖之恋》获县级二等奖《春天要回一趟故乡》、《那一场雨》衡阳日报发表。美术作品《片片红叶赋深情》市级作品。</w:t>
      </w:r>
    </w:p>
    <w:p w14:paraId="5763D6E7">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2、宁华丽的散文《这里我来过》“喜迎二十大 书写新衡南”征文县级优胜奖，散文《古塘记》《宝盖记》</w:t>
      </w:r>
      <w:r>
        <w:rPr>
          <w:rFonts w:hint="eastAsia" w:asciiTheme="minorEastAsia" w:hAnsiTheme="minorEastAsia" w:eastAsiaTheme="minorEastAsia" w:cstheme="minorEastAsia"/>
          <w:sz w:val="28"/>
          <w:szCs w:val="28"/>
          <w:lang w:val="en-US" w:eastAsia="zh-CN"/>
        </w:rPr>
        <w:tab/>
      </w:r>
      <w:r>
        <w:rPr>
          <w:rFonts w:hint="eastAsia" w:asciiTheme="minorEastAsia" w:hAnsiTheme="minorEastAsia" w:eastAsiaTheme="minorEastAsia" w:cstheme="minorEastAsia"/>
          <w:sz w:val="28"/>
          <w:szCs w:val="28"/>
          <w:lang w:val="en-US" w:eastAsia="zh-CN"/>
        </w:rPr>
        <w:t>衡阳日报发表。</w:t>
      </w:r>
    </w:p>
    <w:p w14:paraId="52EC6CCA">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王梅英的论文《基层党建工作在乡村振兴中的定位和作用》刊登国家级刊物《环球科学》（中国图书评论学会）。论文《关于推动新时代乡村文化振兴的路经》刊登《知识力量》2023第19期第一卷（新疆维吾尔自治区科学技术学会）。歌词《美丽衡南我的家》“喜迎二十大•抒写新衡南”征文县级优秀奖，诗歌《纸坊》《蔡伦竹海》《上堡晶矿》入选湖南诗人编辑部：“寻根蔡伦故里，诗咏美好时代”主题诗歌选，诗歌《康家戏台》《康汉柳饭店》入选湖南诗人编辑部：“接棒工运火炬，赓续红色基因”诗歌选，</w:t>
      </w:r>
    </w:p>
    <w:p w14:paraId="332A159F">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4、吴佳的油画《归艎》3月入选衡阳市美术馆“芳华翰墨”第十一届衡阳市女子书画展。10月，荣获丹青湖湘—湖南省群文美术专业委员会优秀作品奖。同时油画《蓄能》荣获“艺宣二十大 奋进新时代”全省美术书法摄影精品奖。油画《红色足迹》入选衡阳市美术家协会举办的“丹青颂衡州”画展。油画《筑梦城市建设》荣获衡南县优秀文艺作品奖。2023年10月份，吴佳老师被湖南省青年美术家协会吸收成为会员。</w:t>
      </w:r>
    </w:p>
    <w:p w14:paraId="6E34214F">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（二）配合中心，丰富活动，积极开展群文工作</w:t>
      </w:r>
    </w:p>
    <w:p w14:paraId="73A2088A">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我馆积极配合县委、县政府中心宣传工作，组织举办了各类文艺演出及展览、交流活动，极大地丰富了群众文化生活。今年以来，我们无论是组织承办政府指令性的重大文化活动，还是商业性演出活动，始终能按照局领导的要求，高起点、高定位，一丝不苟，扎扎实实地做好活动的组织策划，并力求创新，其影响力和两个效益十分明显。</w:t>
      </w:r>
    </w:p>
    <w:p w14:paraId="773C326D">
      <w:pPr>
        <w:spacing w:line="600" w:lineRule="exact"/>
        <w:ind w:firstLine="542" w:firstLineChars="200"/>
        <w:rPr>
          <w:rFonts w:hint="default"/>
          <w:lang w:val="en-US" w:eastAsia="zh-CN"/>
        </w:rPr>
      </w:pPr>
      <w:r>
        <w:rPr>
          <w:rFonts w:hint="eastAsia" w:asciiTheme="minorEastAsia" w:hAnsiTheme="minorEastAsia" w:eastAsiaTheme="minorEastAsia" w:cstheme="minorEastAsia"/>
          <w:sz w:val="28"/>
          <w:szCs w:val="28"/>
          <w:lang w:val="en-US" w:eastAsia="zh-CN"/>
        </w:rPr>
        <w:t>文化基础建设不断夯实。今年来，我馆始终坚持服务基层、服务大众的工作方针，在去年的基础上，按照局领导新的要求和部署，进一步推进文化指导进社区活动的开展，我们召开了文化志愿者经验交流会，广泛吸取所在社区的好点子，好方法。我馆组织并安排文化志愿者进社区，进校园，进乡村辅导文艺骨干，对部分条件成熟的社区、校园、乡村进行重点打造，在适当的时间内召开文化志愿者的经验交流活动，为服务活动做好了一定的前期准备工作。今年一年我们相继举办了12期模特形体培训班，有60多人接受了培训；举办了6期成人美术培训班，有40余人接受了培训；美术馆举办了8期成人书法培训班，有70余人接受了培训；举办了4期社区乐器培训班，有20余人接受了培训。</w:t>
      </w:r>
    </w:p>
    <w:p w14:paraId="007D2631">
      <w:pPr>
        <w:pStyle w:val="27"/>
        <w:widowControl/>
        <w:numPr>
          <w:ilvl w:val="0"/>
          <w:numId w:val="1"/>
        </w:numPr>
        <w:spacing w:line="600" w:lineRule="exact"/>
        <w:ind w:firstLineChars="0"/>
        <w:rPr>
          <w:rFonts w:hint="eastAsia" w:ascii="黑体" w:hAnsi="黑体" w:eastAsia="黑体" w:cs="Times New Roman"/>
          <w:sz w:val="32"/>
          <w:szCs w:val="32"/>
          <w:lang w:eastAsia="zh-CN"/>
        </w:rPr>
      </w:pPr>
      <w:r>
        <w:rPr>
          <w:rFonts w:hint="default" w:ascii="Times New Roman" w:hAnsi="Times New Roman" w:eastAsia="黑体" w:cs="Times New Roman"/>
          <w:sz w:val="32"/>
          <w:szCs w:val="32"/>
        </w:rPr>
        <w:t>一般公共预算支出情况</w:t>
      </w:r>
    </w:p>
    <w:p w14:paraId="45A30682">
      <w:pPr>
        <w:pStyle w:val="27"/>
        <w:widowControl/>
        <w:numPr>
          <w:ilvl w:val="0"/>
          <w:numId w:val="2"/>
        </w:numPr>
        <w:spacing w:line="600" w:lineRule="exact"/>
        <w:ind w:firstLine="933" w:firstLineChars="300"/>
        <w:rPr>
          <w:rFonts w:hint="eastAsia"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经批复的预、决算情况</w:t>
      </w:r>
    </w:p>
    <w:p w14:paraId="1409DECA">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预算情况：2023年度年初部门预算收入为173.27万元，其中公共财政预算拨款173.27万元，政府性基金收入0万元，其他收入0万元，上年结转资金0万元。预算支出173.26万元，其中：基本支出132.27万元，项目支出41万元。</w:t>
      </w:r>
    </w:p>
    <w:p w14:paraId="51DD21DD">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2、预算调整：年终调减基本支出23.09万元；追加项目支出139.42万元。</w:t>
      </w:r>
    </w:p>
    <w:p w14:paraId="456C509D">
      <w:pPr>
        <w:spacing w:line="600" w:lineRule="exact"/>
        <w:ind w:firstLine="542" w:firstLineChars="200"/>
        <w:rPr>
          <w:rFonts w:hint="default" w:asciiTheme="minorEastAsia" w:hAnsiTheme="minorEastAsia" w:eastAsiaTheme="minorEastAsia" w:cstheme="minorEastAsia"/>
          <w:sz w:val="28"/>
          <w:szCs w:val="28"/>
          <w:lang w:val="zh-CN" w:eastAsia="zh-CN"/>
        </w:rPr>
      </w:pPr>
      <w:r>
        <w:rPr>
          <w:rFonts w:hint="eastAsia" w:asciiTheme="minorEastAsia" w:hAnsiTheme="minorEastAsia" w:eastAsiaTheme="minorEastAsia" w:cstheme="minorEastAsia"/>
          <w:sz w:val="28"/>
          <w:szCs w:val="28"/>
          <w:lang w:val="en-US" w:eastAsia="zh-CN"/>
        </w:rPr>
        <w:t>3、决算情况：2023年总收入289.61万元，其中：一般财政拨款收入178.79万元，政府性基金收入0万元，其他收入110.82万元。总支出289.61万元，其中：基本支出109.18万元，项目支出180.43万元。年底总结余0万元。</w:t>
      </w:r>
    </w:p>
    <w:p w14:paraId="2D23C5F2">
      <w:pPr>
        <w:pStyle w:val="27"/>
        <w:widowControl/>
        <w:numPr>
          <w:ilvl w:val="0"/>
          <w:numId w:val="2"/>
        </w:numPr>
        <w:spacing w:line="600" w:lineRule="exact"/>
        <w:ind w:firstLine="933" w:firstLineChars="300"/>
        <w:rPr>
          <w:rFonts w:hint="eastAsia"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部门预算执行情况</w:t>
      </w:r>
      <w:r>
        <w:rPr>
          <w:rFonts w:hint="eastAsia" w:ascii="Times New Roman" w:hAnsi="Times New Roman" w:eastAsia="黑体" w:cs="Times New Roman"/>
          <w:sz w:val="32"/>
          <w:szCs w:val="32"/>
          <w:lang w:eastAsia="zh-CN"/>
        </w:rPr>
        <w:t>。</w:t>
      </w:r>
    </w:p>
    <w:p w14:paraId="2A85C404">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基本支出为保障单位机构正常运转、完成日常工作任务而发生的各项支出，包括用于基本工资、津贴补贴等人员经费以及办公费、印刷费、水电费、工会经费等日常公用经费。</w:t>
      </w:r>
    </w:p>
    <w:p w14:paraId="50F585AA">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1、基本支出</w:t>
      </w:r>
    </w:p>
    <w:p w14:paraId="4B2FE127">
      <w:pPr>
        <w:pStyle w:val="11"/>
        <w:spacing w:line="600" w:lineRule="exact"/>
        <w:ind w:left="0" w:leftChars="0" w:firstLine="64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2023年财政拨款基本支出为109.18万元，具体情况为：（1）工资福利支出99.68万元：基本工资47.25万元，津贴补贴28.37万元，绩效工资3.9万元，保险缴费15.1万元，住房公积金5.06万元。（2）公用经费支出4.87万元：办公费 2.4万元，差旅费0.2万元，劳务费0.2万元，其他交通费1.4万元。（3）对个人和家庭的补助支出 4.6万元：生活补助2.6万元，奖励金2万元。</w:t>
      </w:r>
    </w:p>
    <w:p w14:paraId="4E25677E">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2、项目支出</w:t>
      </w:r>
    </w:p>
    <w:p w14:paraId="43918013">
      <w:pPr>
        <w:spacing w:line="560" w:lineRule="exact"/>
        <w:ind w:firstLine="542" w:firstLineChars="200"/>
        <w:rPr>
          <w:rFonts w:hint="default" w:ascii="宋体" w:hAnsi="宋体" w:eastAsia="宋体" w:cs="宋体"/>
          <w:kern w:val="0"/>
          <w:sz w:val="28"/>
          <w:szCs w:val="28"/>
          <w:lang w:val="en-US" w:eastAsia="zh-CN"/>
        </w:rPr>
      </w:pPr>
      <w:r>
        <w:rPr>
          <w:rFonts w:hint="eastAsia" w:asciiTheme="minorEastAsia" w:hAnsiTheme="minorEastAsia" w:eastAsiaTheme="minorEastAsia" w:cstheme="minorEastAsia"/>
          <w:sz w:val="28"/>
          <w:szCs w:val="28"/>
          <w:lang w:val="en-US" w:eastAsia="zh-CN"/>
        </w:rPr>
        <w:t>2023年决算项目支出180.42万元。</w:t>
      </w:r>
    </w:p>
    <w:p w14:paraId="170E9A54">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其中：（1）文化活动费16.7万元。</w:t>
      </w:r>
    </w:p>
    <w:p w14:paraId="388382A4">
      <w:pPr>
        <w:numPr>
          <w:ilvl w:val="0"/>
          <w:numId w:val="3"/>
        </w:numPr>
        <w:spacing w:line="600" w:lineRule="exact"/>
        <w:ind w:firstLine="1355" w:firstLineChars="5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其他活动经费124.83万元。</w:t>
      </w:r>
    </w:p>
    <w:p w14:paraId="05776BCE">
      <w:pPr>
        <w:numPr>
          <w:ilvl w:val="0"/>
          <w:numId w:val="3"/>
        </w:numPr>
        <w:spacing w:line="600" w:lineRule="exact"/>
        <w:ind w:firstLine="1355" w:firstLineChars="5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两馆免费开放及运行经费38.89万元</w:t>
      </w:r>
    </w:p>
    <w:p w14:paraId="3A8C43E0">
      <w:pPr>
        <w:spacing w:line="600" w:lineRule="exact"/>
        <w:ind w:firstLine="622" w:firstLineChars="200"/>
        <w:rPr>
          <w:rFonts w:hint="eastAsia" w:asciiTheme="minorEastAsia" w:hAnsiTheme="minorEastAsia" w:eastAsiaTheme="minorEastAsia" w:cstheme="minorEastAsia"/>
          <w:sz w:val="28"/>
          <w:szCs w:val="28"/>
          <w:lang w:val="en-US" w:eastAsia="zh-CN"/>
        </w:rPr>
      </w:pPr>
      <w:r>
        <w:rPr>
          <w:rFonts w:hint="eastAsia" w:eastAsia="黑体" w:cs="Times New Roman"/>
          <w:kern w:val="2"/>
          <w:sz w:val="32"/>
          <w:szCs w:val="32"/>
          <w:lang w:val="en-US" w:eastAsia="zh-CN" w:bidi="ar-SA"/>
        </w:rPr>
        <w:t>（三）“</w:t>
      </w:r>
      <w:r>
        <w:rPr>
          <w:rFonts w:hint="default" w:ascii="Times New Roman" w:hAnsi="Times New Roman" w:eastAsia="黑体" w:cs="Times New Roman"/>
          <w:kern w:val="2"/>
          <w:sz w:val="32"/>
          <w:szCs w:val="32"/>
          <w:lang w:val="en-US" w:eastAsia="zh-CN" w:bidi="ar-SA"/>
        </w:rPr>
        <w:t>三公</w:t>
      </w:r>
      <w:r>
        <w:rPr>
          <w:rFonts w:hint="eastAsia" w:eastAsia="黑体" w:cs="Times New Roman"/>
          <w:kern w:val="2"/>
          <w:sz w:val="32"/>
          <w:szCs w:val="32"/>
          <w:lang w:val="en-US" w:eastAsia="zh-CN" w:bidi="ar-SA"/>
        </w:rPr>
        <w:t>”</w:t>
      </w:r>
      <w:r>
        <w:rPr>
          <w:rFonts w:hint="default" w:ascii="Times New Roman" w:hAnsi="Times New Roman" w:eastAsia="黑体" w:cs="Times New Roman"/>
          <w:kern w:val="2"/>
          <w:sz w:val="32"/>
          <w:szCs w:val="32"/>
          <w:lang w:val="en-US" w:eastAsia="zh-CN" w:bidi="ar-SA"/>
        </w:rPr>
        <w:t>经费使用和管理情况</w:t>
      </w:r>
    </w:p>
    <w:p w14:paraId="064C855D">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2023年初批复预算的“三公”经费为0万元，其中公务接待0万元，因公出国费用0万元，公务用车0万元。</w:t>
      </w:r>
    </w:p>
    <w:p w14:paraId="2AB67888">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全年决算支出“三公”经费0万元，其中公务接待0万元，因公出国费用0万元，公务用车0万元。</w:t>
      </w:r>
    </w:p>
    <w:p w14:paraId="150805C4">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2023年我馆无“三公”经费支出。</w:t>
      </w:r>
    </w:p>
    <w:p w14:paraId="25C1B036">
      <w:pPr>
        <w:spacing w:line="600" w:lineRule="exact"/>
        <w:ind w:firstLine="622" w:firstLineChars="200"/>
        <w:rPr>
          <w:rFonts w:hint="default"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（四）</w:t>
      </w:r>
      <w:r>
        <w:rPr>
          <w:rFonts w:hint="default" w:ascii="Times New Roman" w:hAnsi="Times New Roman" w:eastAsia="黑体" w:cs="Times New Roman"/>
          <w:kern w:val="2"/>
          <w:sz w:val="32"/>
          <w:szCs w:val="32"/>
          <w:lang w:val="en-US" w:eastAsia="zh-CN" w:bidi="ar-SA"/>
        </w:rPr>
        <w:t>资金结转和结余情况</w:t>
      </w:r>
    </w:p>
    <w:p w14:paraId="7C4C5A74">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2023</w:t>
      </w:r>
      <w:r>
        <w:rPr>
          <w:rFonts w:hint="eastAsia" w:asciiTheme="minorEastAsia" w:hAnsiTheme="minorEastAsia" w:eastAsiaTheme="minorEastAsia" w:cstheme="minorEastAsia"/>
          <w:sz w:val="28"/>
          <w:szCs w:val="28"/>
          <w:lang w:val="en-US"/>
        </w:rPr>
        <w:t>年，本单位年末结转和结余资金</w:t>
      </w:r>
      <w:r>
        <w:rPr>
          <w:rFonts w:hint="eastAsia" w:asciiTheme="minorEastAsia" w:hAnsiTheme="minorEastAsia" w:eastAsiaTheme="minorEastAsia" w:cstheme="minorEastAsia"/>
          <w:sz w:val="28"/>
          <w:szCs w:val="28"/>
          <w:lang w:val="en-US" w:eastAsia="zh-CN"/>
        </w:rPr>
        <w:t>0万</w:t>
      </w:r>
      <w:r>
        <w:rPr>
          <w:rFonts w:hint="eastAsia" w:asciiTheme="minorEastAsia" w:hAnsiTheme="minorEastAsia" w:eastAsiaTheme="minorEastAsia" w:cstheme="minorEastAsia"/>
          <w:sz w:val="28"/>
          <w:szCs w:val="28"/>
          <w:lang w:val="en-US"/>
        </w:rPr>
        <w:t>元</w:t>
      </w:r>
      <w:r>
        <w:rPr>
          <w:rFonts w:hint="eastAsia" w:asciiTheme="minorEastAsia" w:hAnsiTheme="minorEastAsia" w:eastAsiaTheme="minorEastAsia" w:cstheme="minorEastAsia"/>
          <w:sz w:val="28"/>
          <w:szCs w:val="28"/>
          <w:lang w:val="en-US" w:eastAsia="zh-CN"/>
        </w:rPr>
        <w:t>。</w:t>
      </w:r>
    </w:p>
    <w:p w14:paraId="3A950A64">
      <w:pPr>
        <w:numPr>
          <w:ilvl w:val="0"/>
          <w:numId w:val="4"/>
        </w:numPr>
        <w:spacing w:line="600" w:lineRule="exact"/>
        <w:ind w:firstLine="622" w:firstLineChars="200"/>
        <w:rPr>
          <w:rFonts w:hint="eastAsia"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部门整体支出管理与制度建设情况</w:t>
      </w:r>
    </w:p>
    <w:p w14:paraId="2133A9B9">
      <w:pPr>
        <w:pStyle w:val="7"/>
        <w:widowControl w:val="0"/>
        <w:numPr>
          <w:ilvl w:val="0"/>
          <w:numId w:val="0"/>
        </w:numPr>
        <w:snapToGrid w:val="0"/>
        <w:jc w:val="left"/>
        <w:rPr>
          <w:rFonts w:hint="eastAsia"/>
          <w:lang w:val="en-US" w:eastAsia="zh-CN"/>
        </w:rPr>
      </w:pPr>
    </w:p>
    <w:p w14:paraId="3F7EFD39">
      <w:pPr>
        <w:keepNext w:val="0"/>
        <w:keepLines w:val="0"/>
        <w:pageBreakBefore w:val="0"/>
        <w:widowControl w:val="0"/>
        <w:kinsoku/>
        <w:wordWrap/>
        <w:overflowPunct/>
        <w:topLinePunct w:val="0"/>
        <w:autoSpaceDE/>
        <w:bidi w:val="0"/>
        <w:adjustRightInd/>
        <w:snapToGrid/>
        <w:spacing w:line="600" w:lineRule="exact"/>
        <w:ind w:left="0" w:leftChars="0" w:firstLine="542" w:firstLineChars="200"/>
        <w:textAlignment w:val="auto"/>
        <w:rPr>
          <w:rFonts w:hint="eastAsia"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en-US" w:eastAsia="zh-CN"/>
        </w:rPr>
        <w:t>我馆高度重视部门预算管理制度建设，按照《中华人民共和国会计法》、《中华人民共和国预算法》、《党政机关厉行节约反对浪费条例》等编制部门预算管理制度。根据上年度收支情况编制本年度部门预算。重点是</w:t>
      </w:r>
      <w:r>
        <w:rPr>
          <w:rFonts w:hint="default" w:asciiTheme="minorEastAsia" w:hAnsiTheme="minorEastAsia" w:eastAsiaTheme="minorEastAsia" w:cstheme="minorEastAsia"/>
          <w:sz w:val="28"/>
          <w:szCs w:val="28"/>
          <w:lang w:val="en-US" w:eastAsia="zh-CN"/>
        </w:rPr>
        <w:t>1、人员编制情况，根据实际人员数量进行人员增减编制；2、人员经费，按照人事部门核对的人数和人员经费标准直接计算编制；</w:t>
      </w:r>
      <w:r>
        <w:rPr>
          <w:rFonts w:hint="eastAsia" w:asciiTheme="minorEastAsia" w:hAnsiTheme="minorEastAsia" w:eastAsiaTheme="minorEastAsia" w:cstheme="minorEastAsia"/>
          <w:sz w:val="28"/>
          <w:szCs w:val="28"/>
          <w:lang w:val="en-US" w:eastAsia="zh-CN"/>
        </w:rPr>
        <w:t>3</w:t>
      </w:r>
      <w:r>
        <w:rPr>
          <w:rFonts w:hint="default" w:asciiTheme="minorEastAsia" w:hAnsiTheme="minorEastAsia" w:eastAsiaTheme="minorEastAsia" w:cstheme="minorEastAsia"/>
          <w:sz w:val="28"/>
          <w:szCs w:val="28"/>
          <w:lang w:val="en-US" w:eastAsia="zh-CN"/>
        </w:rPr>
        <w:t>、项目预算绩效编制；</w:t>
      </w:r>
      <w:r>
        <w:rPr>
          <w:rFonts w:hint="eastAsia" w:asciiTheme="minorEastAsia" w:hAnsiTheme="minorEastAsia" w:eastAsiaTheme="minorEastAsia" w:cstheme="minorEastAsia"/>
          <w:sz w:val="28"/>
          <w:szCs w:val="28"/>
          <w:lang w:val="en-US" w:eastAsia="zh-CN"/>
        </w:rPr>
        <w:t>4</w:t>
      </w:r>
      <w:r>
        <w:rPr>
          <w:rFonts w:hint="default" w:asciiTheme="minorEastAsia" w:hAnsiTheme="minorEastAsia" w:eastAsiaTheme="minorEastAsia" w:cstheme="minorEastAsia"/>
          <w:sz w:val="28"/>
          <w:szCs w:val="28"/>
          <w:lang w:val="en-US" w:eastAsia="zh-CN"/>
        </w:rPr>
        <w:t>、强化厉行节约，加强内部控制，合理控制机关运行成本</w:t>
      </w:r>
      <w:r>
        <w:rPr>
          <w:rFonts w:hint="eastAsia" w:asciiTheme="minorEastAsia" w:hAnsiTheme="minorEastAsia" w:eastAsiaTheme="minorEastAsia" w:cstheme="minorEastAsia"/>
          <w:sz w:val="28"/>
          <w:szCs w:val="28"/>
          <w:lang w:val="en-US" w:eastAsia="zh-CN"/>
        </w:rPr>
        <w:t>。严格按照“八项规定”和《党风廉政建设责任制》要求，制定了财务管理制度、公务用车管理制度、公务接待制度，落实了专职报账人员，确保财务管理制度化、规范化。认真落实固定资产管理办法，对固定资产的保管、使用、账实进行专人管理，确保固定资产安全和完整，并严格按照有关规定执行政府采购。</w:t>
      </w:r>
    </w:p>
    <w:p w14:paraId="4A1EFF86">
      <w:pPr>
        <w:pStyle w:val="27"/>
        <w:widowControl/>
        <w:numPr>
          <w:ilvl w:val="0"/>
          <w:numId w:val="1"/>
        </w:numPr>
        <w:spacing w:line="600" w:lineRule="exact"/>
        <w:ind w:firstLineChars="0"/>
        <w:rPr>
          <w:rFonts w:hint="default" w:ascii="Times New Roman" w:hAnsi="Times New Roman" w:eastAsia="黑体" w:cs="Times New Roman"/>
          <w:sz w:val="32"/>
          <w:szCs w:val="32"/>
        </w:rPr>
      </w:pPr>
      <w:r>
        <w:rPr>
          <w:rFonts w:hint="eastAsia" w:ascii="Times New Roman" w:hAnsi="Times New Roman" w:eastAsia="黑体" w:cs="Times New Roman"/>
          <w:sz w:val="32"/>
          <w:szCs w:val="32"/>
        </w:rPr>
        <w:t>政府性基金预算支出情况</w:t>
      </w:r>
    </w:p>
    <w:p w14:paraId="18AEB090">
      <w:pPr>
        <w:spacing w:line="600" w:lineRule="exact"/>
        <w:ind w:firstLine="1084" w:firstLineChars="4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无</w:t>
      </w:r>
    </w:p>
    <w:p w14:paraId="690B4575">
      <w:pPr>
        <w:pStyle w:val="27"/>
        <w:widowControl/>
        <w:numPr>
          <w:ilvl w:val="0"/>
          <w:numId w:val="1"/>
        </w:numPr>
        <w:spacing w:line="600" w:lineRule="exact"/>
        <w:ind w:firstLineChars="0"/>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国有资本经营预算支出情况</w:t>
      </w:r>
    </w:p>
    <w:p w14:paraId="2383D119">
      <w:pPr>
        <w:spacing w:line="600" w:lineRule="exact"/>
        <w:ind w:firstLine="1084" w:firstLineChars="4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无</w:t>
      </w:r>
    </w:p>
    <w:p w14:paraId="18550F55">
      <w:pPr>
        <w:pStyle w:val="27"/>
        <w:widowControl/>
        <w:spacing w:line="600" w:lineRule="exact"/>
        <w:ind w:firstLine="622" w:firstLineChars="200"/>
        <w:jc w:val="left"/>
        <w:rPr>
          <w:rFonts w:eastAsia="黑体"/>
          <w:sz w:val="32"/>
          <w:szCs w:val="32"/>
        </w:rPr>
      </w:pPr>
      <w:r>
        <w:rPr>
          <w:rFonts w:hint="eastAsia" w:eastAsia="黑体"/>
          <w:sz w:val="32"/>
          <w:szCs w:val="32"/>
        </w:rPr>
        <w:t>五、</w:t>
      </w:r>
      <w:r>
        <w:rPr>
          <w:rFonts w:hint="eastAsia" w:ascii="Times New Roman" w:hAnsi="Times New Roman" w:eastAsia="黑体" w:cs="Times New Roman"/>
          <w:sz w:val="32"/>
          <w:szCs w:val="32"/>
        </w:rPr>
        <w:t>社会保险基金预算支出情况</w:t>
      </w:r>
    </w:p>
    <w:p w14:paraId="59190342">
      <w:pPr>
        <w:pStyle w:val="27"/>
        <w:widowControl/>
        <w:spacing w:line="600" w:lineRule="exact"/>
        <w:ind w:firstLine="0" w:firstLineChars="0"/>
        <w:jc w:val="left"/>
        <w:rPr>
          <w:rFonts w:ascii="仿宋" w:hAnsi="仿宋" w:eastAsia="仿宋"/>
          <w:sz w:val="32"/>
          <w:szCs w:val="32"/>
        </w:rPr>
      </w:pPr>
      <w:r>
        <w:rPr>
          <w:rFonts w:hint="eastAsia" w:ascii="仿宋" w:hAnsi="仿宋" w:eastAsia="仿宋"/>
          <w:sz w:val="32"/>
          <w:szCs w:val="32"/>
        </w:rPr>
        <w:t xml:space="preserve"> </w:t>
      </w:r>
      <w:r>
        <w:rPr>
          <w:rFonts w:hint="eastAsia" w:ascii="仿宋" w:hAnsi="仿宋" w:eastAsia="仿宋"/>
          <w:sz w:val="32"/>
          <w:szCs w:val="32"/>
          <w:lang w:val="en-US" w:eastAsia="zh-CN"/>
        </w:rPr>
        <w:t xml:space="preserve">     </w:t>
      </w:r>
      <w:r>
        <w:rPr>
          <w:rFonts w:hint="eastAsia" w:ascii="仿宋" w:hAnsi="仿宋" w:eastAsia="仿宋"/>
          <w:sz w:val="32"/>
          <w:szCs w:val="32"/>
        </w:rPr>
        <w:t xml:space="preserve"> </w:t>
      </w:r>
      <w:r>
        <w:rPr>
          <w:rFonts w:hint="eastAsia" w:asciiTheme="minorEastAsia" w:hAnsiTheme="minorEastAsia" w:eastAsiaTheme="minorEastAsia" w:cstheme="minorEastAsia"/>
          <w:kern w:val="2"/>
          <w:sz w:val="28"/>
          <w:szCs w:val="28"/>
          <w:lang w:val="en-US" w:eastAsia="zh-CN" w:bidi="ar-SA"/>
        </w:rPr>
        <w:t>无</w:t>
      </w:r>
    </w:p>
    <w:p w14:paraId="249DFB7A">
      <w:pPr>
        <w:spacing w:line="360" w:lineRule="auto"/>
        <w:ind w:firstLine="622" w:firstLineChars="200"/>
        <w:rPr>
          <w:rFonts w:hint="eastAsia" w:ascii="黑体" w:eastAsia="黑体"/>
          <w:sz w:val="32"/>
          <w:szCs w:val="32"/>
        </w:rPr>
      </w:pPr>
      <w:r>
        <w:rPr>
          <w:rFonts w:hint="eastAsia" w:ascii="黑体" w:eastAsia="黑体"/>
          <w:sz w:val="32"/>
          <w:szCs w:val="32"/>
        </w:rPr>
        <w:t>六</w:t>
      </w:r>
      <w:r>
        <w:rPr>
          <w:rFonts w:ascii="黑体" w:eastAsia="黑体"/>
          <w:sz w:val="32"/>
          <w:szCs w:val="32"/>
        </w:rPr>
        <w:t>、</w:t>
      </w:r>
      <w:r>
        <w:rPr>
          <w:rFonts w:hint="eastAsia" w:ascii="Times New Roman" w:hAnsi="Times New Roman" w:eastAsia="黑体" w:cs="Times New Roman"/>
          <w:kern w:val="2"/>
          <w:sz w:val="32"/>
          <w:szCs w:val="32"/>
          <w:lang w:val="en-US" w:eastAsia="zh-CN" w:bidi="ar-SA"/>
        </w:rPr>
        <w:t>部门整体支出绩效评价情况</w:t>
      </w:r>
    </w:p>
    <w:p w14:paraId="71C07F00">
      <w:pPr>
        <w:snapToGrid w:val="0"/>
        <w:spacing w:line="520" w:lineRule="exact"/>
        <w:ind w:firstLine="622" w:firstLineChars="200"/>
        <w:rPr>
          <w:rFonts w:hint="eastAsia" w:ascii="仿宋_GB2312" w:hAnsi="Times New Roman" w:eastAsia="仿宋_GB2312"/>
          <w:b/>
          <w:bCs/>
          <w:sz w:val="32"/>
          <w:szCs w:val="32"/>
        </w:rPr>
      </w:pPr>
      <w:r>
        <w:rPr>
          <w:rFonts w:hint="eastAsia" w:ascii="仿宋_GB2312" w:hAnsi="Times New Roman" w:eastAsia="仿宋_GB2312"/>
          <w:b/>
          <w:bCs/>
          <w:sz w:val="32"/>
          <w:szCs w:val="32"/>
          <w:lang w:eastAsia="zh-CN"/>
        </w:rPr>
        <w:t>（一）</w:t>
      </w:r>
      <w:r>
        <w:rPr>
          <w:rFonts w:hint="eastAsia" w:ascii="仿宋_GB2312" w:hAnsi="Times New Roman" w:eastAsia="仿宋_GB2312"/>
          <w:b/>
          <w:bCs/>
          <w:sz w:val="32"/>
          <w:szCs w:val="32"/>
        </w:rPr>
        <w:t>综合评价结论。</w:t>
      </w:r>
    </w:p>
    <w:p w14:paraId="07E27180">
      <w:pPr>
        <w:spacing w:line="600" w:lineRule="exact"/>
        <w:ind w:firstLine="813" w:firstLineChars="3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2023年，我馆积极履职，强化管理，较好的完成了年度工作目标。通过加强预算收支管理，不断建立健全内部管理制度，梳理内部管理流程，整体支出管理水平得到提升</w:t>
      </w:r>
    </w:p>
    <w:p w14:paraId="01CDC3C3">
      <w:pPr>
        <w:spacing w:line="600" w:lineRule="exact"/>
        <w:ind w:firstLine="813" w:firstLineChars="3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rPr>
        <w:t>202</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lang w:val="en-US"/>
        </w:rPr>
        <w:t>年部门整体支出绩效评价自查自评结果为优秀。</w:t>
      </w:r>
    </w:p>
    <w:p w14:paraId="22EB9CFC">
      <w:pPr>
        <w:widowControl/>
        <w:spacing w:line="600" w:lineRule="exact"/>
        <w:ind w:firstLine="645"/>
        <w:jc w:val="left"/>
        <w:rPr>
          <w:rFonts w:hint="eastAsia" w:ascii="Times New Roman" w:hAnsi="Times New Roman" w:eastAsia="仿宋_GB2312"/>
          <w:b/>
          <w:bCs/>
          <w:sz w:val="32"/>
          <w:szCs w:val="32"/>
        </w:rPr>
      </w:pPr>
      <w:r>
        <w:rPr>
          <w:rFonts w:hint="eastAsia" w:ascii="Times New Roman" w:hAnsi="Times New Roman" w:eastAsia="仿宋_GB2312"/>
          <w:b/>
          <w:bCs/>
          <w:sz w:val="32"/>
          <w:szCs w:val="32"/>
          <w:lang w:eastAsia="zh-CN"/>
        </w:rPr>
        <w:t>（二）</w:t>
      </w:r>
      <w:r>
        <w:rPr>
          <w:rFonts w:hint="eastAsia" w:ascii="Times New Roman" w:hAnsi="Times New Roman" w:eastAsia="仿宋_GB2312"/>
          <w:b/>
          <w:bCs/>
          <w:sz w:val="32"/>
          <w:szCs w:val="32"/>
        </w:rPr>
        <w:t>综合评价情况</w:t>
      </w:r>
    </w:p>
    <w:p w14:paraId="6F0108F5">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1.目标设定：①绩效目标合理：目标符合发展总体规划；目标符合部门三定方案确定的职责；目标符合部门制定的中长期实施规划；②绩效指标明确性：目标细化、指标值量化；目标与年度任务或计划数相对应；目标与年度部门预算资金相匹配。</w:t>
      </w:r>
    </w:p>
    <w:p w14:paraId="684F3885">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rPr>
        <w:t>2.预算配置：①财政供养人员控制为</w:t>
      </w:r>
      <w:r>
        <w:rPr>
          <w:rFonts w:hint="eastAsia" w:asciiTheme="minorEastAsia" w:hAnsiTheme="minorEastAsia" w:eastAsiaTheme="minorEastAsia" w:cstheme="minorEastAsia"/>
          <w:sz w:val="28"/>
          <w:szCs w:val="28"/>
          <w:lang w:val="en-US" w:eastAsia="zh-CN"/>
        </w:rPr>
        <w:t>100</w:t>
      </w:r>
      <w:r>
        <w:rPr>
          <w:rFonts w:hint="eastAsia" w:asciiTheme="minorEastAsia" w:hAnsiTheme="minorEastAsia" w:eastAsiaTheme="minorEastAsia" w:cstheme="minorEastAsia"/>
          <w:sz w:val="28"/>
          <w:szCs w:val="28"/>
          <w:lang w:val="en-US"/>
        </w:rPr>
        <w:t>%。②</w:t>
      </w:r>
      <w:r>
        <w:rPr>
          <w:rFonts w:hint="eastAsia" w:asciiTheme="minorEastAsia" w:hAnsiTheme="minorEastAsia" w:eastAsiaTheme="minorEastAsia" w:cstheme="minorEastAsia"/>
          <w:sz w:val="28"/>
          <w:szCs w:val="28"/>
          <w:lang w:val="en-US" w:eastAsia="zh-CN"/>
        </w:rPr>
        <w:t>2023年我馆无“三公”经费支出。</w:t>
      </w:r>
    </w:p>
    <w:p w14:paraId="6E2169BF">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3.预算执行:（1）</w:t>
      </w:r>
      <w:r>
        <w:rPr>
          <w:rFonts w:hint="eastAsia" w:asciiTheme="minorEastAsia" w:hAnsiTheme="minorEastAsia" w:eastAsiaTheme="minorEastAsia" w:cstheme="minorEastAsia"/>
          <w:sz w:val="28"/>
          <w:szCs w:val="28"/>
          <w:lang w:val="en-US" w:eastAsia="zh-CN"/>
        </w:rPr>
        <w:t>2023年</w:t>
      </w:r>
      <w:r>
        <w:rPr>
          <w:rFonts w:hint="eastAsia" w:asciiTheme="minorEastAsia" w:hAnsiTheme="minorEastAsia" w:eastAsiaTheme="minorEastAsia" w:cstheme="minorEastAsia"/>
          <w:sz w:val="28"/>
          <w:szCs w:val="28"/>
          <w:lang w:val="en-US"/>
        </w:rPr>
        <w:t>预算调整额达</w:t>
      </w:r>
      <w:r>
        <w:rPr>
          <w:rFonts w:hint="eastAsia" w:asciiTheme="minorEastAsia" w:hAnsiTheme="minorEastAsia" w:eastAsiaTheme="minorEastAsia" w:cstheme="minorEastAsia"/>
          <w:sz w:val="28"/>
          <w:szCs w:val="28"/>
          <w:lang w:val="en-US" w:eastAsia="zh-CN"/>
        </w:rPr>
        <w:t>67.3</w:t>
      </w:r>
      <w:r>
        <w:rPr>
          <w:rFonts w:hint="eastAsia" w:asciiTheme="minorEastAsia" w:hAnsiTheme="minorEastAsia" w:eastAsiaTheme="minorEastAsia" w:cstheme="minorEastAsia"/>
          <w:sz w:val="28"/>
          <w:szCs w:val="28"/>
          <w:lang w:val="en-US"/>
        </w:rPr>
        <w:t>%。（2）支出进度：按进度要求完成资金下拨.（3）结转结余：本单位年末结转和结余资金</w:t>
      </w:r>
      <w:r>
        <w:rPr>
          <w:rFonts w:hint="eastAsia" w:asciiTheme="minorEastAsia" w:hAnsiTheme="minorEastAsia" w:eastAsiaTheme="minorEastAsia" w:cstheme="minorEastAsia"/>
          <w:sz w:val="28"/>
          <w:szCs w:val="28"/>
          <w:lang w:val="en-US" w:eastAsia="zh-CN"/>
        </w:rPr>
        <w:t>0万元</w:t>
      </w:r>
      <w:r>
        <w:rPr>
          <w:rFonts w:hint="eastAsia" w:asciiTheme="minorEastAsia" w:hAnsiTheme="minorEastAsia" w:eastAsiaTheme="minorEastAsia" w:cstheme="minorEastAsia"/>
          <w:sz w:val="28"/>
          <w:szCs w:val="28"/>
          <w:lang w:val="en-US"/>
        </w:rPr>
        <w:t>.（</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lang w:val="en-US"/>
        </w:rPr>
        <w:t>）政府采购执行率：政府采购执行率100%。</w:t>
      </w:r>
    </w:p>
    <w:p w14:paraId="7006ED12">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 xml:space="preserve">4.预算管理:⑴管理制度健全性：制定了预算资金管理办法，内部财务管理制度、会计核算制度等管理制度；相关管理制度合法、合规、完整；相关管理制度得到有效执行。⑵资金使用合规性：支出符合国家财经法规和财务管理制度规定以及有关专项资金管理办法的规定；没有出现截留、挤占、挪用、虚列支出，大额现金支付、违规借出(占用)、乱发滥补、虚报冒领，转嫁支出、乱开户乱存放、私设小金库等违规行为；资金拨付有完整的审批程序和手续；项目支出按规定经过评估论证；支出符合部门预算批复的用途。 </w:t>
      </w:r>
    </w:p>
    <w:p w14:paraId="2A7F7316">
      <w:pPr>
        <w:spacing w:line="600" w:lineRule="exact"/>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⑶预决算和基础信息公开性：预决算信息公开内容合规；基础数据信息和会计信息资料真实、完整、准确。</w:t>
      </w:r>
    </w:p>
    <w:p w14:paraId="1A00CB02">
      <w:pPr>
        <w:spacing w:line="600" w:lineRule="exact"/>
        <w:ind w:firstLine="542" w:firstLineChars="200"/>
        <w:rPr>
          <w:rFonts w:hint="eastAsia" w:asciiTheme="minorEastAsia" w:hAnsiTheme="minorEastAsia" w:eastAsiaTheme="minorEastAsia" w:cstheme="minorEastAsia"/>
          <w:sz w:val="28"/>
          <w:szCs w:val="28"/>
          <w:lang w:val="en-US"/>
        </w:rPr>
      </w:pPr>
      <w:r>
        <w:rPr>
          <w:rFonts w:hint="eastAsia" w:asciiTheme="minorEastAsia" w:hAnsiTheme="minorEastAsia" w:eastAsiaTheme="minorEastAsia" w:cstheme="minorEastAsia"/>
          <w:sz w:val="28"/>
          <w:szCs w:val="28"/>
          <w:lang w:val="en-US"/>
        </w:rPr>
        <w:t>5.资产管理</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lang w:val="en-US"/>
        </w:rPr>
        <w:t>管理制度健全性：已制定或具有资产管理制度；相关资产管理制度合法合规完整；相关资产管理制度得到有效执行。⑵资产管理安全性：资产保存完整；资产配置合理；资产处置规范；资产账务管理合规，帐实相符；资产有偿使用及处置收入及时足额上缴。⑶固定资产利用率：固定资产利用率为100%。</w:t>
      </w:r>
    </w:p>
    <w:p w14:paraId="6B0D0BB5">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4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rPr>
        <w:t>6.产出及效果:</w:t>
      </w:r>
      <w:r>
        <w:rPr>
          <w:rFonts w:hint="eastAsia" w:asciiTheme="minorEastAsia" w:hAnsiTheme="minorEastAsia" w:eastAsiaTheme="minorEastAsia" w:cstheme="minorEastAsia"/>
          <w:sz w:val="28"/>
          <w:szCs w:val="28"/>
          <w:lang w:val="en-US" w:eastAsia="zh-CN"/>
        </w:rPr>
        <w:t>我办较好地完成了2023年初设定的工作任务，各项专项工作得到有序开展，资金拨付报账到位率为95%。</w:t>
      </w:r>
    </w:p>
    <w:p w14:paraId="08D998F0">
      <w:pPr>
        <w:spacing w:line="360" w:lineRule="auto"/>
        <w:ind w:firstLine="622" w:firstLineChars="200"/>
        <w:rPr>
          <w:rFonts w:hint="eastAsia"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七、存在的问题</w:t>
      </w:r>
      <w:r>
        <w:rPr>
          <w:rFonts w:hint="eastAsia" w:eastAsia="黑体" w:cs="Times New Roman"/>
          <w:kern w:val="2"/>
          <w:sz w:val="32"/>
          <w:szCs w:val="32"/>
          <w:lang w:val="en-US" w:eastAsia="zh-CN" w:bidi="ar-SA"/>
        </w:rPr>
        <w:t>及原因分析</w:t>
      </w:r>
    </w:p>
    <w:p w14:paraId="5602DA68">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1、账务处理有待进一步规范，健全财务制度。</w:t>
      </w:r>
    </w:p>
    <w:p w14:paraId="136F1008">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2、预算编制的合理性有待提高。预算编制时的前瞻性不够。预算编制的质量不高，实际资金支出过程中因实际情况发生变化与预算支出经济科目数有时存在偏差，预算编制精准化还有待进一步提高。</w:t>
      </w:r>
    </w:p>
    <w:p w14:paraId="2AE66DD0">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3、资金使用效益有待进一步提高，绩效目标设立不够明确、细化和量化。</w:t>
      </w:r>
    </w:p>
    <w:p w14:paraId="51317E99">
      <w:pPr>
        <w:spacing w:line="600" w:lineRule="exact"/>
        <w:ind w:firstLine="542"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4、固定资产有不少已经损坏、无法使用，暂未做资产处置。</w:t>
      </w:r>
    </w:p>
    <w:p w14:paraId="0058E235">
      <w:pPr>
        <w:widowControl/>
        <w:spacing w:line="600" w:lineRule="exact"/>
        <w:ind w:firstLine="622" w:firstLineChars="200"/>
        <w:jc w:val="lef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八、下一步改进措施</w:t>
      </w:r>
    </w:p>
    <w:p w14:paraId="23EB4054">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1、抓好财务预算管理，严格执行财务管理制度，充分发挥监督作用。</w:t>
      </w:r>
    </w:p>
    <w:p w14:paraId="4E77E6B7">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2、严格财务支出审批。抓好审核和审批两个环节，在审核审批中严把支出关，切实维护财务纪律的严肃性。</w:t>
      </w:r>
    </w:p>
    <w:p w14:paraId="6856B5D7">
      <w:pPr>
        <w:spacing w:line="600" w:lineRule="exact"/>
        <w:ind w:firstLine="542"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3、强化经费管理。重点加强招待费和公务用车的管理，严格控制支出，降低经费支出。</w:t>
      </w:r>
    </w:p>
    <w:p w14:paraId="1ECCF622">
      <w:pPr>
        <w:widowControl/>
        <w:spacing w:line="600" w:lineRule="exact"/>
        <w:ind w:firstLine="622" w:firstLineChars="200"/>
        <w:jc w:val="left"/>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九、其他需要说明的情况</w:t>
      </w:r>
    </w:p>
    <w:p w14:paraId="5C9339D4">
      <w:pPr>
        <w:spacing w:line="600" w:lineRule="exact"/>
        <w:ind w:firstLine="622" w:firstLineChars="200"/>
        <w:rPr>
          <w:rFonts w:hint="eastAsia" w:asciiTheme="minorEastAsia" w:hAnsiTheme="minorEastAsia" w:eastAsiaTheme="minorEastAsia" w:cstheme="minorEastAsia"/>
          <w:sz w:val="28"/>
          <w:szCs w:val="28"/>
          <w:lang w:val="en-US" w:eastAsia="zh-CN"/>
        </w:rPr>
      </w:pPr>
      <w:r>
        <w:rPr>
          <w:rFonts w:hint="eastAsia" w:ascii="Times New Roman" w:hAnsi="Times New Roman" w:eastAsia="黑体"/>
          <w:sz w:val="32"/>
          <w:szCs w:val="32"/>
        </w:rPr>
        <w:t xml:space="preserve">   </w:t>
      </w:r>
      <w:r>
        <w:rPr>
          <w:rFonts w:hint="eastAsia" w:asciiTheme="minorEastAsia" w:hAnsiTheme="minorEastAsia" w:eastAsiaTheme="minorEastAsia" w:cstheme="minorEastAsia"/>
          <w:sz w:val="28"/>
          <w:szCs w:val="28"/>
          <w:lang w:val="en-US" w:eastAsia="zh-CN"/>
        </w:rPr>
        <w:t>无</w:t>
      </w:r>
    </w:p>
    <w:p w14:paraId="3D05A82C">
      <w:pPr>
        <w:pStyle w:val="7"/>
        <w:rPr>
          <w:rFonts w:hint="eastAsia" w:asciiTheme="minorEastAsia" w:hAnsiTheme="minorEastAsia" w:eastAsiaTheme="minorEastAsia" w:cstheme="minorEastAsia"/>
          <w:sz w:val="28"/>
          <w:szCs w:val="28"/>
          <w:lang w:val="en-US" w:eastAsia="zh-CN"/>
        </w:rPr>
      </w:pPr>
    </w:p>
    <w:p w14:paraId="0656443A">
      <w:pPr>
        <w:pStyle w:val="7"/>
        <w:rPr>
          <w:rFonts w:hint="eastAsia" w:asciiTheme="minorEastAsia" w:hAnsiTheme="minorEastAsia" w:eastAsiaTheme="minorEastAsia" w:cstheme="minorEastAsia"/>
          <w:sz w:val="28"/>
          <w:szCs w:val="28"/>
          <w:lang w:val="en-US" w:eastAsia="zh-CN"/>
        </w:rPr>
      </w:pPr>
    </w:p>
    <w:p w14:paraId="7627BE01">
      <w:pPr>
        <w:pStyle w:val="7"/>
        <w:rPr>
          <w:rFonts w:hint="eastAsia" w:asciiTheme="minorEastAsia" w:hAnsiTheme="minorEastAsia" w:eastAsiaTheme="minorEastAsia" w:cstheme="minorEastAsia"/>
          <w:sz w:val="28"/>
          <w:szCs w:val="28"/>
          <w:lang w:val="en-US" w:eastAsia="zh-CN"/>
        </w:rPr>
      </w:pPr>
    </w:p>
    <w:p w14:paraId="19F2C962">
      <w:pPr>
        <w:pStyle w:val="7"/>
        <w:rPr>
          <w:rFonts w:hint="eastAsia" w:asciiTheme="minorEastAsia" w:hAnsiTheme="minorEastAsia" w:eastAsiaTheme="minorEastAsia" w:cstheme="minorEastAsia"/>
          <w:sz w:val="28"/>
          <w:szCs w:val="28"/>
          <w:lang w:val="en-US" w:eastAsia="zh-CN"/>
        </w:rPr>
      </w:pPr>
    </w:p>
    <w:p w14:paraId="1F13CBE4">
      <w:pPr>
        <w:pStyle w:val="7"/>
        <w:rPr>
          <w:rFonts w:hint="eastAsia" w:asciiTheme="minorEastAsia" w:hAnsiTheme="minorEastAsia" w:eastAsiaTheme="minorEastAsia" w:cstheme="minorEastAsia"/>
          <w:sz w:val="28"/>
          <w:szCs w:val="28"/>
          <w:lang w:val="en-US" w:eastAsia="zh-CN"/>
        </w:rPr>
      </w:pPr>
    </w:p>
    <w:p w14:paraId="004AB47B">
      <w:pPr>
        <w:pStyle w:val="7"/>
        <w:rPr>
          <w:rFonts w:hint="eastAsia" w:asciiTheme="minorEastAsia" w:hAnsiTheme="minorEastAsia" w:eastAsiaTheme="minorEastAsia" w:cstheme="minorEastAsia"/>
          <w:sz w:val="28"/>
          <w:szCs w:val="28"/>
          <w:lang w:val="en-US" w:eastAsia="zh-CN"/>
        </w:rPr>
      </w:pPr>
    </w:p>
    <w:p w14:paraId="307A5F71">
      <w:pPr>
        <w:pStyle w:val="7"/>
        <w:rPr>
          <w:rFonts w:hint="eastAsia" w:asciiTheme="minorEastAsia" w:hAnsiTheme="minorEastAsia" w:eastAsiaTheme="minorEastAsia" w:cstheme="minorEastAsia"/>
          <w:sz w:val="28"/>
          <w:szCs w:val="28"/>
          <w:lang w:val="en-US" w:eastAsia="zh-CN"/>
        </w:rPr>
      </w:pPr>
    </w:p>
    <w:p w14:paraId="12B18D01">
      <w:pPr>
        <w:pStyle w:val="7"/>
        <w:rPr>
          <w:rFonts w:hint="eastAsia" w:asciiTheme="minorEastAsia" w:hAnsiTheme="minorEastAsia" w:eastAsiaTheme="minorEastAsia" w:cstheme="minorEastAsia"/>
          <w:sz w:val="28"/>
          <w:szCs w:val="28"/>
          <w:lang w:val="en-US" w:eastAsia="zh-CN"/>
        </w:rPr>
      </w:pPr>
    </w:p>
    <w:p w14:paraId="075D10DA">
      <w:pPr>
        <w:pStyle w:val="7"/>
        <w:rPr>
          <w:rFonts w:hint="eastAsia" w:asciiTheme="minorEastAsia" w:hAnsiTheme="minorEastAsia" w:eastAsiaTheme="minorEastAsia" w:cstheme="minorEastAsia"/>
          <w:sz w:val="28"/>
          <w:szCs w:val="28"/>
          <w:lang w:val="en-US" w:eastAsia="zh-CN"/>
        </w:rPr>
      </w:pPr>
    </w:p>
    <w:sectPr>
      <w:footerReference r:id="rId3" w:type="default"/>
      <w:footerReference r:id="rId4" w:type="even"/>
      <w:pgSz w:w="11906" w:h="16838"/>
      <w:pgMar w:top="1559" w:right="1287" w:bottom="1440" w:left="1622" w:header="851" w:footer="1021" w:gutter="0"/>
      <w:cols w:space="720" w:num="1"/>
      <w:docGrid w:type="linesAndChars" w:linePitch="312" w:charSpace="-204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1C78D">
    <w:pPr>
      <w:pStyle w:val="7"/>
      <w:framePr w:wrap="around" w:vAnchor="text" w:hAnchor="margin" w:xAlign="center" w:y="1"/>
      <w:rPr>
        <w:rStyle w:val="15"/>
      </w:rPr>
    </w:pPr>
    <w:r>
      <w:fldChar w:fldCharType="begin"/>
    </w:r>
    <w:r>
      <w:rPr>
        <w:rStyle w:val="15"/>
      </w:rPr>
      <w:instrText xml:space="preserve">PAGE  </w:instrText>
    </w:r>
    <w:r>
      <w:fldChar w:fldCharType="separate"/>
    </w:r>
    <w:r>
      <w:rPr>
        <w:rStyle w:val="15"/>
      </w:rPr>
      <w:t>18</w:t>
    </w:r>
    <w:r>
      <w:fldChar w:fldCharType="end"/>
    </w:r>
  </w:p>
  <w:p w14:paraId="1FCE3B8E">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E81A7">
    <w:pPr>
      <w:pStyle w:val="7"/>
      <w:framePr w:wrap="around" w:vAnchor="text" w:hAnchor="margin" w:xAlign="center" w:y="1"/>
      <w:rPr>
        <w:rStyle w:val="15"/>
      </w:rPr>
    </w:pPr>
    <w:r>
      <w:fldChar w:fldCharType="begin"/>
    </w:r>
    <w:r>
      <w:rPr>
        <w:rStyle w:val="15"/>
      </w:rPr>
      <w:instrText xml:space="preserve">PAGE  </w:instrText>
    </w:r>
    <w:r>
      <w:fldChar w:fldCharType="end"/>
    </w:r>
  </w:p>
  <w:p w14:paraId="6839BF1A">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694E74"/>
    <w:multiLevelType w:val="singleLevel"/>
    <w:tmpl w:val="97694E74"/>
    <w:lvl w:ilvl="0" w:tentative="0">
      <w:start w:val="1"/>
      <w:numFmt w:val="chineseCounting"/>
      <w:suff w:val="nothing"/>
      <w:lvlText w:val="（%1）"/>
      <w:lvlJc w:val="left"/>
      <w:rPr>
        <w:rFonts w:hint="eastAsia"/>
      </w:rPr>
    </w:lvl>
  </w:abstractNum>
  <w:abstractNum w:abstractNumId="1">
    <w:nsid w:val="E2D4383D"/>
    <w:multiLevelType w:val="singleLevel"/>
    <w:tmpl w:val="E2D4383D"/>
    <w:lvl w:ilvl="0" w:tentative="0">
      <w:start w:val="2"/>
      <w:numFmt w:val="decimal"/>
      <w:suff w:val="nothing"/>
      <w:lvlText w:val="（%1）"/>
      <w:lvlJc w:val="left"/>
    </w:lvl>
  </w:abstractNum>
  <w:abstractNum w:abstractNumId="2">
    <w:nsid w:val="24080A0A"/>
    <w:multiLevelType w:val="multilevel"/>
    <w:tmpl w:val="24080A0A"/>
    <w:lvl w:ilvl="0" w:tentative="0">
      <w:start w:val="1"/>
      <w:numFmt w:val="japaneseCounting"/>
      <w:lvlText w:val="%1、"/>
      <w:lvlJc w:val="left"/>
      <w:pPr>
        <w:ind w:left="1340" w:hanging="720"/>
      </w:pPr>
      <w:rPr>
        <w:rFonts w:hint="default"/>
      </w:rPr>
    </w:lvl>
    <w:lvl w:ilvl="1" w:tentative="0">
      <w:start w:val="1"/>
      <w:numFmt w:val="lowerLetter"/>
      <w:lvlText w:val="%2)"/>
      <w:lvlJc w:val="left"/>
      <w:pPr>
        <w:ind w:left="1460" w:hanging="420"/>
      </w:pPr>
    </w:lvl>
    <w:lvl w:ilvl="2" w:tentative="0">
      <w:start w:val="1"/>
      <w:numFmt w:val="lowerRoman"/>
      <w:lvlText w:val="%3."/>
      <w:lvlJc w:val="right"/>
      <w:pPr>
        <w:ind w:left="1880" w:hanging="420"/>
      </w:pPr>
    </w:lvl>
    <w:lvl w:ilvl="3" w:tentative="0">
      <w:start w:val="1"/>
      <w:numFmt w:val="decimal"/>
      <w:lvlText w:val="%4."/>
      <w:lvlJc w:val="left"/>
      <w:pPr>
        <w:ind w:left="2300" w:hanging="420"/>
      </w:pPr>
    </w:lvl>
    <w:lvl w:ilvl="4" w:tentative="0">
      <w:start w:val="1"/>
      <w:numFmt w:val="lowerLetter"/>
      <w:lvlText w:val="%5)"/>
      <w:lvlJc w:val="left"/>
      <w:pPr>
        <w:ind w:left="2720" w:hanging="420"/>
      </w:pPr>
    </w:lvl>
    <w:lvl w:ilvl="5" w:tentative="0">
      <w:start w:val="1"/>
      <w:numFmt w:val="lowerRoman"/>
      <w:lvlText w:val="%6."/>
      <w:lvlJc w:val="right"/>
      <w:pPr>
        <w:ind w:left="3140" w:hanging="420"/>
      </w:pPr>
    </w:lvl>
    <w:lvl w:ilvl="6" w:tentative="0">
      <w:start w:val="1"/>
      <w:numFmt w:val="decimal"/>
      <w:lvlText w:val="%7."/>
      <w:lvlJc w:val="left"/>
      <w:pPr>
        <w:ind w:left="3560" w:hanging="420"/>
      </w:pPr>
    </w:lvl>
    <w:lvl w:ilvl="7" w:tentative="0">
      <w:start w:val="1"/>
      <w:numFmt w:val="lowerLetter"/>
      <w:lvlText w:val="%8)"/>
      <w:lvlJc w:val="left"/>
      <w:pPr>
        <w:ind w:left="3980" w:hanging="420"/>
      </w:pPr>
    </w:lvl>
    <w:lvl w:ilvl="8" w:tentative="0">
      <w:start w:val="1"/>
      <w:numFmt w:val="lowerRoman"/>
      <w:lvlText w:val="%9."/>
      <w:lvlJc w:val="right"/>
      <w:pPr>
        <w:ind w:left="4400" w:hanging="420"/>
      </w:pPr>
    </w:lvl>
  </w:abstractNum>
  <w:abstractNum w:abstractNumId="3">
    <w:nsid w:val="63008AD5"/>
    <w:multiLevelType w:val="singleLevel"/>
    <w:tmpl w:val="63008AD5"/>
    <w:lvl w:ilvl="0" w:tentative="0">
      <w:start w:val="5"/>
      <w:numFmt w:val="chineseCounting"/>
      <w:suff w:val="nothing"/>
      <w:lvlText w:val="（%1）"/>
      <w:lvlJc w:val="left"/>
      <w:rPr>
        <w:rFonts w:hint="eastAsia"/>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zgzM2VlNDI5ZmQzOWVmNTE0ZjNlYTUxY2M5ZDk4MDkifQ=="/>
  </w:docVars>
  <w:rsids>
    <w:rsidRoot w:val="00B843C7"/>
    <w:rsid w:val="00014E6E"/>
    <w:rsid w:val="00050D1D"/>
    <w:rsid w:val="00073D55"/>
    <w:rsid w:val="000C0358"/>
    <w:rsid w:val="000D369C"/>
    <w:rsid w:val="000D6FF6"/>
    <w:rsid w:val="00144823"/>
    <w:rsid w:val="0014763C"/>
    <w:rsid w:val="001C6A45"/>
    <w:rsid w:val="001D0712"/>
    <w:rsid w:val="00201244"/>
    <w:rsid w:val="00201531"/>
    <w:rsid w:val="0022488F"/>
    <w:rsid w:val="002328D0"/>
    <w:rsid w:val="002363C3"/>
    <w:rsid w:val="00255F32"/>
    <w:rsid w:val="002615B4"/>
    <w:rsid w:val="002668AA"/>
    <w:rsid w:val="00283BBB"/>
    <w:rsid w:val="002A5B65"/>
    <w:rsid w:val="002C3F4C"/>
    <w:rsid w:val="002C670C"/>
    <w:rsid w:val="002D50A5"/>
    <w:rsid w:val="002D577F"/>
    <w:rsid w:val="002E0BD9"/>
    <w:rsid w:val="002E0C96"/>
    <w:rsid w:val="002F0A30"/>
    <w:rsid w:val="003067DC"/>
    <w:rsid w:val="003143C5"/>
    <w:rsid w:val="00356230"/>
    <w:rsid w:val="00361B4E"/>
    <w:rsid w:val="003B6FC5"/>
    <w:rsid w:val="003D2B7D"/>
    <w:rsid w:val="003D4EA3"/>
    <w:rsid w:val="00406C45"/>
    <w:rsid w:val="00441580"/>
    <w:rsid w:val="004530A5"/>
    <w:rsid w:val="00460B27"/>
    <w:rsid w:val="004807E9"/>
    <w:rsid w:val="004F19B8"/>
    <w:rsid w:val="005129BF"/>
    <w:rsid w:val="00523D2A"/>
    <w:rsid w:val="00524457"/>
    <w:rsid w:val="0053174A"/>
    <w:rsid w:val="0055792B"/>
    <w:rsid w:val="005B343B"/>
    <w:rsid w:val="005D0F55"/>
    <w:rsid w:val="005E5320"/>
    <w:rsid w:val="00603C1B"/>
    <w:rsid w:val="00604693"/>
    <w:rsid w:val="00635442"/>
    <w:rsid w:val="00666085"/>
    <w:rsid w:val="00673270"/>
    <w:rsid w:val="00680E6F"/>
    <w:rsid w:val="0068448B"/>
    <w:rsid w:val="006C1FD1"/>
    <w:rsid w:val="006C2306"/>
    <w:rsid w:val="006E55AC"/>
    <w:rsid w:val="0070610E"/>
    <w:rsid w:val="00722E44"/>
    <w:rsid w:val="00730832"/>
    <w:rsid w:val="007416F1"/>
    <w:rsid w:val="00760862"/>
    <w:rsid w:val="00774704"/>
    <w:rsid w:val="007F2790"/>
    <w:rsid w:val="008A740B"/>
    <w:rsid w:val="00975263"/>
    <w:rsid w:val="00985826"/>
    <w:rsid w:val="009B3FCE"/>
    <w:rsid w:val="009B5053"/>
    <w:rsid w:val="009D72BC"/>
    <w:rsid w:val="009F3291"/>
    <w:rsid w:val="00A026CB"/>
    <w:rsid w:val="00A34793"/>
    <w:rsid w:val="00A4488B"/>
    <w:rsid w:val="00A5434A"/>
    <w:rsid w:val="00A71002"/>
    <w:rsid w:val="00A76F36"/>
    <w:rsid w:val="00A839FB"/>
    <w:rsid w:val="00AD27F1"/>
    <w:rsid w:val="00B4596F"/>
    <w:rsid w:val="00B8341F"/>
    <w:rsid w:val="00B843C7"/>
    <w:rsid w:val="00C03295"/>
    <w:rsid w:val="00C3144D"/>
    <w:rsid w:val="00C41DC4"/>
    <w:rsid w:val="00C476AF"/>
    <w:rsid w:val="00C55887"/>
    <w:rsid w:val="00C65C25"/>
    <w:rsid w:val="00C755C6"/>
    <w:rsid w:val="00C94CE2"/>
    <w:rsid w:val="00CD568F"/>
    <w:rsid w:val="00CD72BC"/>
    <w:rsid w:val="00CE1683"/>
    <w:rsid w:val="00D31D11"/>
    <w:rsid w:val="00DA3C02"/>
    <w:rsid w:val="00DB4976"/>
    <w:rsid w:val="00DB52C0"/>
    <w:rsid w:val="00DC2177"/>
    <w:rsid w:val="00E069E5"/>
    <w:rsid w:val="00E2418F"/>
    <w:rsid w:val="00E42011"/>
    <w:rsid w:val="00E728E2"/>
    <w:rsid w:val="00EA046D"/>
    <w:rsid w:val="00F03755"/>
    <w:rsid w:val="00F31FD4"/>
    <w:rsid w:val="00F43D48"/>
    <w:rsid w:val="00F47795"/>
    <w:rsid w:val="00F6233F"/>
    <w:rsid w:val="00F97A85"/>
    <w:rsid w:val="00FD5133"/>
    <w:rsid w:val="00FE49EB"/>
    <w:rsid w:val="00FF1A55"/>
    <w:rsid w:val="00FF7B91"/>
    <w:rsid w:val="011B1138"/>
    <w:rsid w:val="016D47C9"/>
    <w:rsid w:val="01734162"/>
    <w:rsid w:val="0182165A"/>
    <w:rsid w:val="018F288D"/>
    <w:rsid w:val="01900359"/>
    <w:rsid w:val="01932756"/>
    <w:rsid w:val="0194248D"/>
    <w:rsid w:val="019D1DB1"/>
    <w:rsid w:val="01AA435B"/>
    <w:rsid w:val="01DA290A"/>
    <w:rsid w:val="021872CE"/>
    <w:rsid w:val="021F4265"/>
    <w:rsid w:val="02587CAA"/>
    <w:rsid w:val="025D17E0"/>
    <w:rsid w:val="02686B2D"/>
    <w:rsid w:val="026F3E10"/>
    <w:rsid w:val="02781EBE"/>
    <w:rsid w:val="02952E03"/>
    <w:rsid w:val="02B36958"/>
    <w:rsid w:val="02B4367D"/>
    <w:rsid w:val="02BE0B3D"/>
    <w:rsid w:val="02C01B9F"/>
    <w:rsid w:val="030C4EDD"/>
    <w:rsid w:val="035C4D5F"/>
    <w:rsid w:val="036255A5"/>
    <w:rsid w:val="038B058F"/>
    <w:rsid w:val="03DF1EFE"/>
    <w:rsid w:val="03F35D1F"/>
    <w:rsid w:val="03F471AB"/>
    <w:rsid w:val="03FD14BE"/>
    <w:rsid w:val="040626E8"/>
    <w:rsid w:val="04095165"/>
    <w:rsid w:val="040A27EA"/>
    <w:rsid w:val="041F7BF5"/>
    <w:rsid w:val="0440360D"/>
    <w:rsid w:val="045E2EDB"/>
    <w:rsid w:val="04657D52"/>
    <w:rsid w:val="04671F17"/>
    <w:rsid w:val="047E65A4"/>
    <w:rsid w:val="048A6E37"/>
    <w:rsid w:val="04D3335E"/>
    <w:rsid w:val="04E62E18"/>
    <w:rsid w:val="05034D5D"/>
    <w:rsid w:val="050701AB"/>
    <w:rsid w:val="053973EC"/>
    <w:rsid w:val="05767D3B"/>
    <w:rsid w:val="05DA2490"/>
    <w:rsid w:val="05DA3B66"/>
    <w:rsid w:val="060275FD"/>
    <w:rsid w:val="060F6E75"/>
    <w:rsid w:val="06735D5C"/>
    <w:rsid w:val="06C32529"/>
    <w:rsid w:val="07095BF8"/>
    <w:rsid w:val="071D591B"/>
    <w:rsid w:val="073D0E36"/>
    <w:rsid w:val="074A2DEA"/>
    <w:rsid w:val="07545F27"/>
    <w:rsid w:val="075B43C1"/>
    <w:rsid w:val="08434F52"/>
    <w:rsid w:val="087717B0"/>
    <w:rsid w:val="087D1E0A"/>
    <w:rsid w:val="08A729AF"/>
    <w:rsid w:val="08AA1CC0"/>
    <w:rsid w:val="08AB6F20"/>
    <w:rsid w:val="08FF5B27"/>
    <w:rsid w:val="09043FC1"/>
    <w:rsid w:val="09173578"/>
    <w:rsid w:val="092051BC"/>
    <w:rsid w:val="095E2CD1"/>
    <w:rsid w:val="0972106B"/>
    <w:rsid w:val="09DD5619"/>
    <w:rsid w:val="09F14739"/>
    <w:rsid w:val="09F16EA8"/>
    <w:rsid w:val="0A3C40D6"/>
    <w:rsid w:val="0A462A4D"/>
    <w:rsid w:val="0A60095E"/>
    <w:rsid w:val="0A912DAF"/>
    <w:rsid w:val="0AD72AF7"/>
    <w:rsid w:val="0B1408C1"/>
    <w:rsid w:val="0B6E5911"/>
    <w:rsid w:val="0B8A0F1D"/>
    <w:rsid w:val="0BA00BD8"/>
    <w:rsid w:val="0BB00AFE"/>
    <w:rsid w:val="0BB87D06"/>
    <w:rsid w:val="0BE11B92"/>
    <w:rsid w:val="0BE51572"/>
    <w:rsid w:val="0C050478"/>
    <w:rsid w:val="0C0D0ED1"/>
    <w:rsid w:val="0C103EDA"/>
    <w:rsid w:val="0C2159CB"/>
    <w:rsid w:val="0C517911"/>
    <w:rsid w:val="0C52219D"/>
    <w:rsid w:val="0C5C0626"/>
    <w:rsid w:val="0CA6599C"/>
    <w:rsid w:val="0CFB518F"/>
    <w:rsid w:val="0D04341C"/>
    <w:rsid w:val="0D0F1CBB"/>
    <w:rsid w:val="0D5D17CB"/>
    <w:rsid w:val="0D7254BF"/>
    <w:rsid w:val="0DCD0581"/>
    <w:rsid w:val="0DDE4FD5"/>
    <w:rsid w:val="0DFF2C91"/>
    <w:rsid w:val="0E3057C1"/>
    <w:rsid w:val="0ED063E6"/>
    <w:rsid w:val="0F635E61"/>
    <w:rsid w:val="0FC62AE9"/>
    <w:rsid w:val="0FD415FA"/>
    <w:rsid w:val="102B26DC"/>
    <w:rsid w:val="106F0E5F"/>
    <w:rsid w:val="1077625D"/>
    <w:rsid w:val="109B53FF"/>
    <w:rsid w:val="10AE4901"/>
    <w:rsid w:val="11107C6D"/>
    <w:rsid w:val="111F088F"/>
    <w:rsid w:val="1122248D"/>
    <w:rsid w:val="11476806"/>
    <w:rsid w:val="11E1762C"/>
    <w:rsid w:val="124F10CE"/>
    <w:rsid w:val="12753A2E"/>
    <w:rsid w:val="128B5D17"/>
    <w:rsid w:val="128D23DE"/>
    <w:rsid w:val="12902616"/>
    <w:rsid w:val="12902DDA"/>
    <w:rsid w:val="129A3494"/>
    <w:rsid w:val="13472D07"/>
    <w:rsid w:val="1370286E"/>
    <w:rsid w:val="13814B96"/>
    <w:rsid w:val="13B247C1"/>
    <w:rsid w:val="13B7762A"/>
    <w:rsid w:val="14226537"/>
    <w:rsid w:val="144731A8"/>
    <w:rsid w:val="14524530"/>
    <w:rsid w:val="14791385"/>
    <w:rsid w:val="147C10A3"/>
    <w:rsid w:val="14B71108"/>
    <w:rsid w:val="14C37B86"/>
    <w:rsid w:val="14CA3AA4"/>
    <w:rsid w:val="14CD7B51"/>
    <w:rsid w:val="14FF058F"/>
    <w:rsid w:val="1503001E"/>
    <w:rsid w:val="150F3CA7"/>
    <w:rsid w:val="154A27CA"/>
    <w:rsid w:val="154F0566"/>
    <w:rsid w:val="15780735"/>
    <w:rsid w:val="15891CCA"/>
    <w:rsid w:val="159308FB"/>
    <w:rsid w:val="159E2D1B"/>
    <w:rsid w:val="15DB6F44"/>
    <w:rsid w:val="15FE136C"/>
    <w:rsid w:val="16097C3A"/>
    <w:rsid w:val="16230541"/>
    <w:rsid w:val="164A7C92"/>
    <w:rsid w:val="164D68EE"/>
    <w:rsid w:val="16A609CB"/>
    <w:rsid w:val="16B47B76"/>
    <w:rsid w:val="16B50174"/>
    <w:rsid w:val="16B569A4"/>
    <w:rsid w:val="16CB72FE"/>
    <w:rsid w:val="171B0B8E"/>
    <w:rsid w:val="17B9304C"/>
    <w:rsid w:val="17D40ED9"/>
    <w:rsid w:val="181C3419"/>
    <w:rsid w:val="183304F5"/>
    <w:rsid w:val="183C74C7"/>
    <w:rsid w:val="185E1AC5"/>
    <w:rsid w:val="18604080"/>
    <w:rsid w:val="18DE745D"/>
    <w:rsid w:val="19032410"/>
    <w:rsid w:val="19063B32"/>
    <w:rsid w:val="19115E65"/>
    <w:rsid w:val="19124356"/>
    <w:rsid w:val="19216C57"/>
    <w:rsid w:val="193935BA"/>
    <w:rsid w:val="19572795"/>
    <w:rsid w:val="19702021"/>
    <w:rsid w:val="19B20ADD"/>
    <w:rsid w:val="19BC55BD"/>
    <w:rsid w:val="19F26A0B"/>
    <w:rsid w:val="1AB5556E"/>
    <w:rsid w:val="1ABC5844"/>
    <w:rsid w:val="1AD60514"/>
    <w:rsid w:val="1AEF6A73"/>
    <w:rsid w:val="1AFF2817"/>
    <w:rsid w:val="1B965F4E"/>
    <w:rsid w:val="1BB53C13"/>
    <w:rsid w:val="1BB630ED"/>
    <w:rsid w:val="1BDC3D23"/>
    <w:rsid w:val="1C253E50"/>
    <w:rsid w:val="1C551466"/>
    <w:rsid w:val="1CC60963"/>
    <w:rsid w:val="1CF64B09"/>
    <w:rsid w:val="1CFA6E48"/>
    <w:rsid w:val="1CFE7ACD"/>
    <w:rsid w:val="1D383FD6"/>
    <w:rsid w:val="1D440587"/>
    <w:rsid w:val="1D954F84"/>
    <w:rsid w:val="1DEC60F3"/>
    <w:rsid w:val="1E29579F"/>
    <w:rsid w:val="1E7A3316"/>
    <w:rsid w:val="1EC56A78"/>
    <w:rsid w:val="1EEC40F1"/>
    <w:rsid w:val="1F087BEB"/>
    <w:rsid w:val="1F2C09AC"/>
    <w:rsid w:val="1F896D6A"/>
    <w:rsid w:val="1FDD65A2"/>
    <w:rsid w:val="1FF24652"/>
    <w:rsid w:val="1FF757EC"/>
    <w:rsid w:val="20235F80"/>
    <w:rsid w:val="203120D9"/>
    <w:rsid w:val="203F1257"/>
    <w:rsid w:val="204C0723"/>
    <w:rsid w:val="205B2C83"/>
    <w:rsid w:val="2081662F"/>
    <w:rsid w:val="209F3794"/>
    <w:rsid w:val="20C65D37"/>
    <w:rsid w:val="20D748F4"/>
    <w:rsid w:val="21043305"/>
    <w:rsid w:val="210F5AE3"/>
    <w:rsid w:val="21417B2B"/>
    <w:rsid w:val="216D2575"/>
    <w:rsid w:val="21B26026"/>
    <w:rsid w:val="21C055A7"/>
    <w:rsid w:val="21C24DF5"/>
    <w:rsid w:val="21C97858"/>
    <w:rsid w:val="21DD2C53"/>
    <w:rsid w:val="21ED4025"/>
    <w:rsid w:val="22356B22"/>
    <w:rsid w:val="2268469D"/>
    <w:rsid w:val="2288381F"/>
    <w:rsid w:val="22893B7C"/>
    <w:rsid w:val="22916662"/>
    <w:rsid w:val="22BE4F7D"/>
    <w:rsid w:val="22C407E5"/>
    <w:rsid w:val="22D77F2D"/>
    <w:rsid w:val="22EA50F3"/>
    <w:rsid w:val="236C2C8F"/>
    <w:rsid w:val="23784FA1"/>
    <w:rsid w:val="237B40AF"/>
    <w:rsid w:val="23CF073A"/>
    <w:rsid w:val="23E05115"/>
    <w:rsid w:val="23E05ADF"/>
    <w:rsid w:val="23E80BCD"/>
    <w:rsid w:val="240C2C2D"/>
    <w:rsid w:val="24216770"/>
    <w:rsid w:val="2429670D"/>
    <w:rsid w:val="242E7BCF"/>
    <w:rsid w:val="24432C28"/>
    <w:rsid w:val="24822706"/>
    <w:rsid w:val="248D27F1"/>
    <w:rsid w:val="24E1305D"/>
    <w:rsid w:val="24E56458"/>
    <w:rsid w:val="24E95010"/>
    <w:rsid w:val="25524889"/>
    <w:rsid w:val="255511FD"/>
    <w:rsid w:val="25D17A6D"/>
    <w:rsid w:val="25F74447"/>
    <w:rsid w:val="26105170"/>
    <w:rsid w:val="263952BC"/>
    <w:rsid w:val="269909FD"/>
    <w:rsid w:val="279E03A9"/>
    <w:rsid w:val="27BE69B4"/>
    <w:rsid w:val="27C85858"/>
    <w:rsid w:val="27D635F6"/>
    <w:rsid w:val="281C0E4C"/>
    <w:rsid w:val="282C384C"/>
    <w:rsid w:val="283820C1"/>
    <w:rsid w:val="28494B67"/>
    <w:rsid w:val="286B29C0"/>
    <w:rsid w:val="287005CD"/>
    <w:rsid w:val="2876773A"/>
    <w:rsid w:val="289A7777"/>
    <w:rsid w:val="28B167FE"/>
    <w:rsid w:val="28BD6F54"/>
    <w:rsid w:val="28DF57AF"/>
    <w:rsid w:val="28EF0649"/>
    <w:rsid w:val="291235BE"/>
    <w:rsid w:val="291F0508"/>
    <w:rsid w:val="29480176"/>
    <w:rsid w:val="29602183"/>
    <w:rsid w:val="29A47436"/>
    <w:rsid w:val="29F73976"/>
    <w:rsid w:val="2A070FB7"/>
    <w:rsid w:val="2A2E3E15"/>
    <w:rsid w:val="2A2F5948"/>
    <w:rsid w:val="2A850EF0"/>
    <w:rsid w:val="2AA1765E"/>
    <w:rsid w:val="2AA35184"/>
    <w:rsid w:val="2AE7382F"/>
    <w:rsid w:val="2B9E7FC8"/>
    <w:rsid w:val="2BA00B21"/>
    <w:rsid w:val="2BBB3A07"/>
    <w:rsid w:val="2BBC32E1"/>
    <w:rsid w:val="2C3768EE"/>
    <w:rsid w:val="2C491F06"/>
    <w:rsid w:val="2C794298"/>
    <w:rsid w:val="2CD954D3"/>
    <w:rsid w:val="2D0A03D6"/>
    <w:rsid w:val="2D435597"/>
    <w:rsid w:val="2D651ABE"/>
    <w:rsid w:val="2DAB2B85"/>
    <w:rsid w:val="2DBA67A6"/>
    <w:rsid w:val="2DD03564"/>
    <w:rsid w:val="2DF9330D"/>
    <w:rsid w:val="2E2418FE"/>
    <w:rsid w:val="2E4200BD"/>
    <w:rsid w:val="2E7F7FCF"/>
    <w:rsid w:val="2F1720D2"/>
    <w:rsid w:val="2F6341C5"/>
    <w:rsid w:val="2F697751"/>
    <w:rsid w:val="2F7306AC"/>
    <w:rsid w:val="2F8B3642"/>
    <w:rsid w:val="2FA76993"/>
    <w:rsid w:val="2FAF1F37"/>
    <w:rsid w:val="2FF8219F"/>
    <w:rsid w:val="2FFA3109"/>
    <w:rsid w:val="301B3A0F"/>
    <w:rsid w:val="302A68EC"/>
    <w:rsid w:val="308E5F44"/>
    <w:rsid w:val="30B0385E"/>
    <w:rsid w:val="30C21F50"/>
    <w:rsid w:val="31172473"/>
    <w:rsid w:val="311F021B"/>
    <w:rsid w:val="31412A24"/>
    <w:rsid w:val="31596978"/>
    <w:rsid w:val="316D1AE5"/>
    <w:rsid w:val="319E392E"/>
    <w:rsid w:val="31A462B5"/>
    <w:rsid w:val="31BD5071"/>
    <w:rsid w:val="32653F0C"/>
    <w:rsid w:val="32953785"/>
    <w:rsid w:val="32BF59DF"/>
    <w:rsid w:val="32DA47D2"/>
    <w:rsid w:val="32FF69F4"/>
    <w:rsid w:val="330C4EAE"/>
    <w:rsid w:val="33601B46"/>
    <w:rsid w:val="33714570"/>
    <w:rsid w:val="338342C7"/>
    <w:rsid w:val="33D02E66"/>
    <w:rsid w:val="34165864"/>
    <w:rsid w:val="34233967"/>
    <w:rsid w:val="3434035E"/>
    <w:rsid w:val="347E6F9C"/>
    <w:rsid w:val="34917010"/>
    <w:rsid w:val="349C4BC4"/>
    <w:rsid w:val="34D616D8"/>
    <w:rsid w:val="34E06479"/>
    <w:rsid w:val="350651EE"/>
    <w:rsid w:val="35103416"/>
    <w:rsid w:val="351574A3"/>
    <w:rsid w:val="354B3F67"/>
    <w:rsid w:val="355D4D38"/>
    <w:rsid w:val="3592207D"/>
    <w:rsid w:val="359E58C8"/>
    <w:rsid w:val="360A2F78"/>
    <w:rsid w:val="36355906"/>
    <w:rsid w:val="36723C5D"/>
    <w:rsid w:val="368C008F"/>
    <w:rsid w:val="368E6CD2"/>
    <w:rsid w:val="36A55DE0"/>
    <w:rsid w:val="36F64E2B"/>
    <w:rsid w:val="37001BE1"/>
    <w:rsid w:val="371B5060"/>
    <w:rsid w:val="374D7F37"/>
    <w:rsid w:val="3772655E"/>
    <w:rsid w:val="377A31AA"/>
    <w:rsid w:val="37834FBC"/>
    <w:rsid w:val="37DE0AE7"/>
    <w:rsid w:val="38194E53"/>
    <w:rsid w:val="3820629B"/>
    <w:rsid w:val="382A0FC4"/>
    <w:rsid w:val="382B498B"/>
    <w:rsid w:val="38AD4365"/>
    <w:rsid w:val="3907572F"/>
    <w:rsid w:val="397A0196"/>
    <w:rsid w:val="39CE3F5A"/>
    <w:rsid w:val="39DC305B"/>
    <w:rsid w:val="39DC420F"/>
    <w:rsid w:val="39FC40D1"/>
    <w:rsid w:val="3A45399A"/>
    <w:rsid w:val="3A991F2C"/>
    <w:rsid w:val="3ABE4A8F"/>
    <w:rsid w:val="3AC069B8"/>
    <w:rsid w:val="3B3B5506"/>
    <w:rsid w:val="3BBF4EFF"/>
    <w:rsid w:val="3C1B08A2"/>
    <w:rsid w:val="3C414629"/>
    <w:rsid w:val="3C681C18"/>
    <w:rsid w:val="3D4640F9"/>
    <w:rsid w:val="3D50788D"/>
    <w:rsid w:val="3DB559E9"/>
    <w:rsid w:val="3DCA6C39"/>
    <w:rsid w:val="3DE03BA2"/>
    <w:rsid w:val="3E06414B"/>
    <w:rsid w:val="3E502AD5"/>
    <w:rsid w:val="3E8B1FB2"/>
    <w:rsid w:val="3ECA434E"/>
    <w:rsid w:val="3ED46E35"/>
    <w:rsid w:val="3ED731F7"/>
    <w:rsid w:val="3F3F49F4"/>
    <w:rsid w:val="3FAA7701"/>
    <w:rsid w:val="3FBB23AB"/>
    <w:rsid w:val="40B03CFF"/>
    <w:rsid w:val="40D1448E"/>
    <w:rsid w:val="40DE6ABE"/>
    <w:rsid w:val="40E37392"/>
    <w:rsid w:val="412B5AE1"/>
    <w:rsid w:val="419C3990"/>
    <w:rsid w:val="41B425DB"/>
    <w:rsid w:val="41CC12CD"/>
    <w:rsid w:val="41E952A1"/>
    <w:rsid w:val="41E9698F"/>
    <w:rsid w:val="41FD496E"/>
    <w:rsid w:val="41FD6B3B"/>
    <w:rsid w:val="41FF2D77"/>
    <w:rsid w:val="42211C4D"/>
    <w:rsid w:val="42465772"/>
    <w:rsid w:val="42781C36"/>
    <w:rsid w:val="428B37A5"/>
    <w:rsid w:val="42AA1E8B"/>
    <w:rsid w:val="42E36CCB"/>
    <w:rsid w:val="430217B3"/>
    <w:rsid w:val="43037EF5"/>
    <w:rsid w:val="431B4E6A"/>
    <w:rsid w:val="4331610D"/>
    <w:rsid w:val="43724DEA"/>
    <w:rsid w:val="43822EC7"/>
    <w:rsid w:val="43B6162D"/>
    <w:rsid w:val="43C20321"/>
    <w:rsid w:val="43E63353"/>
    <w:rsid w:val="44402940"/>
    <w:rsid w:val="44513178"/>
    <w:rsid w:val="448371E1"/>
    <w:rsid w:val="449648D1"/>
    <w:rsid w:val="44DB1D66"/>
    <w:rsid w:val="450D4587"/>
    <w:rsid w:val="4565696F"/>
    <w:rsid w:val="456B517C"/>
    <w:rsid w:val="45D10BB0"/>
    <w:rsid w:val="45D347BC"/>
    <w:rsid w:val="46162856"/>
    <w:rsid w:val="46853E3A"/>
    <w:rsid w:val="468A7ACF"/>
    <w:rsid w:val="469A65B3"/>
    <w:rsid w:val="469D4663"/>
    <w:rsid w:val="469E66AC"/>
    <w:rsid w:val="46D46743"/>
    <w:rsid w:val="46EB3CE3"/>
    <w:rsid w:val="47680E90"/>
    <w:rsid w:val="47E14B18"/>
    <w:rsid w:val="481A5446"/>
    <w:rsid w:val="484F30E6"/>
    <w:rsid w:val="489408B0"/>
    <w:rsid w:val="49064E04"/>
    <w:rsid w:val="493019D7"/>
    <w:rsid w:val="493D00FA"/>
    <w:rsid w:val="49772965"/>
    <w:rsid w:val="49FC4875"/>
    <w:rsid w:val="4A0D0629"/>
    <w:rsid w:val="4A6E5C87"/>
    <w:rsid w:val="4AA069D5"/>
    <w:rsid w:val="4AA20A4B"/>
    <w:rsid w:val="4ABA6F52"/>
    <w:rsid w:val="4ADC1AE3"/>
    <w:rsid w:val="4AF8025B"/>
    <w:rsid w:val="4B277CD3"/>
    <w:rsid w:val="4B7B7DAF"/>
    <w:rsid w:val="4B9D29BD"/>
    <w:rsid w:val="4BCC79C4"/>
    <w:rsid w:val="4BD07EA3"/>
    <w:rsid w:val="4CAD7BFD"/>
    <w:rsid w:val="4CEE387C"/>
    <w:rsid w:val="4D1D2D31"/>
    <w:rsid w:val="4D2E2B7B"/>
    <w:rsid w:val="4D5D054B"/>
    <w:rsid w:val="4D746C37"/>
    <w:rsid w:val="4D811AE8"/>
    <w:rsid w:val="4D8416F4"/>
    <w:rsid w:val="4D8504C0"/>
    <w:rsid w:val="4D88228C"/>
    <w:rsid w:val="4DA07EEF"/>
    <w:rsid w:val="4E0847DF"/>
    <w:rsid w:val="4E2B69D4"/>
    <w:rsid w:val="4E451F2B"/>
    <w:rsid w:val="4E491EA4"/>
    <w:rsid w:val="4E5A3E96"/>
    <w:rsid w:val="4E716A1B"/>
    <w:rsid w:val="4E8A64EF"/>
    <w:rsid w:val="4E90480D"/>
    <w:rsid w:val="4ED44F9C"/>
    <w:rsid w:val="4F172792"/>
    <w:rsid w:val="4F3A2A60"/>
    <w:rsid w:val="4F620B20"/>
    <w:rsid w:val="4F8F6445"/>
    <w:rsid w:val="50210D71"/>
    <w:rsid w:val="50676F1C"/>
    <w:rsid w:val="50A875E4"/>
    <w:rsid w:val="50D55950"/>
    <w:rsid w:val="50E672F3"/>
    <w:rsid w:val="50F26E4A"/>
    <w:rsid w:val="5173128A"/>
    <w:rsid w:val="51731B5E"/>
    <w:rsid w:val="517D5E7F"/>
    <w:rsid w:val="51D04CBB"/>
    <w:rsid w:val="52154D19"/>
    <w:rsid w:val="521A547C"/>
    <w:rsid w:val="522E140F"/>
    <w:rsid w:val="52416EAD"/>
    <w:rsid w:val="524C793A"/>
    <w:rsid w:val="52522E68"/>
    <w:rsid w:val="528024FB"/>
    <w:rsid w:val="52C601B8"/>
    <w:rsid w:val="52D516EA"/>
    <w:rsid w:val="52D82E91"/>
    <w:rsid w:val="52FC08F2"/>
    <w:rsid w:val="53391695"/>
    <w:rsid w:val="53475734"/>
    <w:rsid w:val="53554C77"/>
    <w:rsid w:val="539107AA"/>
    <w:rsid w:val="53CA55B8"/>
    <w:rsid w:val="53F6196D"/>
    <w:rsid w:val="546E7189"/>
    <w:rsid w:val="54B54D6E"/>
    <w:rsid w:val="550F7D3E"/>
    <w:rsid w:val="55292492"/>
    <w:rsid w:val="5545785A"/>
    <w:rsid w:val="555408A9"/>
    <w:rsid w:val="5556655C"/>
    <w:rsid w:val="55790F8F"/>
    <w:rsid w:val="558942E1"/>
    <w:rsid w:val="55A16646"/>
    <w:rsid w:val="55AC0926"/>
    <w:rsid w:val="55B633D5"/>
    <w:rsid w:val="56855C04"/>
    <w:rsid w:val="56943826"/>
    <w:rsid w:val="5698059B"/>
    <w:rsid w:val="575A7A25"/>
    <w:rsid w:val="577B0FE1"/>
    <w:rsid w:val="577B69BD"/>
    <w:rsid w:val="579951E3"/>
    <w:rsid w:val="57D13DA7"/>
    <w:rsid w:val="57FB3ACD"/>
    <w:rsid w:val="580132D4"/>
    <w:rsid w:val="585C48B5"/>
    <w:rsid w:val="586B6A32"/>
    <w:rsid w:val="587742C9"/>
    <w:rsid w:val="594A300B"/>
    <w:rsid w:val="594F1868"/>
    <w:rsid w:val="594F1B2D"/>
    <w:rsid w:val="599C01FB"/>
    <w:rsid w:val="59C56616"/>
    <w:rsid w:val="59CA63B4"/>
    <w:rsid w:val="5A1E5D3A"/>
    <w:rsid w:val="5A4A002B"/>
    <w:rsid w:val="5A973B2D"/>
    <w:rsid w:val="5AC16FAC"/>
    <w:rsid w:val="5AD30440"/>
    <w:rsid w:val="5AD92379"/>
    <w:rsid w:val="5AFB7C62"/>
    <w:rsid w:val="5AFD51A0"/>
    <w:rsid w:val="5B3122F6"/>
    <w:rsid w:val="5B57329D"/>
    <w:rsid w:val="5B6A17F7"/>
    <w:rsid w:val="5BE544C8"/>
    <w:rsid w:val="5C0631BB"/>
    <w:rsid w:val="5C2F7698"/>
    <w:rsid w:val="5C491ADD"/>
    <w:rsid w:val="5CA44735"/>
    <w:rsid w:val="5CB564CD"/>
    <w:rsid w:val="5CF827DC"/>
    <w:rsid w:val="5D446A6E"/>
    <w:rsid w:val="5DB3182C"/>
    <w:rsid w:val="5DB52CAF"/>
    <w:rsid w:val="5DB949BF"/>
    <w:rsid w:val="5DD20FA9"/>
    <w:rsid w:val="5DD24E5D"/>
    <w:rsid w:val="5DFB347F"/>
    <w:rsid w:val="5E232516"/>
    <w:rsid w:val="5E427AE5"/>
    <w:rsid w:val="5E5105E9"/>
    <w:rsid w:val="5E6455DA"/>
    <w:rsid w:val="5EE749B5"/>
    <w:rsid w:val="5F137B38"/>
    <w:rsid w:val="5F775FC8"/>
    <w:rsid w:val="5F8A618E"/>
    <w:rsid w:val="5F942FDA"/>
    <w:rsid w:val="5FA32F55"/>
    <w:rsid w:val="5FC15FDD"/>
    <w:rsid w:val="5FD1017A"/>
    <w:rsid w:val="602C37E0"/>
    <w:rsid w:val="60517F12"/>
    <w:rsid w:val="605C4699"/>
    <w:rsid w:val="60B50314"/>
    <w:rsid w:val="60EC7DBC"/>
    <w:rsid w:val="610B1CED"/>
    <w:rsid w:val="617373C8"/>
    <w:rsid w:val="6199344A"/>
    <w:rsid w:val="619F0DCC"/>
    <w:rsid w:val="61A10BB9"/>
    <w:rsid w:val="61D35BDF"/>
    <w:rsid w:val="61DD0548"/>
    <w:rsid w:val="623F6839"/>
    <w:rsid w:val="62C366A0"/>
    <w:rsid w:val="62D817AF"/>
    <w:rsid w:val="62E0626E"/>
    <w:rsid w:val="62EF36B4"/>
    <w:rsid w:val="631A5571"/>
    <w:rsid w:val="63291AF7"/>
    <w:rsid w:val="63406DDA"/>
    <w:rsid w:val="638E0D2E"/>
    <w:rsid w:val="63BD2235"/>
    <w:rsid w:val="63C86B61"/>
    <w:rsid w:val="64104F27"/>
    <w:rsid w:val="6418534C"/>
    <w:rsid w:val="643B19AE"/>
    <w:rsid w:val="64403E42"/>
    <w:rsid w:val="64405E1A"/>
    <w:rsid w:val="6466112E"/>
    <w:rsid w:val="64897A55"/>
    <w:rsid w:val="64946DA6"/>
    <w:rsid w:val="64A07F8B"/>
    <w:rsid w:val="64A15C74"/>
    <w:rsid w:val="64A27C08"/>
    <w:rsid w:val="64CC201F"/>
    <w:rsid w:val="64DA7699"/>
    <w:rsid w:val="64E046DE"/>
    <w:rsid w:val="65127F2D"/>
    <w:rsid w:val="659F3559"/>
    <w:rsid w:val="65FD1943"/>
    <w:rsid w:val="66435A22"/>
    <w:rsid w:val="66452B66"/>
    <w:rsid w:val="667B7134"/>
    <w:rsid w:val="66830175"/>
    <w:rsid w:val="66AE5D2F"/>
    <w:rsid w:val="671874F1"/>
    <w:rsid w:val="67363BB0"/>
    <w:rsid w:val="673E5EF5"/>
    <w:rsid w:val="679B4C81"/>
    <w:rsid w:val="67B478B7"/>
    <w:rsid w:val="67B52E73"/>
    <w:rsid w:val="67BF250C"/>
    <w:rsid w:val="680B4A81"/>
    <w:rsid w:val="68764CAD"/>
    <w:rsid w:val="687C65CA"/>
    <w:rsid w:val="68DB6590"/>
    <w:rsid w:val="68FD36D6"/>
    <w:rsid w:val="694E5D13"/>
    <w:rsid w:val="69D01A82"/>
    <w:rsid w:val="6A6E1F8C"/>
    <w:rsid w:val="6A9A68A9"/>
    <w:rsid w:val="6B1102D6"/>
    <w:rsid w:val="6B5F13AB"/>
    <w:rsid w:val="6B64183C"/>
    <w:rsid w:val="6BAD2468"/>
    <w:rsid w:val="6C0646E9"/>
    <w:rsid w:val="6C4A5890"/>
    <w:rsid w:val="6C4E1F68"/>
    <w:rsid w:val="6C5123D4"/>
    <w:rsid w:val="6CEC0CBD"/>
    <w:rsid w:val="6D1E00BF"/>
    <w:rsid w:val="6D8B2041"/>
    <w:rsid w:val="6DBF3A91"/>
    <w:rsid w:val="6DF64569"/>
    <w:rsid w:val="6E245261"/>
    <w:rsid w:val="6E354D6A"/>
    <w:rsid w:val="6E5451BE"/>
    <w:rsid w:val="6ECD0EE2"/>
    <w:rsid w:val="6ECE37AB"/>
    <w:rsid w:val="6EFB7F68"/>
    <w:rsid w:val="6F27511E"/>
    <w:rsid w:val="6F2C33B6"/>
    <w:rsid w:val="6F346B32"/>
    <w:rsid w:val="6F8C03BF"/>
    <w:rsid w:val="6FAE1B92"/>
    <w:rsid w:val="6FB0287D"/>
    <w:rsid w:val="6FB26B7C"/>
    <w:rsid w:val="6FC24A2C"/>
    <w:rsid w:val="6FED2124"/>
    <w:rsid w:val="6FFD6FCF"/>
    <w:rsid w:val="70094669"/>
    <w:rsid w:val="70137C0F"/>
    <w:rsid w:val="705B5FDB"/>
    <w:rsid w:val="70906E2E"/>
    <w:rsid w:val="709E433C"/>
    <w:rsid w:val="70DA4A8B"/>
    <w:rsid w:val="712958B8"/>
    <w:rsid w:val="717B4FE0"/>
    <w:rsid w:val="71B077E3"/>
    <w:rsid w:val="71BD011D"/>
    <w:rsid w:val="71C65D1B"/>
    <w:rsid w:val="71CA611F"/>
    <w:rsid w:val="7200639E"/>
    <w:rsid w:val="723E7E31"/>
    <w:rsid w:val="7274142B"/>
    <w:rsid w:val="72863049"/>
    <w:rsid w:val="72874010"/>
    <w:rsid w:val="728E2856"/>
    <w:rsid w:val="72B104CE"/>
    <w:rsid w:val="72CC0DA8"/>
    <w:rsid w:val="72D47780"/>
    <w:rsid w:val="733F4028"/>
    <w:rsid w:val="73507E23"/>
    <w:rsid w:val="737C578B"/>
    <w:rsid w:val="74466692"/>
    <w:rsid w:val="74473272"/>
    <w:rsid w:val="74A55D48"/>
    <w:rsid w:val="74C70755"/>
    <w:rsid w:val="74DF6386"/>
    <w:rsid w:val="75146BA9"/>
    <w:rsid w:val="751766E8"/>
    <w:rsid w:val="75895260"/>
    <w:rsid w:val="75CD4430"/>
    <w:rsid w:val="76011340"/>
    <w:rsid w:val="76275B71"/>
    <w:rsid w:val="76334EBF"/>
    <w:rsid w:val="763C5112"/>
    <w:rsid w:val="76433C09"/>
    <w:rsid w:val="768838EB"/>
    <w:rsid w:val="76913DE0"/>
    <w:rsid w:val="76A370E6"/>
    <w:rsid w:val="76D05F52"/>
    <w:rsid w:val="76DE7DF1"/>
    <w:rsid w:val="770E0780"/>
    <w:rsid w:val="77437C26"/>
    <w:rsid w:val="77457AF1"/>
    <w:rsid w:val="77741FFB"/>
    <w:rsid w:val="77A86F6D"/>
    <w:rsid w:val="77BD0544"/>
    <w:rsid w:val="77D311C4"/>
    <w:rsid w:val="77E25534"/>
    <w:rsid w:val="77FE4BF8"/>
    <w:rsid w:val="780D0478"/>
    <w:rsid w:val="788C41F3"/>
    <w:rsid w:val="78CF171A"/>
    <w:rsid w:val="78DB2711"/>
    <w:rsid w:val="78EB6D4A"/>
    <w:rsid w:val="7904476E"/>
    <w:rsid w:val="79136370"/>
    <w:rsid w:val="79416086"/>
    <w:rsid w:val="79422037"/>
    <w:rsid w:val="795551C5"/>
    <w:rsid w:val="796F62A7"/>
    <w:rsid w:val="79751067"/>
    <w:rsid w:val="79A74F60"/>
    <w:rsid w:val="79BB10CB"/>
    <w:rsid w:val="7A560C0A"/>
    <w:rsid w:val="7A9748A9"/>
    <w:rsid w:val="7AA93CE3"/>
    <w:rsid w:val="7AED122F"/>
    <w:rsid w:val="7B3867F0"/>
    <w:rsid w:val="7B5873A5"/>
    <w:rsid w:val="7B6A5130"/>
    <w:rsid w:val="7B7A71C1"/>
    <w:rsid w:val="7B7C16FF"/>
    <w:rsid w:val="7BD0195D"/>
    <w:rsid w:val="7C0E5F66"/>
    <w:rsid w:val="7C380996"/>
    <w:rsid w:val="7C500572"/>
    <w:rsid w:val="7C9C6094"/>
    <w:rsid w:val="7CC16045"/>
    <w:rsid w:val="7CC17A3E"/>
    <w:rsid w:val="7D254F0A"/>
    <w:rsid w:val="7D422777"/>
    <w:rsid w:val="7D7062C0"/>
    <w:rsid w:val="7D782718"/>
    <w:rsid w:val="7D9F3364"/>
    <w:rsid w:val="7DA1776C"/>
    <w:rsid w:val="7DB56B06"/>
    <w:rsid w:val="7DC71FDC"/>
    <w:rsid w:val="7DD34175"/>
    <w:rsid w:val="7E4F5AC0"/>
    <w:rsid w:val="7E555498"/>
    <w:rsid w:val="7E65175D"/>
    <w:rsid w:val="7E7A049B"/>
    <w:rsid w:val="7E891395"/>
    <w:rsid w:val="7E933D3D"/>
    <w:rsid w:val="7EDA1DAE"/>
    <w:rsid w:val="7F3379FA"/>
    <w:rsid w:val="7F62208D"/>
    <w:rsid w:val="7F6F2B1D"/>
    <w:rsid w:val="7FF1549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34"/>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3">
    <w:name w:val="Default Paragraph Font"/>
    <w:autoRedefine/>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2">
    <w:name w:val="annotation text"/>
    <w:basedOn w:val="1"/>
    <w:link w:val="21"/>
    <w:autoRedefine/>
    <w:qFormat/>
    <w:uiPriority w:val="99"/>
    <w:pPr>
      <w:jc w:val="left"/>
    </w:pPr>
    <w:rPr>
      <w:rFonts w:asciiTheme="minorHAnsi" w:hAnsiTheme="minorHAnsi" w:eastAsiaTheme="minorEastAsia"/>
      <w:sz w:val="24"/>
    </w:rPr>
  </w:style>
  <w:style w:type="paragraph" w:styleId="3">
    <w:name w:val="Body Text"/>
    <w:basedOn w:val="1"/>
    <w:link w:val="22"/>
    <w:autoRedefine/>
    <w:qFormat/>
    <w:uiPriority w:val="99"/>
    <w:rPr>
      <w:rFonts w:asciiTheme="minorHAnsi" w:hAnsiTheme="minorHAnsi" w:eastAsiaTheme="minorEastAsia"/>
      <w:sz w:val="24"/>
    </w:rPr>
  </w:style>
  <w:style w:type="paragraph" w:styleId="4">
    <w:name w:val="Body Text Indent"/>
    <w:basedOn w:val="1"/>
    <w:autoRedefine/>
    <w:semiHidden/>
    <w:unhideWhenUsed/>
    <w:qFormat/>
    <w:uiPriority w:val="99"/>
    <w:pPr>
      <w:spacing w:after="120"/>
      <w:ind w:left="420" w:leftChars="200"/>
    </w:pPr>
  </w:style>
  <w:style w:type="paragraph" w:styleId="5">
    <w:name w:val="Plain Text"/>
    <w:basedOn w:val="1"/>
    <w:autoRedefine/>
    <w:qFormat/>
    <w:uiPriority w:val="0"/>
    <w:rPr>
      <w:rFonts w:ascii="宋体" w:hAnsi="Courier New" w:cs="Courier New"/>
      <w:szCs w:val="21"/>
    </w:rPr>
  </w:style>
  <w:style w:type="paragraph" w:styleId="6">
    <w:name w:val="Balloon Text"/>
    <w:basedOn w:val="1"/>
    <w:link w:val="23"/>
    <w:autoRedefine/>
    <w:semiHidden/>
    <w:qFormat/>
    <w:uiPriority w:val="99"/>
    <w:rPr>
      <w:rFonts w:asciiTheme="minorHAnsi" w:hAnsiTheme="minorHAnsi" w:eastAsiaTheme="minorEastAsia" w:cstheme="minorBidi"/>
      <w:sz w:val="16"/>
      <w:szCs w:val="16"/>
    </w:rPr>
  </w:style>
  <w:style w:type="paragraph" w:styleId="7">
    <w:name w:val="footer"/>
    <w:basedOn w:val="1"/>
    <w:link w:val="20"/>
    <w:autoRedefine/>
    <w:unhideWhenUsed/>
    <w:qFormat/>
    <w:uiPriority w:val="99"/>
    <w:pPr>
      <w:tabs>
        <w:tab w:val="center" w:pos="4153"/>
        <w:tab w:val="right" w:pos="8306"/>
      </w:tabs>
      <w:snapToGrid w:val="0"/>
      <w:jc w:val="left"/>
    </w:pPr>
    <w:rPr>
      <w:sz w:val="18"/>
      <w:szCs w:val="18"/>
    </w:rPr>
  </w:style>
  <w:style w:type="paragraph" w:styleId="8">
    <w:name w:val="header"/>
    <w:basedOn w:val="1"/>
    <w:link w:val="19"/>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footnote text"/>
    <w:basedOn w:val="1"/>
    <w:autoRedefine/>
    <w:semiHidden/>
    <w:qFormat/>
    <w:uiPriority w:val="99"/>
    <w:pPr>
      <w:snapToGrid w:val="0"/>
      <w:jc w:val="left"/>
    </w:pPr>
    <w:rPr>
      <w:sz w:val="18"/>
      <w:szCs w:val="18"/>
    </w:rPr>
  </w:style>
  <w:style w:type="paragraph" w:styleId="10">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1">
    <w:name w:val="Body Text First Indent 2"/>
    <w:basedOn w:val="4"/>
    <w:autoRedefine/>
    <w:unhideWhenUsed/>
    <w:qFormat/>
    <w:uiPriority w:val="99"/>
    <w:pPr>
      <w:ind w:firstLine="420" w:firstLineChars="200"/>
    </w:pPr>
    <w:rPr>
      <w:rFonts w:ascii="Times New Roman" w:hAnsi="Times New Roman"/>
    </w:rPr>
  </w:style>
  <w:style w:type="character" w:styleId="14">
    <w:name w:val="Strong"/>
    <w:basedOn w:val="13"/>
    <w:autoRedefine/>
    <w:qFormat/>
    <w:uiPriority w:val="0"/>
    <w:rPr>
      <w:b/>
    </w:rPr>
  </w:style>
  <w:style w:type="character" w:styleId="15">
    <w:name w:val="page number"/>
    <w:basedOn w:val="13"/>
    <w:autoRedefine/>
    <w:qFormat/>
    <w:uiPriority w:val="99"/>
    <w:rPr>
      <w:rFonts w:cs="Times New Roman"/>
    </w:rPr>
  </w:style>
  <w:style w:type="character" w:styleId="16">
    <w:name w:val="Emphasis"/>
    <w:basedOn w:val="13"/>
    <w:autoRedefine/>
    <w:qFormat/>
    <w:uiPriority w:val="0"/>
    <w:rPr>
      <w:i/>
      <w:iCs/>
    </w:rPr>
  </w:style>
  <w:style w:type="character" w:styleId="17">
    <w:name w:val="annotation reference"/>
    <w:basedOn w:val="13"/>
    <w:autoRedefine/>
    <w:qFormat/>
    <w:uiPriority w:val="99"/>
    <w:rPr>
      <w:rFonts w:cs="Times New Roman"/>
      <w:sz w:val="21"/>
      <w:szCs w:val="21"/>
    </w:rPr>
  </w:style>
  <w:style w:type="paragraph" w:customStyle="1" w:styleId="18">
    <w:name w:val="BodyTextIndent2"/>
    <w:basedOn w:val="1"/>
    <w:autoRedefine/>
    <w:qFormat/>
    <w:uiPriority w:val="0"/>
    <w:pPr>
      <w:spacing w:after="120" w:line="480" w:lineRule="auto"/>
      <w:ind w:left="420" w:leftChars="200"/>
      <w:jc w:val="both"/>
      <w:textAlignment w:val="baseline"/>
    </w:pPr>
  </w:style>
  <w:style w:type="character" w:customStyle="1" w:styleId="19">
    <w:name w:val="页眉 Char"/>
    <w:basedOn w:val="13"/>
    <w:link w:val="8"/>
    <w:autoRedefine/>
    <w:qFormat/>
    <w:uiPriority w:val="99"/>
    <w:rPr>
      <w:sz w:val="18"/>
      <w:szCs w:val="18"/>
    </w:rPr>
  </w:style>
  <w:style w:type="character" w:customStyle="1" w:styleId="20">
    <w:name w:val="页脚 Char"/>
    <w:basedOn w:val="13"/>
    <w:link w:val="7"/>
    <w:autoRedefine/>
    <w:qFormat/>
    <w:uiPriority w:val="99"/>
    <w:rPr>
      <w:sz w:val="18"/>
      <w:szCs w:val="18"/>
    </w:rPr>
  </w:style>
  <w:style w:type="character" w:customStyle="1" w:styleId="21">
    <w:name w:val="批注文字 Char"/>
    <w:basedOn w:val="13"/>
    <w:link w:val="2"/>
    <w:autoRedefine/>
    <w:qFormat/>
    <w:locked/>
    <w:uiPriority w:val="99"/>
    <w:rPr>
      <w:rFonts w:cs="Times New Roman"/>
      <w:sz w:val="24"/>
      <w:szCs w:val="24"/>
    </w:rPr>
  </w:style>
  <w:style w:type="character" w:customStyle="1" w:styleId="22">
    <w:name w:val="正文文本 Char"/>
    <w:basedOn w:val="13"/>
    <w:link w:val="3"/>
    <w:autoRedefine/>
    <w:qFormat/>
    <w:locked/>
    <w:uiPriority w:val="99"/>
    <w:rPr>
      <w:rFonts w:cs="Times New Roman"/>
      <w:sz w:val="24"/>
      <w:szCs w:val="24"/>
    </w:rPr>
  </w:style>
  <w:style w:type="character" w:customStyle="1" w:styleId="23">
    <w:name w:val="批注框文本 Char"/>
    <w:basedOn w:val="13"/>
    <w:link w:val="6"/>
    <w:autoRedefine/>
    <w:semiHidden/>
    <w:qFormat/>
    <w:uiPriority w:val="99"/>
    <w:rPr>
      <w:sz w:val="16"/>
      <w:szCs w:val="16"/>
    </w:rPr>
  </w:style>
  <w:style w:type="character" w:customStyle="1" w:styleId="24">
    <w:name w:val="正文文本 Char1"/>
    <w:basedOn w:val="13"/>
    <w:autoRedefine/>
    <w:semiHidden/>
    <w:qFormat/>
    <w:uiPriority w:val="99"/>
    <w:rPr>
      <w:rFonts w:ascii="Times New Roman" w:hAnsi="Times New Roman" w:eastAsia="宋体" w:cs="Times New Roman"/>
      <w:szCs w:val="24"/>
    </w:rPr>
  </w:style>
  <w:style w:type="character" w:customStyle="1" w:styleId="25">
    <w:name w:val="批注文字 Char1"/>
    <w:basedOn w:val="13"/>
    <w:autoRedefine/>
    <w:semiHidden/>
    <w:qFormat/>
    <w:uiPriority w:val="99"/>
    <w:rPr>
      <w:rFonts w:ascii="Times New Roman" w:hAnsi="Times New Roman" w:eastAsia="宋体" w:cs="Times New Roman"/>
      <w:szCs w:val="24"/>
    </w:rPr>
  </w:style>
  <w:style w:type="character" w:customStyle="1" w:styleId="26">
    <w:name w:val="批注框文本 Char1"/>
    <w:basedOn w:val="13"/>
    <w:autoRedefine/>
    <w:semiHidden/>
    <w:qFormat/>
    <w:uiPriority w:val="99"/>
    <w:rPr>
      <w:rFonts w:ascii="Times New Roman" w:hAnsi="Times New Roman" w:eastAsia="宋体" w:cs="Times New Roman"/>
      <w:sz w:val="18"/>
      <w:szCs w:val="18"/>
    </w:rPr>
  </w:style>
  <w:style w:type="paragraph" w:styleId="27">
    <w:name w:val="List Paragraph"/>
    <w:basedOn w:val="1"/>
    <w:autoRedefine/>
    <w:qFormat/>
    <w:uiPriority w:val="99"/>
    <w:pPr>
      <w:ind w:firstLine="420" w:firstLineChars="200"/>
    </w:pPr>
  </w:style>
  <w:style w:type="paragraph" w:customStyle="1" w:styleId="28">
    <w:name w:val="列出段落1"/>
    <w:basedOn w:val="1"/>
    <w:autoRedefine/>
    <w:qFormat/>
    <w:uiPriority w:val="99"/>
    <w:pPr>
      <w:ind w:firstLine="420" w:firstLineChars="200"/>
    </w:pPr>
  </w:style>
  <w:style w:type="character" w:customStyle="1" w:styleId="29">
    <w:name w:val="font51"/>
    <w:autoRedefine/>
    <w:qFormat/>
    <w:uiPriority w:val="99"/>
    <w:rPr>
      <w:rFonts w:ascii="宋体" w:hAnsi="宋体" w:eastAsia="宋体"/>
      <w:color w:val="000000"/>
      <w:sz w:val="20"/>
      <w:u w:val="none"/>
    </w:rPr>
  </w:style>
  <w:style w:type="character" w:customStyle="1" w:styleId="30">
    <w:name w:val="font101"/>
    <w:autoRedefine/>
    <w:qFormat/>
    <w:uiPriority w:val="99"/>
    <w:rPr>
      <w:rFonts w:ascii="仿宋_GB2312" w:eastAsia="仿宋_GB2312"/>
      <w:color w:val="000000"/>
      <w:sz w:val="20"/>
      <w:u w:val="none"/>
    </w:rPr>
  </w:style>
  <w:style w:type="character" w:customStyle="1" w:styleId="31">
    <w:name w:val="font31"/>
    <w:autoRedefine/>
    <w:qFormat/>
    <w:uiPriority w:val="99"/>
    <w:rPr>
      <w:rFonts w:ascii="Times New Roman" w:hAnsi="Times New Roman"/>
      <w:color w:val="000000"/>
      <w:sz w:val="20"/>
      <w:u w:val="none"/>
    </w:rPr>
  </w:style>
  <w:style w:type="character" w:customStyle="1" w:styleId="32">
    <w:name w:val="font01"/>
    <w:autoRedefine/>
    <w:qFormat/>
    <w:uiPriority w:val="99"/>
    <w:rPr>
      <w:rFonts w:ascii="Times New Roman" w:hAnsi="Times New Roman"/>
      <w:color w:val="000000"/>
      <w:sz w:val="20"/>
      <w:u w:val="none"/>
    </w:rPr>
  </w:style>
  <w:style w:type="paragraph" w:customStyle="1" w:styleId="33">
    <w:name w:val="PlainText"/>
    <w:basedOn w:val="1"/>
    <w:autoRedefine/>
    <w:qFormat/>
    <w:uiPriority w:val="0"/>
    <w:pPr>
      <w:spacing w:line="240" w:lineRule="auto"/>
      <w:jc w:val="both"/>
      <w:textAlignment w:val="baseline"/>
    </w:pPr>
    <w:rPr>
      <w:rFonts w:ascii="宋体" w:hAnsi="Courier New"/>
      <w:kern w:val="2"/>
      <w:sz w:val="21"/>
      <w:szCs w:val="21"/>
      <w:lang w:val="en-US" w:eastAsia="zh-CN" w:bidi="ar-SA"/>
    </w:rPr>
  </w:style>
  <w:style w:type="character" w:customStyle="1" w:styleId="34">
    <w:name w:val="NormalCharacter"/>
    <w:link w:val="1"/>
    <w:autoRedefine/>
    <w:semiHidden/>
    <w:qFormat/>
    <w:uiPriority w:val="0"/>
    <w:rPr>
      <w:rFonts w:ascii="Times New Roman" w:hAnsi="Times New Roman" w:eastAsia="宋体" w:cs="Times New Roman"/>
      <w:kern w:val="2"/>
      <w:sz w:val="21"/>
      <w:szCs w:val="24"/>
      <w:lang w:val="en-US" w:eastAsia="zh-CN" w:bidi="ar-SA"/>
    </w:rPr>
  </w:style>
  <w:style w:type="character" w:customStyle="1" w:styleId="35">
    <w:name w:val="15"/>
    <w:basedOn w:val="13"/>
    <w:autoRedefine/>
    <w:qFormat/>
    <w:uiPriority w:val="0"/>
    <w:rPr>
      <w:rFonts w:hint="default" w:ascii="Times New Roman" w:hAnsi="Times New Roman" w:eastAsia="宋体" w:cs="Times New Roman"/>
      <w:kern w:val="2"/>
      <w:sz w:val="21"/>
      <w:szCs w:val="21"/>
    </w:rPr>
  </w:style>
  <w:style w:type="character" w:customStyle="1" w:styleId="36">
    <w:name w:val="ca-0"/>
    <w:basedOn w:val="13"/>
    <w:autoRedefine/>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211246-EB58-4AC5-A2B6-960889E0ADF2}">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10</Pages>
  <Words>4461</Words>
  <Characters>4691</Characters>
  <Lines>78</Lines>
  <Paragraphs>22</Paragraphs>
  <TotalTime>24</TotalTime>
  <ScaleCrop>false</ScaleCrop>
  <LinksUpToDate>false</LinksUpToDate>
  <CharactersWithSpaces>4746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2020-10-10T00:47:00Z</dcterms:created>
  <dc:creator>Lenovo</dc:creator>
  <cp:lastModifiedBy>邓婷</cp:lastModifiedBy>
  <dcterms:modified xsi:type="dcterms:W3CDTF">2025-01-16T08:22:51Z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709AE2A91066492FA076474FC69F0D78</vt:lpwstr>
  </property>
  <property fmtid="{D5CDD505-2E9C-101B-9397-08002B2CF9AE}" pid="4" name="KSOTemplateDocerSaveRecord">
    <vt:lpwstr>eyJoZGlkIjoiYjI3ZDJkMmNlYjY4NGYzMGFmNzM3Y2FhNWM3Zjc0Y2IiLCJ1c2VySWQiOiIxMDY5MjgzMDcxIn0=</vt:lpwstr>
  </property>
</Properties>
</file>