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09DA88">
      <w:pPr>
        <w:jc w:val="center"/>
        <w:rPr>
          <w:rFonts w:hint="eastAsia" w:ascii="方正小标宋_GBK" w:eastAsia="方正小标宋_GBK"/>
          <w:sz w:val="44"/>
          <w:szCs w:val="44"/>
        </w:rPr>
      </w:pPr>
      <w:bookmarkStart w:id="0" w:name="_GoBack"/>
      <w:bookmarkEnd w:id="0"/>
      <w:r>
        <w:rPr>
          <w:rFonts w:hint="eastAsia" w:ascii="方正小标宋_GBK" w:eastAsia="方正小标宋_GBK"/>
          <w:sz w:val="44"/>
          <w:szCs w:val="44"/>
        </w:rPr>
        <w:t>衡</w:t>
      </w:r>
      <w:r>
        <w:rPr>
          <w:rFonts w:hint="eastAsia" w:ascii="方正小标宋_GBK" w:eastAsia="方正小标宋_GBK"/>
          <w:sz w:val="44"/>
          <w:szCs w:val="44"/>
          <w:lang w:eastAsia="zh-CN"/>
        </w:rPr>
        <w:t>南</w:t>
      </w:r>
      <w:r>
        <w:rPr>
          <w:rFonts w:hint="eastAsia" w:ascii="方正小标宋_GBK" w:eastAsia="方正小标宋_GBK"/>
          <w:sz w:val="44"/>
          <w:szCs w:val="44"/>
        </w:rPr>
        <w:t>县部门整体支出绩效自评报告</w:t>
      </w:r>
    </w:p>
    <w:p w14:paraId="06953411"/>
    <w:p w14:paraId="4594B6D5">
      <w:pPr>
        <w:jc w:val="center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 20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>23</w:t>
      </w:r>
      <w:r>
        <w:rPr>
          <w:rFonts w:hint="eastAsia" w:ascii="仿宋_GB2312" w:eastAsia="仿宋_GB2312"/>
          <w:sz w:val="32"/>
          <w:szCs w:val="32"/>
        </w:rPr>
        <w:t>年度 ）</w:t>
      </w:r>
    </w:p>
    <w:p w14:paraId="3E3CBF77">
      <w:pPr>
        <w:rPr>
          <w:rFonts w:hint="eastAsia"/>
        </w:rPr>
      </w:pPr>
    </w:p>
    <w:p w14:paraId="6E280587">
      <w:pPr>
        <w:rPr>
          <w:rFonts w:hint="eastAsia"/>
        </w:rPr>
      </w:pPr>
    </w:p>
    <w:p w14:paraId="6B51B63C">
      <w:pPr>
        <w:rPr>
          <w:rFonts w:hint="eastAsia"/>
        </w:rPr>
      </w:pPr>
    </w:p>
    <w:p w14:paraId="358E5C1E"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部门(单位)名称</w:t>
      </w:r>
      <w:r>
        <w:rPr>
          <w:rFonts w:hint="eastAsia" w:ascii="仿宋_GB2312" w:eastAsia="仿宋_GB2312"/>
          <w:sz w:val="32"/>
          <w:szCs w:val="32"/>
          <w:lang w:eastAsia="zh-CN"/>
        </w:rPr>
        <w:t>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衡南县种畜场</w:t>
      </w:r>
      <w:r>
        <w:rPr>
          <w:rFonts w:hint="eastAsia" w:ascii="仿宋_GB2312" w:eastAsia="仿宋_GB2312"/>
          <w:sz w:val="32"/>
          <w:szCs w:val="32"/>
        </w:rPr>
        <w:t xml:space="preserve">     </w:t>
      </w:r>
    </w:p>
    <w:p w14:paraId="0B770CAA"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预算编码：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301034</w:t>
      </w:r>
      <w:r>
        <w:rPr>
          <w:rFonts w:hint="eastAsia" w:ascii="仿宋_GB2312" w:eastAsia="仿宋_GB2312"/>
          <w:sz w:val="32"/>
          <w:szCs w:val="32"/>
        </w:rPr>
        <w:t xml:space="preserve">             </w:t>
      </w:r>
    </w:p>
    <w:p w14:paraId="3A61EB44"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评价方式：部门（单位）自评</w:t>
      </w:r>
      <w:r>
        <w:rPr>
          <w:rFonts w:hint="eastAsia" w:ascii="仿宋_GB2312" w:eastAsia="仿宋_GB2312"/>
          <w:sz w:val="32"/>
          <w:szCs w:val="32"/>
          <w:lang w:eastAsia="zh-CN"/>
        </w:rPr>
        <w:t>☑</w:t>
      </w:r>
      <w:r>
        <w:rPr>
          <w:rFonts w:hint="eastAsia" w:ascii="仿宋_GB2312" w:eastAsia="仿宋_GB2312"/>
          <w:sz w:val="32"/>
          <w:szCs w:val="32"/>
        </w:rPr>
        <w:t xml:space="preserve">  </w:t>
      </w:r>
    </w:p>
    <w:p w14:paraId="4C23A1FA">
      <w:pPr>
        <w:ind w:firstLine="2240" w:firstLineChars="7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中介机构评价□</w:t>
      </w:r>
    </w:p>
    <w:p w14:paraId="722E482B">
      <w:pPr>
        <w:ind w:firstLine="640" w:firstLineChars="20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>评价机构：部门（单位）评价组</w:t>
      </w:r>
      <w:r>
        <w:rPr>
          <w:rFonts w:hint="eastAsia" w:ascii="仿宋_GB2312" w:eastAsia="仿宋_GB2312"/>
          <w:sz w:val="32"/>
          <w:szCs w:val="32"/>
          <w:lang w:eastAsia="zh-CN"/>
        </w:rPr>
        <w:t>☑</w:t>
      </w:r>
    </w:p>
    <w:p w14:paraId="7DE656AA">
      <w:pPr>
        <w:ind w:firstLine="2240" w:firstLineChars="7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中介机构□</w:t>
      </w:r>
    </w:p>
    <w:p w14:paraId="3032B0AB"/>
    <w:p w14:paraId="1169A267"/>
    <w:p w14:paraId="0DC375E0">
      <w:pPr>
        <w:rPr>
          <w:rFonts w:hint="eastAsia"/>
        </w:rPr>
      </w:pPr>
    </w:p>
    <w:p w14:paraId="44538B19">
      <w:pPr>
        <w:rPr>
          <w:rFonts w:hint="eastAsia"/>
        </w:rPr>
      </w:pPr>
    </w:p>
    <w:p w14:paraId="52137F60">
      <w:pPr>
        <w:rPr>
          <w:rFonts w:hint="eastAsia"/>
        </w:rPr>
      </w:pPr>
    </w:p>
    <w:p w14:paraId="42BF941A">
      <w:pPr>
        <w:rPr>
          <w:rFonts w:hint="eastAsia"/>
        </w:rPr>
      </w:pPr>
    </w:p>
    <w:p w14:paraId="7A4C8E9A">
      <w:pPr>
        <w:rPr>
          <w:rFonts w:hint="eastAsia"/>
        </w:rPr>
      </w:pPr>
    </w:p>
    <w:p w14:paraId="78774563">
      <w:pPr>
        <w:rPr>
          <w:rFonts w:hint="eastAsia"/>
        </w:rPr>
      </w:pPr>
    </w:p>
    <w:p w14:paraId="74C923E8">
      <w:pPr>
        <w:rPr>
          <w:rFonts w:hint="eastAsia"/>
        </w:rPr>
      </w:pPr>
    </w:p>
    <w:p w14:paraId="5A6A610F"/>
    <w:p w14:paraId="51429D24"/>
    <w:p w14:paraId="3E4B1661">
      <w:pPr>
        <w:jc w:val="center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报告日期：  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2024</w:t>
      </w:r>
      <w:r>
        <w:rPr>
          <w:rFonts w:hint="eastAsia" w:ascii="仿宋_GB2312" w:eastAsia="仿宋_GB2312"/>
          <w:sz w:val="32"/>
          <w:szCs w:val="32"/>
        </w:rPr>
        <w:t xml:space="preserve">年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11</w:t>
      </w:r>
      <w:r>
        <w:rPr>
          <w:rFonts w:hint="eastAsia" w:ascii="仿宋_GB2312" w:eastAsia="仿宋_GB2312"/>
          <w:sz w:val="32"/>
          <w:szCs w:val="32"/>
        </w:rPr>
        <w:t xml:space="preserve">月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6</w:t>
      </w:r>
      <w:r>
        <w:rPr>
          <w:rFonts w:hint="eastAsia" w:ascii="仿宋_GB2312" w:eastAsia="仿宋_GB2312"/>
          <w:sz w:val="32"/>
          <w:szCs w:val="32"/>
        </w:rPr>
        <w:t>日</w:t>
      </w:r>
    </w:p>
    <w:p w14:paraId="13C08A51">
      <w:pPr>
        <w:rPr>
          <w:rFonts w:hint="eastAsia"/>
        </w:rPr>
      </w:pPr>
    </w:p>
    <w:p w14:paraId="3B8865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</w:p>
    <w:p w14:paraId="482474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</w:p>
    <w:p w14:paraId="2E8EFC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</w:p>
    <w:p w14:paraId="096CAA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</w:p>
    <w:p w14:paraId="0D28E7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  <w:r>
        <w:rPr>
          <w:rFonts w:hint="eastAsia" w:ascii="华文中宋" w:hAnsi="华文中宋" w:eastAsia="华文中宋" w:cs="华文中宋"/>
          <w:sz w:val="42"/>
          <w:szCs w:val="42"/>
        </w:rPr>
        <w:t>202</w:t>
      </w:r>
      <w:r>
        <w:rPr>
          <w:rFonts w:hint="eastAsia" w:ascii="华文中宋" w:hAnsi="华文中宋" w:eastAsia="华文中宋" w:cs="华文中宋"/>
          <w:sz w:val="42"/>
          <w:szCs w:val="42"/>
          <w:lang w:val="en-US" w:eastAsia="zh-CN"/>
        </w:rPr>
        <w:t>3</w:t>
      </w:r>
      <w:r>
        <w:rPr>
          <w:rFonts w:hint="eastAsia" w:ascii="华文中宋" w:hAnsi="华文中宋" w:eastAsia="华文中宋" w:cs="华文中宋"/>
          <w:sz w:val="42"/>
          <w:szCs w:val="42"/>
        </w:rPr>
        <w:t>年衡南</w:t>
      </w:r>
      <w:r>
        <w:rPr>
          <w:rFonts w:hint="eastAsia" w:ascii="华文中宋" w:hAnsi="华文中宋" w:eastAsia="华文中宋" w:cs="华文中宋"/>
          <w:sz w:val="42"/>
          <w:szCs w:val="42"/>
          <w:lang w:val="en-US" w:eastAsia="zh-CN"/>
        </w:rPr>
        <w:t>县种畜场</w:t>
      </w:r>
      <w:r>
        <w:rPr>
          <w:rFonts w:hint="eastAsia" w:ascii="华文中宋" w:hAnsi="华文中宋" w:eastAsia="华文中宋" w:cs="华文中宋"/>
          <w:sz w:val="42"/>
          <w:szCs w:val="42"/>
        </w:rPr>
        <w:t>整体支出</w:t>
      </w:r>
    </w:p>
    <w:p w14:paraId="56F042D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  <w:r>
        <w:rPr>
          <w:rFonts w:hint="eastAsia" w:ascii="华文中宋" w:hAnsi="华文中宋" w:eastAsia="华文中宋" w:cs="华文中宋"/>
          <w:sz w:val="42"/>
          <w:szCs w:val="42"/>
        </w:rPr>
        <w:t>绩效自评报告</w:t>
      </w:r>
    </w:p>
    <w:p w14:paraId="4D556D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华文中宋" w:hAnsi="华文中宋" w:eastAsia="华文中宋" w:cs="华文中宋"/>
          <w:sz w:val="42"/>
          <w:szCs w:val="42"/>
        </w:rPr>
      </w:pPr>
    </w:p>
    <w:p w14:paraId="12CE5615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为加强财政预算资金管理，进一步规范预算资金使用，提高财政资金使用效益，根据《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衡南县财政局关于做好2023年部门预算绩效目标编审工作的通知</w:t>
      </w:r>
      <w:r>
        <w:rPr>
          <w:rFonts w:hint="eastAsia" w:ascii="仿宋_GB2312" w:hAnsi="仿宋_GB2312" w:eastAsia="仿宋_GB2312" w:cs="仿宋_GB2312"/>
          <w:sz w:val="32"/>
          <w:szCs w:val="32"/>
        </w:rPr>
        <w:t>》清财绩〔2022〕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207</w:t>
      </w:r>
      <w:r>
        <w:rPr>
          <w:rFonts w:hint="eastAsia" w:ascii="仿宋_GB2312" w:hAnsi="仿宋_GB2312" w:eastAsia="仿宋_GB2312" w:cs="仿宋_GB2312"/>
          <w:sz w:val="32"/>
          <w:szCs w:val="32"/>
        </w:rPr>
        <w:t>号文件要求，我单位积极组织，对202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年度本单位整体支出进行了绩效自评，现将具体绩效评价情况报告如下：</w:t>
      </w:r>
    </w:p>
    <w:p w14:paraId="656131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一、部门基本情况</w:t>
      </w:r>
    </w:p>
    <w:p w14:paraId="13E731E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衡南县种畜场</w:t>
      </w:r>
      <w:r>
        <w:rPr>
          <w:rFonts w:hint="eastAsia" w:ascii="仿宋_GB2312" w:hAnsi="仿宋_GB2312" w:eastAsia="仿宋_GB2312" w:cs="仿宋_GB2312"/>
          <w:sz w:val="32"/>
          <w:szCs w:val="32"/>
        </w:rPr>
        <w:t>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差</w:t>
      </w:r>
      <w:r>
        <w:rPr>
          <w:rFonts w:hint="eastAsia" w:ascii="仿宋_GB2312" w:hAnsi="仿宋_GB2312" w:eastAsia="仿宋_GB2312" w:cs="仿宋_GB2312"/>
          <w:sz w:val="32"/>
          <w:szCs w:val="32"/>
        </w:rPr>
        <w:t>额财政拨款单位，纳入财政会计集中核算和国库集中支付体系，财务制度执行《预算法》、《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政府</w:t>
      </w:r>
      <w:r>
        <w:rPr>
          <w:rFonts w:hint="eastAsia" w:ascii="仿宋_GB2312" w:hAnsi="仿宋_GB2312" w:eastAsia="仿宋_GB2312" w:cs="仿宋_GB2312"/>
          <w:sz w:val="32"/>
          <w:szCs w:val="32"/>
        </w:rPr>
        <w:t>会计制度》。</w:t>
      </w:r>
    </w:p>
    <w:p w14:paraId="20435E6D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部门职责</w:t>
      </w:r>
    </w:p>
    <w:p w14:paraId="3F88CC68">
      <w:pPr>
        <w:spacing w:line="560" w:lineRule="exact"/>
        <w:ind w:right="103" w:rightChars="49" w:firstLine="636" w:firstLineChars="200"/>
        <w:rPr>
          <w:rFonts w:ascii="仿宋" w:hAnsi="仿宋" w:eastAsia="仿宋" w:cs="仿宋"/>
          <w:spacing w:val="4"/>
          <w:sz w:val="31"/>
          <w:szCs w:val="31"/>
        </w:rPr>
      </w:pPr>
      <w:r>
        <w:rPr>
          <w:rFonts w:hint="eastAsia" w:ascii="仿宋" w:hAnsi="仿宋" w:eastAsia="仿宋" w:cs="仿宋"/>
          <w:spacing w:val="4"/>
          <w:sz w:val="31"/>
          <w:szCs w:val="31"/>
        </w:rPr>
        <w:t>（1）</w:t>
      </w:r>
      <w:r>
        <w:rPr>
          <w:rFonts w:ascii="仿宋" w:hAnsi="仿宋" w:eastAsia="仿宋" w:cs="仿宋"/>
          <w:spacing w:val="4"/>
          <w:sz w:val="31"/>
          <w:szCs w:val="31"/>
        </w:rPr>
        <w:t>负责组织制定全</w:t>
      </w:r>
      <w:r>
        <w:rPr>
          <w:rFonts w:hint="eastAsia" w:ascii="仿宋" w:hAnsi="仿宋" w:eastAsia="仿宋" w:cs="仿宋"/>
          <w:spacing w:val="4"/>
          <w:sz w:val="31"/>
          <w:szCs w:val="31"/>
        </w:rPr>
        <w:t>场种养殖</w:t>
      </w:r>
      <w:r>
        <w:rPr>
          <w:rFonts w:ascii="仿宋" w:hAnsi="仿宋" w:eastAsia="仿宋" w:cs="仿宋"/>
          <w:spacing w:val="4"/>
          <w:sz w:val="31"/>
          <w:szCs w:val="31"/>
        </w:rPr>
        <w:t>计划</w:t>
      </w:r>
      <w:r>
        <w:rPr>
          <w:rFonts w:hint="eastAsia" w:ascii="仿宋" w:hAnsi="仿宋" w:eastAsia="仿宋" w:cs="仿宋"/>
          <w:spacing w:val="4"/>
          <w:sz w:val="31"/>
          <w:szCs w:val="31"/>
        </w:rPr>
        <w:t>、</w:t>
      </w:r>
      <w:r>
        <w:rPr>
          <w:rFonts w:ascii="仿宋" w:hAnsi="仿宋" w:eastAsia="仿宋" w:cs="仿宋"/>
          <w:spacing w:val="4"/>
          <w:sz w:val="31"/>
          <w:szCs w:val="31"/>
        </w:rPr>
        <w:t>产业结构调整并组织实施；</w:t>
      </w:r>
    </w:p>
    <w:p w14:paraId="12583A2F">
      <w:pPr>
        <w:spacing w:line="560" w:lineRule="exact"/>
        <w:ind w:right="103" w:rightChars="49" w:firstLine="636" w:firstLineChars="200"/>
        <w:rPr>
          <w:rFonts w:ascii="仿宋" w:hAnsi="仿宋" w:eastAsia="仿宋" w:cs="仿宋"/>
          <w:spacing w:val="4"/>
          <w:sz w:val="31"/>
          <w:szCs w:val="31"/>
        </w:rPr>
      </w:pPr>
      <w:r>
        <w:rPr>
          <w:rFonts w:hint="eastAsia" w:ascii="仿宋" w:hAnsi="仿宋" w:eastAsia="仿宋" w:cs="仿宋"/>
          <w:spacing w:val="4"/>
          <w:sz w:val="31"/>
          <w:szCs w:val="31"/>
        </w:rPr>
        <w:t>（2）</w:t>
      </w:r>
      <w:r>
        <w:rPr>
          <w:rFonts w:ascii="仿宋" w:hAnsi="仿宋" w:eastAsia="仿宋" w:cs="仿宋"/>
          <w:spacing w:val="4"/>
          <w:sz w:val="31"/>
          <w:szCs w:val="31"/>
        </w:rPr>
        <w:t>负责承担</w:t>
      </w:r>
      <w:r>
        <w:rPr>
          <w:rFonts w:hint="eastAsia" w:ascii="仿宋" w:hAnsi="仿宋" w:eastAsia="仿宋" w:cs="仿宋"/>
          <w:spacing w:val="4"/>
          <w:sz w:val="31"/>
          <w:szCs w:val="31"/>
        </w:rPr>
        <w:t>全场种养殖生产原材料的采购、</w:t>
      </w:r>
      <w:r>
        <w:rPr>
          <w:rFonts w:ascii="仿宋" w:hAnsi="仿宋" w:eastAsia="仿宋" w:cs="仿宋"/>
          <w:spacing w:val="4"/>
          <w:sz w:val="31"/>
          <w:szCs w:val="31"/>
        </w:rPr>
        <w:t>新技术、新成果、新器械、新品种的引进、</w:t>
      </w:r>
      <w:r>
        <w:rPr>
          <w:rFonts w:hint="eastAsia" w:ascii="仿宋" w:hAnsi="仿宋" w:eastAsia="仿宋" w:cs="仿宋"/>
          <w:spacing w:val="4"/>
          <w:sz w:val="31"/>
          <w:szCs w:val="31"/>
        </w:rPr>
        <w:t>成品的销售</w:t>
      </w:r>
      <w:r>
        <w:rPr>
          <w:rFonts w:ascii="仿宋" w:hAnsi="仿宋" w:eastAsia="仿宋" w:cs="仿宋"/>
          <w:spacing w:val="4"/>
          <w:sz w:val="31"/>
          <w:szCs w:val="31"/>
        </w:rPr>
        <w:t>；</w:t>
      </w:r>
    </w:p>
    <w:p w14:paraId="07399CE7">
      <w:pPr>
        <w:spacing w:line="560" w:lineRule="exact"/>
        <w:ind w:right="103" w:rightChars="49" w:firstLine="636" w:firstLineChars="200"/>
        <w:rPr>
          <w:rFonts w:ascii="仿宋" w:hAnsi="仿宋" w:eastAsia="仿宋" w:cs="仿宋"/>
          <w:spacing w:val="4"/>
          <w:sz w:val="31"/>
          <w:szCs w:val="31"/>
        </w:rPr>
      </w:pPr>
      <w:r>
        <w:rPr>
          <w:rFonts w:hint="eastAsia" w:ascii="仿宋" w:hAnsi="仿宋" w:eastAsia="仿宋" w:cs="仿宋"/>
          <w:spacing w:val="4"/>
          <w:sz w:val="31"/>
          <w:szCs w:val="31"/>
        </w:rPr>
        <w:t>（3）</w:t>
      </w:r>
      <w:r>
        <w:rPr>
          <w:rFonts w:ascii="仿宋" w:hAnsi="仿宋" w:eastAsia="仿宋" w:cs="仿宋"/>
          <w:spacing w:val="4"/>
          <w:sz w:val="31"/>
          <w:szCs w:val="31"/>
        </w:rPr>
        <w:t>负责实施全</w:t>
      </w:r>
      <w:r>
        <w:rPr>
          <w:rFonts w:hint="eastAsia" w:ascii="仿宋" w:hAnsi="仿宋" w:eastAsia="仿宋" w:cs="仿宋"/>
          <w:spacing w:val="4"/>
          <w:sz w:val="31"/>
          <w:szCs w:val="31"/>
        </w:rPr>
        <w:t>场动物防疫</w:t>
      </w:r>
      <w:r>
        <w:rPr>
          <w:rFonts w:ascii="仿宋" w:hAnsi="仿宋" w:eastAsia="仿宋" w:cs="仿宋"/>
          <w:spacing w:val="4"/>
          <w:sz w:val="31"/>
          <w:szCs w:val="31"/>
        </w:rPr>
        <w:t>与品种安全跟踪评价工作；</w:t>
      </w:r>
    </w:p>
    <w:p w14:paraId="3DC42244">
      <w:pPr>
        <w:spacing w:line="560" w:lineRule="exact"/>
        <w:ind w:right="103" w:rightChars="49" w:firstLine="636" w:firstLineChars="200"/>
        <w:rPr>
          <w:rFonts w:ascii="仿宋" w:hAnsi="仿宋" w:eastAsia="仿宋" w:cs="仿宋"/>
          <w:spacing w:val="4"/>
          <w:sz w:val="31"/>
          <w:szCs w:val="31"/>
        </w:rPr>
      </w:pPr>
      <w:r>
        <w:rPr>
          <w:rFonts w:hint="eastAsia" w:ascii="仿宋" w:hAnsi="仿宋" w:eastAsia="仿宋" w:cs="仿宋"/>
          <w:spacing w:val="4"/>
          <w:sz w:val="31"/>
          <w:szCs w:val="31"/>
        </w:rPr>
        <w:t>（4）</w:t>
      </w:r>
      <w:r>
        <w:rPr>
          <w:rFonts w:ascii="仿宋" w:hAnsi="仿宋" w:eastAsia="仿宋" w:cs="仿宋"/>
          <w:spacing w:val="4"/>
          <w:sz w:val="31"/>
          <w:szCs w:val="31"/>
        </w:rPr>
        <w:t>承担全</w:t>
      </w:r>
      <w:r>
        <w:rPr>
          <w:rFonts w:hint="eastAsia" w:ascii="仿宋" w:hAnsi="仿宋" w:eastAsia="仿宋" w:cs="仿宋"/>
          <w:spacing w:val="4"/>
          <w:sz w:val="31"/>
          <w:szCs w:val="31"/>
        </w:rPr>
        <w:t>场动</w:t>
      </w:r>
      <w:r>
        <w:rPr>
          <w:rFonts w:ascii="仿宋" w:hAnsi="仿宋" w:eastAsia="仿宋" w:cs="仿宋"/>
          <w:spacing w:val="4"/>
          <w:sz w:val="31"/>
          <w:szCs w:val="31"/>
        </w:rPr>
        <w:t>植物保护相关工作，负责执行</w:t>
      </w:r>
      <w:r>
        <w:rPr>
          <w:rFonts w:hint="eastAsia" w:ascii="仿宋" w:hAnsi="仿宋" w:eastAsia="仿宋" w:cs="仿宋"/>
          <w:spacing w:val="4"/>
          <w:sz w:val="31"/>
          <w:szCs w:val="31"/>
        </w:rPr>
        <w:t>动</w:t>
      </w:r>
      <w:r>
        <w:rPr>
          <w:rFonts w:ascii="仿宋" w:hAnsi="仿宋" w:eastAsia="仿宋" w:cs="仿宋"/>
          <w:spacing w:val="4"/>
          <w:sz w:val="31"/>
          <w:szCs w:val="31"/>
        </w:rPr>
        <w:t>植物检疫 任务；负责全</w:t>
      </w:r>
      <w:r>
        <w:rPr>
          <w:rFonts w:hint="eastAsia" w:ascii="仿宋" w:hAnsi="仿宋" w:eastAsia="仿宋" w:cs="仿宋"/>
          <w:spacing w:val="4"/>
          <w:sz w:val="31"/>
          <w:szCs w:val="31"/>
        </w:rPr>
        <w:t>场动</w:t>
      </w:r>
      <w:r>
        <w:rPr>
          <w:rFonts w:ascii="仿宋" w:hAnsi="仿宋" w:eastAsia="仿宋" w:cs="仿宋"/>
          <w:spacing w:val="4"/>
          <w:sz w:val="31"/>
          <w:szCs w:val="31"/>
        </w:rPr>
        <w:t>植物疫情普查、监测、预报预警、发生 防控信息报告与发布的具体工作；</w:t>
      </w:r>
    </w:p>
    <w:p w14:paraId="4D0E3497">
      <w:pPr>
        <w:spacing w:line="560" w:lineRule="exact"/>
        <w:ind w:right="103" w:rightChars="49" w:firstLine="636" w:firstLineChars="200"/>
        <w:rPr>
          <w:rFonts w:ascii="仿宋" w:hAnsi="仿宋" w:eastAsia="仿宋" w:cs="仿宋"/>
          <w:spacing w:val="4"/>
          <w:sz w:val="31"/>
          <w:szCs w:val="31"/>
        </w:rPr>
      </w:pPr>
      <w:r>
        <w:rPr>
          <w:rFonts w:hint="eastAsia" w:ascii="仿宋" w:hAnsi="仿宋" w:eastAsia="仿宋" w:cs="仿宋"/>
          <w:spacing w:val="4"/>
          <w:sz w:val="31"/>
          <w:szCs w:val="31"/>
        </w:rPr>
        <w:t>（5）</w:t>
      </w:r>
      <w:r>
        <w:rPr>
          <w:rFonts w:ascii="仿宋" w:hAnsi="仿宋" w:eastAsia="仿宋" w:cs="仿宋"/>
          <w:spacing w:val="4"/>
          <w:sz w:val="31"/>
          <w:szCs w:val="31"/>
        </w:rPr>
        <w:t>承担中央、省、市、县下达的各专业技术项目的实施 工作；</w:t>
      </w:r>
    </w:p>
    <w:p w14:paraId="7621EC8D">
      <w:pPr>
        <w:widowControl w:val="0"/>
        <w:spacing w:line="560" w:lineRule="exact"/>
        <w:ind w:firstLine="636" w:firstLineChars="200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" w:hAnsi="仿宋" w:eastAsia="仿宋" w:cs="仿宋"/>
          <w:spacing w:val="4"/>
          <w:sz w:val="31"/>
          <w:szCs w:val="31"/>
        </w:rPr>
        <w:t>（6）</w:t>
      </w:r>
      <w:r>
        <w:rPr>
          <w:rFonts w:ascii="仿宋" w:hAnsi="仿宋" w:eastAsia="仿宋" w:cs="仿宋"/>
          <w:spacing w:val="4"/>
          <w:sz w:val="31"/>
          <w:szCs w:val="31"/>
        </w:rPr>
        <w:t>承办县农业农村局交办的其他任务。</w:t>
      </w:r>
    </w:p>
    <w:p w14:paraId="3F1197FE">
      <w:pPr>
        <w:pStyle w:val="3"/>
        <w:rPr>
          <w:rFonts w:hint="default" w:eastAsia="楷体_GB2312"/>
          <w:lang w:val="en-US" w:eastAsia="zh-CN"/>
        </w:rPr>
      </w:pPr>
    </w:p>
    <w:p w14:paraId="2C2A655E">
      <w:pPr>
        <w:widowControl/>
        <w:numPr>
          <w:ilvl w:val="0"/>
          <w:numId w:val="1"/>
        </w:numPr>
        <w:ind w:left="0" w:leftChars="0" w:firstLine="643" w:firstLineChars="200"/>
        <w:jc w:val="left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机构设置情况</w:t>
      </w:r>
    </w:p>
    <w:p w14:paraId="2C0C9BB4">
      <w:pPr>
        <w:widowControl w:val="0"/>
        <w:spacing w:line="560" w:lineRule="exact"/>
        <w:rPr>
          <w:rFonts w:ascii="仿宋" w:hAnsi="仿宋" w:eastAsia="仿宋" w:cs="仿宋"/>
          <w:bCs/>
          <w:sz w:val="32"/>
          <w:szCs w:val="32"/>
        </w:rPr>
      </w:pPr>
      <w:r>
        <w:rPr>
          <w:rFonts w:ascii="黑体" w:hAnsi="黑体" w:eastAsia="黑体" w:cs="仿宋"/>
          <w:sz w:val="32"/>
          <w:szCs w:val="32"/>
        </w:rPr>
        <w:t xml:space="preserve">  </w:t>
      </w:r>
      <w:r>
        <w:rPr>
          <w:rFonts w:hint="eastAsia" w:ascii="仿宋" w:hAnsi="仿宋" w:eastAsia="仿宋" w:cs="仿宋"/>
          <w:b/>
          <w:sz w:val="32"/>
          <w:szCs w:val="32"/>
        </w:rPr>
        <w:t>办公室</w:t>
      </w:r>
      <w:r>
        <w:rPr>
          <w:rFonts w:hint="eastAsia" w:ascii="仿宋" w:hAnsi="仿宋" w:eastAsia="仿宋" w:cs="仿宋"/>
          <w:b/>
          <w:sz w:val="32"/>
          <w:szCs w:val="32"/>
          <w:lang w:eastAsia="zh-CN"/>
        </w:rPr>
        <w:t>：</w:t>
      </w:r>
      <w:r>
        <w:rPr>
          <w:rFonts w:hint="eastAsia" w:ascii="仿宋" w:hAnsi="仿宋" w:eastAsia="仿宋" w:cs="仿宋"/>
          <w:bCs/>
          <w:sz w:val="32"/>
          <w:szCs w:val="32"/>
        </w:rPr>
        <w:t>负责日常运转和对外事务工作协调。负责起草综合性文稿，组织综合性会议，督办重要事项。负责信访、工会、妇联、共青团等工作。负责文电、机要、保密、考勤、档案管理、文明创建、安全生产、新闻宣传和计划生育等工作。负责后勤保障、安全保卫和综合治理等工作。负责拟订内部管理规章制度，并督促落实。协助机关人事部门做好干部人事、机构改编制、劳动工资、社会保障、教育培训、年度考核和职业技能开发以及意识形态领域工作。</w:t>
      </w:r>
      <w:r>
        <w:rPr>
          <w:rFonts w:hint="eastAsia" w:ascii="仿宋" w:hAnsi="仿宋" w:eastAsia="仿宋" w:cs="仿宋"/>
          <w:sz w:val="32"/>
          <w:szCs w:val="32"/>
        </w:rPr>
        <w:t>负责编制本财务预决算，承担日常财务管理工作，负责国有资产管理工作；</w:t>
      </w:r>
    </w:p>
    <w:p w14:paraId="7D652081">
      <w:pPr>
        <w:widowControl w:val="0"/>
        <w:spacing w:line="560" w:lineRule="exact"/>
        <w:ind w:firstLine="643" w:firstLineChars="200"/>
        <w:rPr>
          <w:rFonts w:hint="eastAsia" w:ascii="仿宋_GB2312" w:hAnsi="Calibri" w:eastAsia="仿宋_GB2312" w:cs="Calibri"/>
          <w:sz w:val="32"/>
          <w:szCs w:val="32"/>
        </w:rPr>
      </w:pPr>
      <w:r>
        <w:rPr>
          <w:rFonts w:hint="eastAsia" w:ascii="仿宋_GB2312" w:hAnsi="仿宋" w:eastAsia="仿宋_GB2312" w:cs="仿宋"/>
          <w:b/>
          <w:bCs/>
          <w:sz w:val="32"/>
          <w:szCs w:val="32"/>
        </w:rPr>
        <w:t>生产组</w:t>
      </w:r>
      <w:r>
        <w:rPr>
          <w:rFonts w:hint="eastAsia" w:ascii="仿宋_GB2312" w:hAnsi="仿宋" w:eastAsia="仿宋_GB2312" w:cs="仿宋"/>
          <w:b/>
          <w:bCs/>
          <w:sz w:val="32"/>
          <w:szCs w:val="32"/>
          <w:lang w:eastAsia="zh-CN"/>
        </w:rPr>
        <w:t>：</w:t>
      </w:r>
      <w:r>
        <w:rPr>
          <w:rFonts w:hint="eastAsia" w:ascii="仿宋_GB2312" w:hAnsi="仿宋" w:eastAsia="仿宋_GB2312" w:cs="仿宋"/>
          <w:sz w:val="32"/>
          <w:szCs w:val="32"/>
        </w:rPr>
        <w:t>负责防疫卫生的生产工作，</w:t>
      </w:r>
      <w:r>
        <w:rPr>
          <w:rFonts w:hint="eastAsia" w:ascii="仿宋_GB2312" w:hAnsi="Calibri" w:eastAsia="仿宋_GB2312" w:cs="Calibri"/>
          <w:sz w:val="32"/>
          <w:szCs w:val="32"/>
        </w:rPr>
        <w:t>定期进行消毒，搞好卫生工作。负责母猪分娩前后，需要消毒药物清洗，预防细菌感染。</w:t>
      </w:r>
      <w:r>
        <w:rPr>
          <w:rFonts w:hint="eastAsia" w:ascii="仿宋_GB2312" w:hAnsi="仿宋" w:eastAsia="仿宋_GB2312" w:cs="仿宋"/>
          <w:sz w:val="32"/>
          <w:szCs w:val="32"/>
        </w:rPr>
        <w:t>负责</w:t>
      </w:r>
      <w:r>
        <w:rPr>
          <w:rFonts w:hint="eastAsia" w:ascii="仿宋_GB2312" w:hAnsi="Calibri" w:eastAsia="仿宋_GB2312" w:cs="Calibri"/>
          <w:sz w:val="32"/>
          <w:szCs w:val="32"/>
        </w:rPr>
        <w:t>做好生猪进出场，母猪发情、配种、预产、产仔数量、饲料来源、进场数量、日用量、库存、生猪防疫、治病用药的时间、用法、用量和休药期等的全面工作记录。</w:t>
      </w:r>
      <w:r>
        <w:rPr>
          <w:rFonts w:hint="eastAsia" w:ascii="仿宋_GB2312" w:hAnsi="仿宋" w:eastAsia="仿宋_GB2312" w:cs="仿宋"/>
          <w:sz w:val="32"/>
          <w:szCs w:val="32"/>
        </w:rPr>
        <w:t>负责动物疫病监测、防疫、检疫检验。</w:t>
      </w:r>
    </w:p>
    <w:p w14:paraId="3B3A39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（三）人员编制情况</w:t>
      </w:r>
    </w:p>
    <w:p w14:paraId="4D0008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" w:hAnsi="仿宋" w:eastAsia="仿宋" w:cs="仿宋_GB2312"/>
          <w:sz w:val="32"/>
          <w:szCs w:val="32"/>
        </w:rPr>
        <w:t>截止20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 w:cs="仿宋_GB2312"/>
          <w:sz w:val="32"/>
          <w:szCs w:val="32"/>
        </w:rPr>
        <w:t>年底全部实有人员共计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 w:cs="仿宋_GB2312"/>
          <w:sz w:val="32"/>
          <w:szCs w:val="32"/>
        </w:rPr>
        <w:t>人，其中在职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事业</w:t>
      </w:r>
      <w:r>
        <w:rPr>
          <w:rFonts w:hint="eastAsia" w:ascii="仿宋_GB2312" w:hAnsi="仿宋" w:eastAsia="仿宋_GB2312"/>
          <w:sz w:val="32"/>
          <w:szCs w:val="32"/>
        </w:rPr>
        <w:t>编制人，全额事业编制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" w:eastAsia="仿宋_GB2312"/>
          <w:sz w:val="32"/>
          <w:szCs w:val="32"/>
        </w:rPr>
        <w:t>人</w:t>
      </w:r>
      <w:r>
        <w:rPr>
          <w:rFonts w:ascii="Calibri" w:hAnsi="Calibri" w:eastAsia="仿宋_GB2312"/>
          <w:sz w:val="32"/>
          <w:szCs w:val="32"/>
        </w:rPr>
        <w:t>,</w:t>
      </w:r>
      <w:r>
        <w:rPr>
          <w:rFonts w:hint="eastAsia" w:ascii="Calibri" w:hAnsi="Calibri" w:eastAsia="仿宋_GB2312"/>
          <w:sz w:val="32"/>
          <w:szCs w:val="32"/>
          <w:lang w:val="en-US" w:eastAsia="zh-CN"/>
        </w:rPr>
        <w:t>差额事业编制7人，</w:t>
      </w:r>
      <w:r>
        <w:rPr>
          <w:rFonts w:hint="eastAsia" w:ascii="Calibri" w:hAnsi="Calibri" w:eastAsia="仿宋_GB2312"/>
          <w:sz w:val="32"/>
          <w:szCs w:val="32"/>
        </w:rPr>
        <w:t>自费事业编制</w:t>
      </w:r>
      <w:r>
        <w:rPr>
          <w:rFonts w:hint="eastAsia" w:ascii="Calibri" w:hAnsi="Calibri" w:eastAsia="仿宋_GB2312"/>
          <w:sz w:val="32"/>
          <w:szCs w:val="32"/>
          <w:lang w:val="en-US" w:eastAsia="zh-CN"/>
        </w:rPr>
        <w:t>9</w:t>
      </w:r>
      <w:r>
        <w:rPr>
          <w:rFonts w:hint="eastAsia" w:ascii="Calibri" w:hAnsi="Calibri" w:eastAsia="仿宋_GB2312"/>
          <w:sz w:val="32"/>
          <w:szCs w:val="32"/>
        </w:rPr>
        <w:t>人</w:t>
      </w:r>
      <w:r>
        <w:rPr>
          <w:rFonts w:hint="eastAsia" w:ascii="Calibri" w:hAnsi="Calibri" w:eastAsia="仿宋_GB2312"/>
          <w:sz w:val="32"/>
          <w:szCs w:val="32"/>
          <w:lang w:eastAsia="zh-CN"/>
        </w:rPr>
        <w:t>。</w:t>
      </w:r>
    </w:p>
    <w:p w14:paraId="0CF04F0E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部门整体支出管理及使用情况</w:t>
      </w:r>
    </w:p>
    <w:p w14:paraId="2FCAAC8F">
      <w:pPr>
        <w:spacing w:line="600" w:lineRule="exact"/>
        <w:rPr>
          <w:rFonts w:hint="eastAsia" w:ascii="仿宋" w:hAnsi="仿宋" w:eastAsia="仿宋" w:cs="Times New Roman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Times New Roman"/>
          <w:b/>
          <w:bCs/>
          <w:kern w:val="2"/>
          <w:sz w:val="32"/>
          <w:szCs w:val="32"/>
          <w:lang w:val="en-US" w:eastAsia="zh-CN" w:bidi="ar-SA"/>
        </w:rPr>
        <w:t>二、部门整体支出管理及使用情况</w:t>
      </w:r>
    </w:p>
    <w:p w14:paraId="493F704D">
      <w:pPr>
        <w:pStyle w:val="5"/>
        <w:ind w:firstLine="560"/>
        <w:rPr>
          <w:rFonts w:hint="eastAsia"/>
          <w:sz w:val="28"/>
          <w:szCs w:val="28"/>
        </w:rPr>
      </w:pP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 w:bidi="ar-SA"/>
        </w:rPr>
        <w:t>1、部门预算收支情况　</w:t>
      </w:r>
      <w:r>
        <w:rPr>
          <w:rFonts w:hint="eastAsia"/>
          <w:sz w:val="28"/>
          <w:szCs w:val="28"/>
        </w:rPr>
        <w:t>　</w:t>
      </w:r>
    </w:p>
    <w:p w14:paraId="2B6DDDAE"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1"/>
        <w:jc w:val="left"/>
        <w:textAlignment w:val="auto"/>
        <w:rPr>
          <w:rFonts w:hint="default" w:ascii="仿宋" w:hAnsi="仿宋" w:eastAsia="仿宋" w:cs="Times New Roman"/>
          <w:kern w:val="2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kern w:val="2"/>
          <w:sz w:val="32"/>
          <w:szCs w:val="32"/>
        </w:rPr>
        <w:t>1、</w:t>
      </w:r>
      <w:r>
        <w:rPr>
          <w:rFonts w:hint="eastAsia" w:ascii="仿宋" w:hAnsi="仿宋" w:eastAsia="仿宋" w:cs="Times New Roman"/>
          <w:kern w:val="2"/>
          <w:sz w:val="32"/>
          <w:szCs w:val="32"/>
          <w:lang w:eastAsia="zh-CN"/>
        </w:rPr>
        <w:t>202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年本部年初预收入算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203.08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万元，其中：一般公共预算财政拨款收入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203.08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万元，政府性基金预算财政拨款0元。一般公共预算财政拨款收入明细为：</w:t>
      </w:r>
      <w:r>
        <w:rPr>
          <w:rFonts w:hint="eastAsia" w:ascii="仿宋" w:hAnsi="仿宋" w:eastAsia="仿宋" w:cs="Times New Roman"/>
          <w:kern w:val="2"/>
          <w:sz w:val="32"/>
          <w:szCs w:val="32"/>
          <w:lang w:eastAsia="zh-CN"/>
        </w:rPr>
        <w:t>社会保障支出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23.25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万元，</w:t>
      </w:r>
      <w:r>
        <w:rPr>
          <w:rFonts w:hint="eastAsia" w:ascii="仿宋" w:hAnsi="仿宋" w:eastAsia="仿宋" w:cs="Times New Roman"/>
          <w:kern w:val="2"/>
          <w:sz w:val="32"/>
          <w:szCs w:val="32"/>
          <w:lang w:eastAsia="zh-CN"/>
        </w:rPr>
        <w:t>卫生健康支出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9.65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万元，</w:t>
      </w:r>
      <w:r>
        <w:rPr>
          <w:rFonts w:hint="eastAsia" w:ascii="仿宋" w:hAnsi="仿宋" w:eastAsia="仿宋" w:cs="Times New Roman"/>
          <w:kern w:val="2"/>
          <w:sz w:val="32"/>
          <w:szCs w:val="32"/>
          <w:lang w:eastAsia="zh-CN"/>
        </w:rPr>
        <w:t>农林水支出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165.73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万元，</w:t>
      </w:r>
      <w:r>
        <w:rPr>
          <w:rFonts w:hint="eastAsia" w:ascii="仿宋" w:hAnsi="仿宋" w:eastAsia="仿宋" w:cs="Times New Roman"/>
          <w:kern w:val="2"/>
          <w:sz w:val="32"/>
          <w:szCs w:val="32"/>
          <w:lang w:eastAsia="zh-CN"/>
        </w:rPr>
        <w:t>住房公积金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4.45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。</w:t>
      </w:r>
    </w:p>
    <w:p w14:paraId="7C2D9763">
      <w:pPr>
        <w:pStyle w:val="5"/>
        <w:ind w:firstLine="56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Times New Roman"/>
          <w:kern w:val="2"/>
          <w:sz w:val="32"/>
          <w:szCs w:val="32"/>
        </w:rPr>
        <w:t>2、</w:t>
      </w:r>
      <w:r>
        <w:rPr>
          <w:rFonts w:hint="eastAsia" w:ascii="仿宋" w:hAnsi="仿宋" w:eastAsia="仿宋" w:cs="Times New Roman"/>
          <w:kern w:val="2"/>
          <w:sz w:val="32"/>
          <w:szCs w:val="32"/>
          <w:lang w:eastAsia="zh-CN"/>
        </w:rPr>
        <w:t>202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年本部年初预收入算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203.08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万元，其中：基本支出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128.26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万元，项目支出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74.81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万元。支出明细为：社会保障和就业支出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23.25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万元，卫生健康支出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9.65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万元，农林水支出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165.73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万元。</w:t>
      </w:r>
    </w:p>
    <w:p w14:paraId="0C7C6156">
      <w:pPr>
        <w:pStyle w:val="5"/>
        <w:ind w:firstLine="560"/>
        <w:rPr>
          <w:rFonts w:hint="eastAsia" w:ascii="仿宋" w:hAnsi="仿宋" w:eastAsia="仿宋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 w:bidi="ar-SA"/>
        </w:rPr>
        <w:t>2、部门决算收支情况</w:t>
      </w:r>
    </w:p>
    <w:p w14:paraId="327AB634"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1"/>
        <w:jc w:val="left"/>
        <w:textAlignment w:val="auto"/>
        <w:rPr>
          <w:rFonts w:hint="eastAsia" w:ascii="仿宋" w:hAnsi="仿宋" w:eastAsia="仿宋" w:cs="Times New Roman"/>
          <w:kern w:val="2"/>
          <w:sz w:val="32"/>
          <w:szCs w:val="32"/>
        </w:rPr>
      </w:pPr>
      <w:r>
        <w:rPr>
          <w:rFonts w:hint="eastAsia" w:ascii="仿宋" w:hAnsi="仿宋" w:eastAsia="仿宋" w:cs="Times New Roman"/>
          <w:kern w:val="2"/>
          <w:sz w:val="32"/>
          <w:szCs w:val="32"/>
        </w:rPr>
        <w:t>1、</w:t>
      </w:r>
      <w:r>
        <w:rPr>
          <w:rFonts w:hint="eastAsia" w:ascii="仿宋" w:hAnsi="仿宋" w:eastAsia="仿宋" w:cs="Times New Roman"/>
          <w:kern w:val="2"/>
          <w:sz w:val="32"/>
          <w:szCs w:val="32"/>
          <w:lang w:eastAsia="zh-CN"/>
        </w:rPr>
        <w:t>202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年决算收入情况:本年收入总计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203.08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万元。其中：上年结转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万元,一般公共预算财政拨款收入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203.08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万元。</w:t>
      </w:r>
    </w:p>
    <w:p w14:paraId="13828ACF"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1"/>
        <w:jc w:val="left"/>
        <w:textAlignment w:val="auto"/>
        <w:rPr>
          <w:rFonts w:hint="eastAsia" w:ascii="仿宋" w:hAnsi="仿宋" w:eastAsia="仿宋" w:cs="Times New Roman"/>
          <w:kern w:val="2"/>
          <w:sz w:val="32"/>
          <w:szCs w:val="32"/>
        </w:rPr>
      </w:pPr>
      <w:r>
        <w:rPr>
          <w:rFonts w:hint="eastAsia" w:ascii="仿宋" w:hAnsi="仿宋" w:eastAsia="仿宋" w:cs="Times New Roman"/>
          <w:kern w:val="2"/>
          <w:sz w:val="32"/>
          <w:szCs w:val="32"/>
        </w:rPr>
        <w:t>2、</w:t>
      </w:r>
      <w:r>
        <w:rPr>
          <w:rFonts w:hint="eastAsia" w:ascii="仿宋" w:hAnsi="仿宋" w:eastAsia="仿宋" w:cs="Times New Roman"/>
          <w:kern w:val="2"/>
          <w:sz w:val="32"/>
          <w:szCs w:val="32"/>
          <w:lang w:eastAsia="zh-CN"/>
        </w:rPr>
        <w:t>2022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年决算支出情况:本年支出总计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203.08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万元。其中：基本支出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128.26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万元，项目支出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74.81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万元。</w:t>
      </w:r>
    </w:p>
    <w:p w14:paraId="409B732E"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1"/>
        <w:jc w:val="left"/>
        <w:textAlignment w:val="auto"/>
        <w:rPr>
          <w:rFonts w:hint="eastAsia" w:ascii="仿宋" w:hAnsi="仿宋" w:eastAsia="仿宋" w:cs="Times New Roman"/>
          <w:kern w:val="2"/>
          <w:sz w:val="32"/>
          <w:szCs w:val="32"/>
        </w:rPr>
      </w:pPr>
    </w:p>
    <w:p w14:paraId="5F33E6DD">
      <w:pPr>
        <w:pStyle w:val="5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1"/>
        <w:jc w:val="left"/>
        <w:textAlignment w:val="auto"/>
        <w:rPr>
          <w:rFonts w:hint="eastAsia" w:ascii="仿宋" w:hAnsi="仿宋" w:eastAsia="仿宋" w:cs="Times New Roman"/>
          <w:kern w:val="2"/>
          <w:sz w:val="32"/>
          <w:szCs w:val="32"/>
        </w:rPr>
      </w:pPr>
    </w:p>
    <w:p w14:paraId="17B56FDF"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/>
        <w:jc w:val="left"/>
        <w:textAlignment w:val="auto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（三）支出分类情况</w:t>
      </w:r>
    </w:p>
    <w:p w14:paraId="006A8957">
      <w:pPr>
        <w:pStyle w:val="5"/>
        <w:numPr>
          <w:ilvl w:val="0"/>
          <w:numId w:val="0"/>
        </w:numPr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202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年本单位总支出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203.08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万元，其中：一般公共预算财政拨款支出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203.08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万元。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其中：基本支出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128.26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万元，项目支出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74.81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万元。支出明细为：社会保障和就业支出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23.25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万元，卫生健康支出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9.65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万元，农林水支出</w:t>
      </w: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/>
        </w:rPr>
        <w:t>165.73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万元。</w:t>
      </w:r>
    </w:p>
    <w:p w14:paraId="1BEAC5EB">
      <w:pPr>
        <w:pStyle w:val="5"/>
        <w:numPr>
          <w:ilvl w:val="0"/>
          <w:numId w:val="3"/>
        </w:numPr>
        <w:ind w:firstLine="560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政府性基金预算财政拨款情况</w:t>
      </w:r>
    </w:p>
    <w:p w14:paraId="0E43BF82">
      <w:pPr>
        <w:pStyle w:val="5"/>
        <w:numPr>
          <w:ilvl w:val="0"/>
          <w:numId w:val="0"/>
        </w:numP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我单位2022年政府性基金预算财政拨款0万元。</w:t>
      </w:r>
    </w:p>
    <w:p w14:paraId="3E1F22A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“三公”经费情况</w:t>
      </w:r>
    </w:p>
    <w:p w14:paraId="2599FD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场</w:t>
      </w:r>
      <w:r>
        <w:rPr>
          <w:rFonts w:hint="eastAsia" w:ascii="仿宋_GB2312" w:hAnsi="仿宋_GB2312" w:eastAsia="仿宋_GB2312" w:cs="仿宋_GB2312"/>
          <w:sz w:val="32"/>
          <w:szCs w:val="32"/>
        </w:rPr>
        <w:t>“三公”经费各费用均控制在预算范围内。其中：因公出国出境费用本年未发生经费支出，实际支出为0；公务接待费预算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万元，实际为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万元；</w:t>
      </w:r>
      <w:r>
        <w:rPr>
          <w:rFonts w:hint="eastAsia" w:ascii="仿宋_GB2312" w:hAnsi="仿宋_GB2312" w:eastAsia="仿宋_GB2312"/>
          <w:color w:val="000000"/>
          <w:sz w:val="32"/>
          <w:szCs w:val="24"/>
        </w:rPr>
        <w:t>低于年初预算数，我</w:t>
      </w:r>
      <w:r>
        <w:rPr>
          <w:rFonts w:hint="eastAsia" w:ascii="仿宋_GB2312" w:hAnsi="仿宋_GB2312" w:eastAsia="仿宋_GB2312"/>
          <w:color w:val="000000"/>
          <w:sz w:val="32"/>
          <w:szCs w:val="24"/>
          <w:lang w:eastAsia="zh-CN"/>
        </w:rPr>
        <w:t>场</w:t>
      </w:r>
      <w:r>
        <w:rPr>
          <w:rFonts w:hint="eastAsia" w:ascii="仿宋_GB2312" w:hAnsi="仿宋_GB2312" w:eastAsia="仿宋_GB2312"/>
          <w:color w:val="000000"/>
          <w:sz w:val="32"/>
          <w:szCs w:val="24"/>
        </w:rPr>
        <w:t>严控公务接待，控制在预算之内。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公务用车0万元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 w14:paraId="48A7EB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）政府性基金收支情况</w:t>
      </w:r>
    </w:p>
    <w:p w14:paraId="1DFA3F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华文中宋" w:eastAsia="仿宋_GB2312"/>
          <w:sz w:val="32"/>
          <w:szCs w:val="32"/>
          <w:lang w:val="en-US" w:eastAsia="zh-CN"/>
        </w:rPr>
      </w:pPr>
      <w:r>
        <w:rPr>
          <w:rFonts w:hint="eastAsia" w:ascii="仿宋_GB2312" w:hAnsi="华文中宋" w:eastAsia="仿宋_GB2312"/>
          <w:sz w:val="32"/>
          <w:szCs w:val="32"/>
        </w:rPr>
        <w:t>我</w:t>
      </w:r>
      <w:r>
        <w:rPr>
          <w:rFonts w:hint="eastAsia" w:ascii="仿宋_GB2312" w:hAnsi="华文中宋" w:eastAsia="仿宋_GB2312"/>
          <w:sz w:val="32"/>
          <w:szCs w:val="32"/>
          <w:lang w:val="en-US" w:eastAsia="zh-CN"/>
        </w:rPr>
        <w:t>部2023</w:t>
      </w:r>
      <w:r>
        <w:rPr>
          <w:rFonts w:hint="eastAsia" w:ascii="仿宋_GB2312" w:hAnsi="华文中宋" w:eastAsia="仿宋_GB2312"/>
          <w:sz w:val="32"/>
          <w:szCs w:val="32"/>
        </w:rPr>
        <w:t>年</w:t>
      </w:r>
      <w:r>
        <w:rPr>
          <w:rFonts w:hint="eastAsia" w:ascii="仿宋_GB2312" w:hAnsi="华文中宋" w:eastAsia="仿宋_GB2312"/>
          <w:sz w:val="32"/>
          <w:szCs w:val="32"/>
          <w:lang w:val="en-US" w:eastAsia="zh-CN"/>
        </w:rPr>
        <w:t>政府性基金收支</w:t>
      </w:r>
      <w:r>
        <w:rPr>
          <w:rFonts w:hint="eastAsia" w:ascii="仿宋_GB2312" w:hAnsi="华文中宋" w:eastAsia="仿宋_GB2312"/>
          <w:sz w:val="32"/>
          <w:szCs w:val="32"/>
        </w:rPr>
        <w:t>安排经费</w:t>
      </w:r>
      <w:r>
        <w:rPr>
          <w:rFonts w:hint="eastAsia" w:ascii="仿宋_GB2312" w:hAnsi="华文中宋" w:eastAsia="仿宋_GB2312"/>
          <w:sz w:val="32"/>
          <w:szCs w:val="32"/>
          <w:lang w:eastAsia="zh-CN"/>
        </w:rPr>
        <w:t>为零</w:t>
      </w:r>
      <w:r>
        <w:rPr>
          <w:rFonts w:hint="eastAsia" w:ascii="仿宋_GB2312" w:hAnsi="华文中宋" w:eastAsia="仿宋_GB2312"/>
          <w:sz w:val="32"/>
          <w:szCs w:val="32"/>
          <w:lang w:val="en-US" w:eastAsia="zh-CN"/>
        </w:rPr>
        <w:t>.</w:t>
      </w:r>
    </w:p>
    <w:p w14:paraId="156D9570">
      <w:pPr>
        <w:spacing w:line="520" w:lineRule="exact"/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四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</w:rPr>
        <w:t>本年度部门决算等财务工作开展情况</w:t>
      </w:r>
    </w:p>
    <w:p w14:paraId="38BCAC6E">
      <w:pPr>
        <w:spacing w:line="52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</w:t>
      </w:r>
      <w:r>
        <w:rPr>
          <w:rFonts w:hint="eastAsia" w:ascii="仿宋" w:hAnsi="仿宋" w:eastAsia="仿宋" w:cs="仿宋"/>
          <w:sz w:val="32"/>
          <w:szCs w:val="32"/>
        </w:rPr>
        <w:t>财务管理。</w:t>
      </w:r>
    </w:p>
    <w:p w14:paraId="44142834">
      <w:pPr>
        <w:spacing w:line="52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场</w:t>
      </w:r>
      <w:r>
        <w:rPr>
          <w:rFonts w:hint="eastAsia" w:ascii="仿宋" w:hAnsi="仿宋" w:eastAsia="仿宋" w:cs="仿宋"/>
          <w:sz w:val="32"/>
          <w:szCs w:val="32"/>
        </w:rPr>
        <w:t>财务工作在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场</w:t>
      </w:r>
      <w:r>
        <w:rPr>
          <w:rFonts w:hint="eastAsia" w:ascii="仿宋" w:hAnsi="仿宋" w:eastAsia="仿宋" w:cs="仿宋"/>
          <w:sz w:val="32"/>
          <w:szCs w:val="32"/>
        </w:rPr>
        <w:t>领导的正确领导下，在县财政局的正确指导下，认真贯彻落实国家各项财经法律法规，切实加强财务管理，进一步降低了财务风险，规范了有关经费开支，较好的支撑了各项工作的顺利开展，全年预算执行情况良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好</w:t>
      </w:r>
      <w:r>
        <w:rPr>
          <w:rFonts w:hint="eastAsia" w:ascii="仿宋" w:hAnsi="仿宋" w:eastAsia="仿宋" w:cs="仿宋"/>
          <w:sz w:val="32"/>
          <w:szCs w:val="32"/>
        </w:rPr>
        <w:t>，并顺利通过了各项审计。我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场</w:t>
      </w:r>
      <w:r>
        <w:rPr>
          <w:rFonts w:hint="eastAsia" w:ascii="仿宋" w:hAnsi="仿宋" w:eastAsia="仿宋" w:cs="仿宋"/>
          <w:sz w:val="32"/>
          <w:szCs w:val="32"/>
        </w:rPr>
        <w:t>认真组织202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年决算工作，严格按照县决算工会会议要求，安排专人认真及时地编制决算报表。</w:t>
      </w:r>
    </w:p>
    <w:p w14:paraId="634D7D57">
      <w:pPr>
        <w:spacing w:line="520" w:lineRule="exact"/>
        <w:ind w:firstLine="640" w:firstLineChars="20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2.公开情况。</w:t>
      </w:r>
    </w:p>
    <w:p w14:paraId="18A24A82">
      <w:pPr>
        <w:spacing w:line="52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本部门（单位）决算公开工作、主管部门对所属单位按规定批复决算工作开展情况。</w:t>
      </w:r>
    </w:p>
    <w:p w14:paraId="17166EEF">
      <w:pPr>
        <w:spacing w:line="52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场</w:t>
      </w:r>
      <w:r>
        <w:rPr>
          <w:rFonts w:hint="eastAsia" w:ascii="仿宋" w:hAnsi="仿宋" w:eastAsia="仿宋" w:cs="仿宋"/>
          <w:sz w:val="32"/>
          <w:szCs w:val="32"/>
        </w:rPr>
        <w:t>对决算将依规公开。</w:t>
      </w:r>
    </w:p>
    <w:p w14:paraId="74FC0803">
      <w:pPr>
        <w:spacing w:line="52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3.国有资产占用使用情况。</w:t>
      </w:r>
    </w:p>
    <w:p w14:paraId="1297DCE4">
      <w:pPr>
        <w:spacing w:line="520" w:lineRule="exact"/>
        <w:ind w:firstLine="640" w:firstLineChars="200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截至202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年12月31日，本单位共有车辆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辆，其中，领导干部用车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辆、机要通信用车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辆、应急保障用车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辆、执法执勤用车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辆、特种专业技术用车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辆、其他用车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辆；单位价值50万元以上通用设备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台（套）；单位价值100万元以上专用设备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台（套）。</w:t>
      </w:r>
    </w:p>
    <w:p w14:paraId="65DB60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三、部门整体支出绩效评价情况</w:t>
      </w:r>
    </w:p>
    <w:p w14:paraId="28D782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评价目的</w:t>
      </w:r>
    </w:p>
    <w:p w14:paraId="27FC22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通过全面开展财政支出绩效评价，强化财政支出绩效理念，科学合理编制年度预算，切实发挥财政资金源配置作用，逐步建立以科学理财为基础，以精细化管理为手段，以评价结果为导向，以实施过程为监管对象的预算管理体系。</w:t>
      </w:r>
    </w:p>
    <w:p w14:paraId="21AD07F9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评价方法</w:t>
      </w:r>
    </w:p>
    <w:p w14:paraId="09D5613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根据衡南县财政局相关会议精神，我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开展了部门整体支出绩效评价工作，具体工作方法包括：1、查阅资料。查阅2023年预算按排、预算追加、经费支出、资金管理、资产管理等相关文件和财务凭证。2、核实数据。对2023年度部门整体支出数据的准确性、真实性进行核实，将2023年度部门整体支出情况与2023年度预算情况、2023年度部门整体支出情况进行比较分析。3、实地查看。现场查看各类事务资产。4、汇总归纳。根据取得的各项数据及文件资料，结合现场评价情况进行综合分析、归纳汇总，填写基础数据表、评价指标评分表。5、形成绩效评价报告。</w:t>
      </w:r>
    </w:p>
    <w:p w14:paraId="76F945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年，根据我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场</w:t>
      </w:r>
      <w:r>
        <w:rPr>
          <w:rFonts w:hint="eastAsia" w:ascii="仿宋_GB2312" w:hAnsi="仿宋_GB2312" w:eastAsia="仿宋_GB2312" w:cs="仿宋_GB2312"/>
          <w:sz w:val="32"/>
          <w:szCs w:val="32"/>
        </w:rPr>
        <w:t>年初工作规划和重点性工作，围绕县委、县政府中心工作，积极履职，强化管理，较好的完成了年度工作目标。通过加强预算收支的管理，不断建立健全内部管理制度，理顺内部管理流程，部门整体支出管理情况得到了提升。部门整体支出绩效情况如下：</w:t>
      </w:r>
    </w:p>
    <w:p w14:paraId="7154CCD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1、在职人员控制率：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100</w:t>
      </w:r>
      <w:r>
        <w:rPr>
          <w:rFonts w:hint="eastAsia" w:ascii="仿宋_GB2312" w:hAnsi="仿宋_GB2312" w:eastAsia="仿宋_GB2312" w:cs="仿宋_GB2312"/>
          <w:sz w:val="32"/>
          <w:szCs w:val="32"/>
        </w:rPr>
        <w:t>%。</w:t>
      </w:r>
    </w:p>
    <w:p w14:paraId="0F21AA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2、“三公经费”控制率：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100</w:t>
      </w:r>
      <w:r>
        <w:rPr>
          <w:rFonts w:hint="eastAsia" w:ascii="仿宋_GB2312" w:hAnsi="仿宋_GB2312" w:eastAsia="仿宋_GB2312" w:cs="仿宋_GB2312"/>
          <w:sz w:val="32"/>
          <w:szCs w:val="32"/>
        </w:rPr>
        <w:t>%。严格控制“三公经费”支出，开源节流。</w:t>
      </w:r>
    </w:p>
    <w:p w14:paraId="1EC739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3、预算完成率：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100</w:t>
      </w:r>
      <w:r>
        <w:rPr>
          <w:rFonts w:hint="eastAsia" w:ascii="仿宋_GB2312" w:hAnsi="仿宋_GB2312" w:eastAsia="仿宋_GB2312" w:cs="仿宋_GB2312"/>
          <w:sz w:val="32"/>
          <w:szCs w:val="32"/>
        </w:rPr>
        <w:t>%。</w:t>
      </w:r>
    </w:p>
    <w:p w14:paraId="2E90D2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4、政府采购执行率：100%。</w:t>
      </w:r>
    </w:p>
    <w:p w14:paraId="076DAA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5、在资金管理上，我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场</w:t>
      </w:r>
      <w:r>
        <w:rPr>
          <w:rFonts w:hint="eastAsia" w:ascii="仿宋_GB2312" w:hAnsi="仿宋_GB2312" w:eastAsia="仿宋_GB2312" w:cs="仿宋_GB2312"/>
          <w:sz w:val="32"/>
          <w:szCs w:val="32"/>
        </w:rPr>
        <w:t>制定了一系列的财务管理制度。</w:t>
      </w:r>
    </w:p>
    <w:p w14:paraId="21683B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四、存在的主要问题</w:t>
      </w:r>
    </w:p>
    <w:p w14:paraId="6B2744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年初预算的编制较为精细，按照费用支出的使用范围和内容，进行了基本支出、项目支出的严格区分，并按照预算的最末级明细进行预算支出管理，专款专用。但对于追加的项目支出、上年结余结转的项目资金，没有进行预算分解，编制明细预算。</w:t>
      </w:r>
    </w:p>
    <w:p w14:paraId="411664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2、预算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决算项目支出编制需进一步明确、精细化。同时项目执行率需进一步提高。</w:t>
      </w:r>
    </w:p>
    <w:p w14:paraId="043AF1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五、改进措施及建议</w:t>
      </w:r>
    </w:p>
    <w:p w14:paraId="773A3B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一是建议加强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财务管理，严格财务审核，提高财务人员素质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对财务人员进行培训，提高财务人员素质，加强单位财务管理，健全单位财务管理制度体系，规范单位财务行为。在费用报账支付时，按照预算规定的费用项目和用途进行资金使用审核、财务严格核算，杜绝超支现象的发生。</w:t>
      </w:r>
    </w:p>
    <w:p w14:paraId="628019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二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是建议进一步加强内部机构的预算管理意识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严格按照预算编制的相关制度和要求，进一步提高预算编制的科学性、合理性、严谨性和可控性，在日常预算管理过程中，进一步加强预算支出的审核、跟踪及预算执行情况分析。</w:t>
      </w:r>
    </w:p>
    <w:p w14:paraId="5E662BCB"/>
    <w:sectPr>
      <w:footerReference r:id="rId3" w:type="default"/>
      <w:pgSz w:w="11906" w:h="16838"/>
      <w:pgMar w:top="1701" w:right="1701" w:bottom="1701" w:left="1701" w:header="851" w:footer="1191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C1BE25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A70402F"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A70402F"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CA6817"/>
    <w:multiLevelType w:val="singleLevel"/>
    <w:tmpl w:val="CFCA6817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F28075B4"/>
    <w:multiLevelType w:val="singleLevel"/>
    <w:tmpl w:val="F28075B4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646CEE8B"/>
    <w:multiLevelType w:val="singleLevel"/>
    <w:tmpl w:val="646CEE8B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66E0F7A7"/>
    <w:multiLevelType w:val="singleLevel"/>
    <w:tmpl w:val="66E0F7A7"/>
    <w:lvl w:ilvl="0" w:tentative="0">
      <w:start w:val="3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EwM2YxNDdmMzc1YjcyMDYyNTY1OWZiMzFiNzBiZmQifQ=="/>
  </w:docVars>
  <w:rsids>
    <w:rsidRoot w:val="00000000"/>
    <w:rsid w:val="00AC28BC"/>
    <w:rsid w:val="01580547"/>
    <w:rsid w:val="02005B33"/>
    <w:rsid w:val="02211C11"/>
    <w:rsid w:val="03402249"/>
    <w:rsid w:val="03A374B0"/>
    <w:rsid w:val="04525AFF"/>
    <w:rsid w:val="08A90D2D"/>
    <w:rsid w:val="0BB27E56"/>
    <w:rsid w:val="0C2C6AD6"/>
    <w:rsid w:val="0C6C516D"/>
    <w:rsid w:val="0CEF6437"/>
    <w:rsid w:val="0EAF2A15"/>
    <w:rsid w:val="0F407F32"/>
    <w:rsid w:val="134712AF"/>
    <w:rsid w:val="1A0075C7"/>
    <w:rsid w:val="1AE00C69"/>
    <w:rsid w:val="1B895D6C"/>
    <w:rsid w:val="1C7F3EE2"/>
    <w:rsid w:val="1EDA3E39"/>
    <w:rsid w:val="219A2B27"/>
    <w:rsid w:val="247E13EC"/>
    <w:rsid w:val="282E014B"/>
    <w:rsid w:val="298A4273"/>
    <w:rsid w:val="2AB41BC0"/>
    <w:rsid w:val="2B3B2890"/>
    <w:rsid w:val="315C308A"/>
    <w:rsid w:val="316126A8"/>
    <w:rsid w:val="31E62B06"/>
    <w:rsid w:val="345C635D"/>
    <w:rsid w:val="3495780F"/>
    <w:rsid w:val="35C104AB"/>
    <w:rsid w:val="35F80CE6"/>
    <w:rsid w:val="37514C47"/>
    <w:rsid w:val="3C483012"/>
    <w:rsid w:val="3C5142C3"/>
    <w:rsid w:val="3DE05F9A"/>
    <w:rsid w:val="3E8D7925"/>
    <w:rsid w:val="430A7D41"/>
    <w:rsid w:val="43970ED1"/>
    <w:rsid w:val="4505116C"/>
    <w:rsid w:val="4B8B7843"/>
    <w:rsid w:val="4BD171B0"/>
    <w:rsid w:val="4C1155A8"/>
    <w:rsid w:val="4C9246AB"/>
    <w:rsid w:val="4DAA43C8"/>
    <w:rsid w:val="5256666E"/>
    <w:rsid w:val="5A724E7F"/>
    <w:rsid w:val="5AC30C9A"/>
    <w:rsid w:val="5C90445F"/>
    <w:rsid w:val="5E4B4A5F"/>
    <w:rsid w:val="61D92123"/>
    <w:rsid w:val="62BB1865"/>
    <w:rsid w:val="62D374A8"/>
    <w:rsid w:val="6593598D"/>
    <w:rsid w:val="69107F2C"/>
    <w:rsid w:val="691A20E7"/>
    <w:rsid w:val="696525F7"/>
    <w:rsid w:val="6A9A59E2"/>
    <w:rsid w:val="6BAF40B2"/>
    <w:rsid w:val="6DE704B1"/>
    <w:rsid w:val="6FAC7C04"/>
    <w:rsid w:val="71BA0CCB"/>
    <w:rsid w:val="720F02EF"/>
    <w:rsid w:val="72A21008"/>
    <w:rsid w:val="72F77CB0"/>
    <w:rsid w:val="77B3623A"/>
    <w:rsid w:val="79066755"/>
    <w:rsid w:val="79355192"/>
    <w:rsid w:val="79C15B4E"/>
    <w:rsid w:val="7A9F7EE5"/>
    <w:rsid w:val="7ADB5A88"/>
    <w:rsid w:val="7DDD4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2885</Words>
  <Characters>3089</Characters>
  <Lines>0</Lines>
  <Paragraphs>0</Paragraphs>
  <TotalTime>48</TotalTime>
  <ScaleCrop>false</ScaleCrop>
  <LinksUpToDate>false</LinksUpToDate>
  <CharactersWithSpaces>3123</CharactersWithSpaces>
  <Application>WPS Office_12.1.0.18888_F1E327BC-269C-435d-A152-05C5408002CA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2022-04-24T14:54:00Z</dcterms:created>
  <dc:creator>TXRPC</dc:creator>
  <cp:lastModifiedBy>XZIHAO</cp:lastModifiedBy>
  <dcterms:modified xsi:type="dcterms:W3CDTF">2024-11-06T08:39:22Z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2052-12.1.0.18888</vt:lpwstr>
  </property>
  <property fmtid="{D5CDD505-2E9C-101B-9397-08002B2CF9AE}" pid="3" name="ICV">
    <vt:lpwstr>CFB242BD22B745AFA0F848EC72EB140C_13</vt:lpwstr>
  </property>
</Properties>
</file>