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color w:val="auto"/>
          <w:sz w:val="44"/>
          <w:szCs w:val="44"/>
        </w:rPr>
      </w:pPr>
      <w:r>
        <w:rPr>
          <w:rFonts w:hint="eastAsia" w:ascii="方正小标宋简体" w:eastAsia="方正小标宋简体"/>
          <w:color w:val="auto"/>
          <w:sz w:val="44"/>
          <w:szCs w:val="44"/>
          <w:lang w:eastAsia="zh-CN"/>
        </w:rPr>
        <w:t>衡阳市</w:t>
      </w:r>
      <w:r>
        <w:rPr>
          <w:rFonts w:hint="eastAsia" w:ascii="方正小标宋简体" w:eastAsia="方正小标宋简体"/>
          <w:color w:val="auto"/>
          <w:sz w:val="44"/>
          <w:szCs w:val="44"/>
        </w:rPr>
        <w:t>第五技</w:t>
      </w:r>
      <w:r>
        <w:rPr>
          <w:rFonts w:hint="eastAsia" w:ascii="方正小标宋简体" w:eastAsia="方正小标宋简体"/>
          <w:color w:val="auto"/>
          <w:sz w:val="44"/>
          <w:szCs w:val="44"/>
          <w:lang w:eastAsia="zh-CN"/>
        </w:rPr>
        <w:t>工学</w:t>
      </w:r>
      <w:r>
        <w:rPr>
          <w:rFonts w:hint="eastAsia" w:ascii="方正小标宋简体" w:eastAsia="方正小标宋简体"/>
          <w:color w:val="auto"/>
          <w:sz w:val="44"/>
          <w:szCs w:val="44"/>
        </w:rPr>
        <w:t>校</w:t>
      </w:r>
    </w:p>
    <w:p>
      <w:pPr>
        <w:jc w:val="center"/>
        <w:rPr>
          <w:rFonts w:ascii="方正小标宋简体" w:eastAsia="方正小标宋简体"/>
          <w:color w:val="auto"/>
          <w:sz w:val="44"/>
          <w:szCs w:val="44"/>
        </w:rPr>
      </w:pPr>
      <w:r>
        <w:rPr>
          <w:rFonts w:hint="eastAsia" w:ascii="方正小标宋简体" w:eastAsia="方正小标宋简体"/>
          <w:color w:val="auto"/>
          <w:sz w:val="44"/>
          <w:szCs w:val="44"/>
        </w:rPr>
        <w:t>部门</w:t>
      </w:r>
      <w:r>
        <w:rPr>
          <w:rFonts w:hint="eastAsia" w:ascii="方正小标宋简体" w:eastAsia="方正小标宋简体"/>
          <w:color w:val="auto"/>
          <w:sz w:val="44"/>
          <w:szCs w:val="44"/>
          <w:lang w:eastAsia="zh-CN"/>
        </w:rPr>
        <w:t>整体</w:t>
      </w:r>
      <w:r>
        <w:rPr>
          <w:rFonts w:hint="eastAsia" w:ascii="方正小标宋简体" w:eastAsia="方正小标宋简体"/>
          <w:color w:val="auto"/>
          <w:sz w:val="44"/>
          <w:szCs w:val="44"/>
        </w:rPr>
        <w:t>支出绩效报告</w:t>
      </w:r>
    </w:p>
    <w:p>
      <w:pPr>
        <w:jc w:val="center"/>
        <w:rPr>
          <w:rFonts w:hint="eastAsia" w:asciiTheme="minorEastAsia" w:hAnsiTheme="minorEastAsia"/>
          <w:b/>
          <w:color w:val="auto"/>
          <w:sz w:val="32"/>
          <w:szCs w:val="32"/>
        </w:rPr>
      </w:pPr>
      <w:r>
        <w:rPr>
          <w:rFonts w:hint="eastAsia" w:asciiTheme="minorEastAsia" w:hAnsiTheme="minorEastAsia"/>
          <w:b/>
          <w:color w:val="auto"/>
          <w:sz w:val="32"/>
          <w:szCs w:val="32"/>
        </w:rPr>
        <w:t>（20</w:t>
      </w:r>
      <w:r>
        <w:rPr>
          <w:rFonts w:hint="eastAsia" w:asciiTheme="minorEastAsia" w:hAnsiTheme="minorEastAsia"/>
          <w:b/>
          <w:color w:val="auto"/>
          <w:sz w:val="32"/>
          <w:szCs w:val="32"/>
          <w:lang w:val="en-US" w:eastAsia="zh-CN"/>
        </w:rPr>
        <w:t>23</w:t>
      </w:r>
      <w:r>
        <w:rPr>
          <w:rFonts w:hint="eastAsia" w:asciiTheme="minorEastAsia" w:hAnsiTheme="minorEastAsia"/>
          <w:b/>
          <w:color w:val="auto"/>
          <w:sz w:val="32"/>
          <w:szCs w:val="32"/>
        </w:rPr>
        <w:t>年</w:t>
      </w:r>
      <w:r>
        <w:rPr>
          <w:rFonts w:asciiTheme="minorEastAsia" w:hAnsiTheme="minorEastAsia"/>
          <w:b/>
          <w:color w:val="auto"/>
          <w:sz w:val="32"/>
          <w:szCs w:val="32"/>
        </w:rPr>
        <w:t>度）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一、</w:t>
      </w:r>
      <w:r>
        <w:rPr>
          <w:rFonts w:hint="eastAsia" w:asciiTheme="minorEastAsia" w:hAnsiTheme="minorEastAsia"/>
          <w:color w:val="auto"/>
          <w:sz w:val="32"/>
          <w:szCs w:val="32"/>
        </w:rPr>
        <w:t>部门概况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(一）部门职责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 xml:space="preserve">1、技工学校是以就业为导向，以职业技术教育为宗旨，培养德、智、体、美、劳全面发展，具有综合职业能力，在生产服务一线工作的高素质劳动者和技能型人才。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2、贯彻执行党和国家路线、方针、政策、法律、法规，深入调查研究，加强信息反馈，总结经验教训，分析研究问题，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 xml:space="preserve">为科学决策提供依据和咨询意见。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 xml:space="preserve"> 3、建立健全学校各方面管理制度，加强对学校的管理，不断提高学校的办学水平。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4、负责制订学校发展规</w:t>
      </w:r>
      <w:r>
        <w:rPr>
          <w:rFonts w:hint="eastAsia" w:asciiTheme="minorEastAsia" w:hAnsiTheme="minorEastAsia"/>
          <w:color w:val="auto"/>
          <w:sz w:val="32"/>
          <w:szCs w:val="32"/>
        </w:rPr>
        <w:t>划，指导教师开展技工教学工作研究，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并督导各专业按教学计划、教学大纲认真落实和实施。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/>
          <w:color w:val="auto"/>
          <w:sz w:val="32"/>
          <w:szCs w:val="32"/>
        </w:rPr>
        <w:t>、负责各专业的管理，组织指导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教学</w:t>
      </w:r>
      <w:r>
        <w:rPr>
          <w:rFonts w:hint="eastAsia" w:asciiTheme="minorEastAsia" w:hAnsiTheme="minorEastAsia"/>
          <w:color w:val="auto"/>
          <w:sz w:val="32"/>
          <w:szCs w:val="32"/>
        </w:rPr>
        <w:t>研究日常工作开展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；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组织各教研室积极开展课程建设与改革，探索适合职业教育发展规律的课程体系。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6、组织做好教职员工的培养、考核、奖惩、工资福利职称评定工作，充分调动教职员工的工作积极性。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0" w:firstLineChars="200"/>
        <w:textAlignment w:val="auto"/>
        <w:rPr>
          <w:rFonts w:hint="default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7、开展在职职工中、短期技能职业培训工作。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（二）</w:t>
      </w:r>
      <w:r>
        <w:rPr>
          <w:rFonts w:hint="eastAsia" w:asciiTheme="minorEastAsia" w:hAnsiTheme="minorEastAsia"/>
          <w:color w:val="auto"/>
          <w:sz w:val="32"/>
          <w:szCs w:val="32"/>
        </w:rPr>
        <w:t>、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机构设置情况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我校是全额拨款单位，单位</w:t>
      </w:r>
      <w:r>
        <w:rPr>
          <w:rFonts w:hint="eastAsia" w:asciiTheme="minorEastAsia" w:hAnsiTheme="minorEastAsia"/>
          <w:color w:val="auto"/>
          <w:sz w:val="32"/>
          <w:szCs w:val="32"/>
        </w:rPr>
        <w:t>下设办公室、总务科、教务科、实习科、招生办、培训科共六个科室。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（三）人员编制情况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2023年末，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我</w:t>
      </w:r>
      <w:r>
        <w:rPr>
          <w:rFonts w:hint="eastAsia" w:asciiTheme="minorEastAsia" w:hAnsiTheme="minorEastAsia"/>
          <w:color w:val="auto"/>
          <w:sz w:val="32"/>
          <w:szCs w:val="32"/>
        </w:rPr>
        <w:t>校现有在编人员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34</w:t>
      </w:r>
      <w:r>
        <w:rPr>
          <w:rFonts w:hint="eastAsia" w:asciiTheme="minorEastAsia" w:hAnsiTheme="minorEastAsia"/>
          <w:color w:val="auto"/>
          <w:sz w:val="32"/>
          <w:szCs w:val="32"/>
        </w:rPr>
        <w:t>人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（一）</w:t>
      </w:r>
      <w:r>
        <w:rPr>
          <w:rFonts w:hint="eastAsia" w:asciiTheme="minorEastAsia" w:hAnsiTheme="minorEastAsia"/>
          <w:color w:val="auto"/>
          <w:sz w:val="32"/>
          <w:szCs w:val="32"/>
        </w:rPr>
        <w:t>、部门预算收支情况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0" w:firstLineChars="200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我校20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23</w:t>
      </w:r>
      <w:r>
        <w:rPr>
          <w:rFonts w:hint="eastAsia" w:asciiTheme="minorEastAsia" w:hAnsiTheme="minorEastAsia"/>
          <w:color w:val="auto"/>
          <w:sz w:val="32"/>
          <w:szCs w:val="32"/>
        </w:rPr>
        <w:t>年度年初预算数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416.85</w:t>
      </w:r>
      <w:r>
        <w:rPr>
          <w:rFonts w:hint="eastAsia" w:asciiTheme="minorEastAsia" w:hAnsiTheme="minorEastAsia"/>
          <w:color w:val="auto"/>
          <w:sz w:val="32"/>
          <w:szCs w:val="32"/>
        </w:rPr>
        <w:t>万元，全部为经费拨款，其中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：工资福利支出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403.29万元，一般商品和服务支出10.2万元，对个人和家庭补助3.36万元，专项经费0万元，</w:t>
      </w:r>
      <w:r>
        <w:rPr>
          <w:rFonts w:hint="eastAsia" w:asciiTheme="minorEastAsia" w:hAnsiTheme="minorEastAsia"/>
          <w:color w:val="auto"/>
          <w:sz w:val="32"/>
          <w:szCs w:val="32"/>
        </w:rPr>
        <w:t>项目支出年初安排为0万元，财政没有安排我单位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专项</w:t>
      </w:r>
      <w:r>
        <w:rPr>
          <w:rFonts w:hint="eastAsia" w:asciiTheme="minorEastAsia" w:hAnsiTheme="minorEastAsia"/>
          <w:color w:val="auto"/>
          <w:sz w:val="32"/>
          <w:szCs w:val="32"/>
        </w:rPr>
        <w:t>项目经费。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（二）</w:t>
      </w:r>
      <w:r>
        <w:rPr>
          <w:rFonts w:hint="eastAsia" w:asciiTheme="minorEastAsia" w:hAnsiTheme="minorEastAsia"/>
          <w:color w:val="auto"/>
          <w:sz w:val="32"/>
          <w:szCs w:val="32"/>
        </w:rPr>
        <w:t>、部门决算收支情况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0" w:firstLineChars="200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202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/>
          <w:color w:val="auto"/>
          <w:sz w:val="32"/>
          <w:szCs w:val="32"/>
        </w:rPr>
        <w:t>年实际完成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总</w:t>
      </w:r>
      <w:r>
        <w:rPr>
          <w:rFonts w:hint="eastAsia" w:asciiTheme="minorEastAsia" w:hAnsiTheme="minorEastAsia"/>
          <w:color w:val="auto"/>
          <w:sz w:val="32"/>
          <w:szCs w:val="32"/>
        </w:rPr>
        <w:t>收入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1794.51</w:t>
      </w:r>
      <w:r>
        <w:rPr>
          <w:rFonts w:hint="eastAsia" w:asciiTheme="minorEastAsia" w:hAnsiTheme="minorEastAsia"/>
          <w:color w:val="auto"/>
          <w:sz w:val="32"/>
          <w:szCs w:val="32"/>
        </w:rPr>
        <w:t>万元,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实际总</w:t>
      </w:r>
      <w:r>
        <w:rPr>
          <w:rFonts w:hint="eastAsia" w:asciiTheme="minorEastAsia" w:hAnsiTheme="minorEastAsia"/>
          <w:color w:val="auto"/>
          <w:sz w:val="32"/>
          <w:szCs w:val="32"/>
        </w:rPr>
        <w:t>支出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1794.51</w:t>
      </w:r>
      <w:r>
        <w:rPr>
          <w:rFonts w:hint="eastAsia" w:asciiTheme="minorEastAsia" w:hAnsiTheme="minorEastAsia"/>
          <w:color w:val="auto"/>
          <w:sz w:val="32"/>
          <w:szCs w:val="32"/>
        </w:rPr>
        <w:t>万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，其中基本支出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493.88万元，</w:t>
      </w:r>
      <w:r>
        <w:rPr>
          <w:rFonts w:hint="eastAsia" w:asciiTheme="minorEastAsia" w:hAnsiTheme="minorEastAsia"/>
          <w:color w:val="auto"/>
          <w:sz w:val="32"/>
          <w:szCs w:val="32"/>
        </w:rPr>
        <w:t>占全年总支出的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27.5</w:t>
      </w:r>
      <w:r>
        <w:rPr>
          <w:rFonts w:hint="eastAsia" w:asciiTheme="minorEastAsia" w:hAnsiTheme="minorEastAsia"/>
          <w:color w:val="auto"/>
          <w:sz w:val="32"/>
          <w:szCs w:val="32"/>
        </w:rPr>
        <w:t>%，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项目支出1300.62万元，</w:t>
      </w:r>
      <w:r>
        <w:rPr>
          <w:rFonts w:hint="eastAsia" w:asciiTheme="minorEastAsia" w:hAnsiTheme="minorEastAsia"/>
          <w:color w:val="auto"/>
          <w:sz w:val="32"/>
          <w:szCs w:val="32"/>
        </w:rPr>
        <w:t>占全年总支出的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72.5</w:t>
      </w:r>
      <w:r>
        <w:rPr>
          <w:rFonts w:hint="eastAsia" w:asciiTheme="minorEastAsia" w:hAnsiTheme="minorEastAsia"/>
          <w:color w:val="auto"/>
          <w:sz w:val="32"/>
          <w:szCs w:val="32"/>
        </w:rPr>
        <w:t>%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（三）支出分类情况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基本支出493.88万元，其中：工资福利支出457.8万元，商品服务支出32.52万元，对个人和家庭补助3.1万元，资本性支出0.44万元。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 w:eastAsia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工资福利支出457.8万元，其中：</w:t>
      </w:r>
      <w:r>
        <w:rPr>
          <w:rFonts w:hint="eastAsia" w:asciiTheme="minorEastAsia" w:hAnsiTheme="minorEastAsia"/>
          <w:color w:val="auto"/>
          <w:sz w:val="32"/>
          <w:szCs w:val="32"/>
        </w:rPr>
        <w:t>基本工资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202.06</w:t>
      </w:r>
      <w:r>
        <w:rPr>
          <w:rFonts w:hint="eastAsia" w:asciiTheme="minorEastAsia" w:hAnsiTheme="minorEastAsia"/>
          <w:color w:val="auto"/>
          <w:sz w:val="32"/>
          <w:szCs w:val="32"/>
        </w:rPr>
        <w:t>万元，津贴补贴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127.28</w:t>
      </w:r>
      <w:r>
        <w:rPr>
          <w:rFonts w:hint="eastAsia" w:asciiTheme="minorEastAsia" w:hAnsiTheme="minorEastAsia"/>
          <w:color w:val="auto"/>
          <w:sz w:val="32"/>
          <w:szCs w:val="32"/>
        </w:rPr>
        <w:t>万元，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伙食补助费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4.36万元，</w:t>
      </w:r>
      <w:r>
        <w:rPr>
          <w:rFonts w:hint="eastAsia" w:asciiTheme="minorEastAsia" w:hAnsiTheme="minorEastAsia"/>
          <w:color w:val="auto"/>
          <w:sz w:val="32"/>
          <w:szCs w:val="32"/>
        </w:rPr>
        <w:t>绩效工资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9.3</w:t>
      </w:r>
      <w:r>
        <w:rPr>
          <w:rFonts w:hint="eastAsia" w:asciiTheme="minorEastAsia" w:hAnsiTheme="minorEastAsia"/>
          <w:color w:val="auto"/>
          <w:sz w:val="32"/>
          <w:szCs w:val="32"/>
        </w:rPr>
        <w:t>万元，养老保险缴费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46.45</w:t>
      </w:r>
      <w:r>
        <w:rPr>
          <w:rFonts w:hint="eastAsia" w:asciiTheme="minorEastAsia" w:hAnsiTheme="minorEastAsia"/>
          <w:color w:val="auto"/>
          <w:sz w:val="32"/>
          <w:szCs w:val="32"/>
        </w:rPr>
        <w:t>万元，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职业年金缴费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5.68万元，</w:t>
      </w:r>
      <w:r>
        <w:rPr>
          <w:rFonts w:hint="eastAsia" w:asciiTheme="minorEastAsia" w:hAnsiTheme="minorEastAsia"/>
          <w:color w:val="auto"/>
          <w:sz w:val="32"/>
          <w:szCs w:val="32"/>
        </w:rPr>
        <w:t>医疗保障缴费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41.61</w:t>
      </w:r>
      <w:r>
        <w:rPr>
          <w:rFonts w:hint="eastAsia" w:asciiTheme="minorEastAsia" w:hAnsiTheme="minorEastAsia"/>
          <w:color w:val="auto"/>
          <w:sz w:val="32"/>
          <w:szCs w:val="32"/>
        </w:rPr>
        <w:t>万元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，</w:t>
      </w:r>
      <w:r>
        <w:rPr>
          <w:rFonts w:hint="eastAsia" w:asciiTheme="minorEastAsia" w:hAnsiTheme="minorEastAsia"/>
          <w:color w:val="auto"/>
          <w:sz w:val="32"/>
          <w:szCs w:val="32"/>
        </w:rPr>
        <w:t>其它社会保障缴费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4.14</w:t>
      </w:r>
      <w:r>
        <w:rPr>
          <w:rFonts w:hint="eastAsia" w:asciiTheme="minorEastAsia" w:hAnsiTheme="minorEastAsia"/>
          <w:color w:val="auto"/>
          <w:sz w:val="32"/>
          <w:szCs w:val="32"/>
        </w:rPr>
        <w:t>万元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，住房公积金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16.88万元。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商品服务支出32.52万元，其中：</w:t>
      </w:r>
      <w:r>
        <w:rPr>
          <w:rFonts w:hint="eastAsia" w:asciiTheme="minorEastAsia" w:hAnsiTheme="minorEastAsia"/>
          <w:color w:val="auto"/>
          <w:sz w:val="32"/>
          <w:szCs w:val="32"/>
        </w:rPr>
        <w:t>办公经费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2.15</w:t>
      </w:r>
      <w:r>
        <w:rPr>
          <w:rFonts w:hint="eastAsia" w:asciiTheme="minorEastAsia" w:hAnsiTheme="minorEastAsia"/>
          <w:color w:val="auto"/>
          <w:sz w:val="32"/>
          <w:szCs w:val="32"/>
        </w:rPr>
        <w:t>万元，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差旅费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4.44万元，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维护费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0.51万元，租赁费0.24万元，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劳务费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3.32万元，</w:t>
      </w: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税金及附加费用</w:t>
      </w: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1.13万元等。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三、部门整体支出绩效情况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第五技校认真履行部门职责，合理有效地使用财政安排的预算资金，严格厉行节约，压缩一般性开支，提高财政资金使用效益，确保财政资金优先安排人员工资和绩效工资上，从严控制“三公”经费，降低其它各项开支，提高财政资金使用效益。在职人员控制率为100%，“三公”经费控制率为100%，在资金管理上，降低“三公”经费，杜绝铺张浪费，确保单位健康运行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  <w:r>
        <w:rPr>
          <w:rFonts w:hint="eastAsia" w:asciiTheme="minorEastAsia" w:hAnsiTheme="minorEastAsia"/>
          <w:color w:val="auto"/>
          <w:sz w:val="32"/>
          <w:szCs w:val="32"/>
        </w:rPr>
        <w:t>四、存在的主要问题：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eastAsia="zh-CN"/>
        </w:rPr>
        <w:t>随着我校办学规模不断扩大，学校师资力量不足，教师编制较少，教师老龄化和新教师教学经验不足，出现两极学化现象。同时学校的办学场所不够，配套的教学设备、实训仪器严重不足。学校一方面人员经费缺口大，主要体现在：外聘员工基本工资，社保经费、住房公积金等职工福利费用，一方面公用经费支出项目增多，财政预算不足，许多教学活动开展没有资金保障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五、改进措施和有关建议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 xml:space="preserve"> 1、进一步完善各项管理规章制度，加强和上级领导单位的沟通，提高工作效率，使资金支付及时到位，加强财务人员的学习和培训，努力提高财务人员的技术水平，节约预算编制成本。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2、严格管理认真执行“三公”经费年初预算标准，从严控制“三公”经费管理，确保我校“三公”经费支出只减不增。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4499" w:firstLineChars="1406"/>
        <w:textAlignment w:val="auto"/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color w:val="auto"/>
          <w:sz w:val="32"/>
          <w:szCs w:val="32"/>
          <w:lang w:val="en-US" w:eastAsia="zh-CN"/>
        </w:rPr>
        <w:t>衡阳市第五技工学校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4819" w:firstLineChars="1506"/>
        <w:textAlignment w:val="auto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2024年5月09</w:t>
      </w:r>
      <w:bookmarkStart w:id="0" w:name="_GoBack"/>
      <w:bookmarkEnd w:id="0"/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日 </w:t>
      </w:r>
    </w:p>
    <w:sectPr>
      <w:pgSz w:w="11906" w:h="16838"/>
      <w:pgMar w:top="1440" w:right="1803" w:bottom="1440" w:left="180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M0ODI3YWRlZDY3YjQ1MDE4YWU5ZDFmODIyYzRkMDEifQ=="/>
  </w:docVars>
  <w:rsids>
    <w:rsidRoot w:val="000639AF"/>
    <w:rsid w:val="000639AF"/>
    <w:rsid w:val="000A1FB7"/>
    <w:rsid w:val="001B7A09"/>
    <w:rsid w:val="002A631A"/>
    <w:rsid w:val="003002F7"/>
    <w:rsid w:val="003108DE"/>
    <w:rsid w:val="0037267D"/>
    <w:rsid w:val="00515DD0"/>
    <w:rsid w:val="00667BEF"/>
    <w:rsid w:val="006D6EBD"/>
    <w:rsid w:val="00727A67"/>
    <w:rsid w:val="007F1316"/>
    <w:rsid w:val="00855974"/>
    <w:rsid w:val="008C3E5A"/>
    <w:rsid w:val="008D63C4"/>
    <w:rsid w:val="008F06E8"/>
    <w:rsid w:val="00903FAE"/>
    <w:rsid w:val="009272DB"/>
    <w:rsid w:val="00AF44CB"/>
    <w:rsid w:val="00B55F38"/>
    <w:rsid w:val="00BA41BE"/>
    <w:rsid w:val="00CA1B59"/>
    <w:rsid w:val="00CD7ED7"/>
    <w:rsid w:val="00D10463"/>
    <w:rsid w:val="00D724A0"/>
    <w:rsid w:val="00EB0622"/>
    <w:rsid w:val="00F50AE1"/>
    <w:rsid w:val="01B42A79"/>
    <w:rsid w:val="02FE6C6B"/>
    <w:rsid w:val="073066BA"/>
    <w:rsid w:val="0B95031B"/>
    <w:rsid w:val="0C1C01F5"/>
    <w:rsid w:val="0C2B1A59"/>
    <w:rsid w:val="0CBA0092"/>
    <w:rsid w:val="0EA24254"/>
    <w:rsid w:val="0FE5349D"/>
    <w:rsid w:val="1A411788"/>
    <w:rsid w:val="1FB572E0"/>
    <w:rsid w:val="278451D1"/>
    <w:rsid w:val="28A5688E"/>
    <w:rsid w:val="29EC28FF"/>
    <w:rsid w:val="2AC61950"/>
    <w:rsid w:val="2B98709C"/>
    <w:rsid w:val="2C4272E4"/>
    <w:rsid w:val="301F3B22"/>
    <w:rsid w:val="31D13CB5"/>
    <w:rsid w:val="32C74F1C"/>
    <w:rsid w:val="338C3E1F"/>
    <w:rsid w:val="33F26834"/>
    <w:rsid w:val="35C7280A"/>
    <w:rsid w:val="374730CF"/>
    <w:rsid w:val="387E647D"/>
    <w:rsid w:val="3ABC0977"/>
    <w:rsid w:val="3C095928"/>
    <w:rsid w:val="3CF1345D"/>
    <w:rsid w:val="3D3C611C"/>
    <w:rsid w:val="3F221834"/>
    <w:rsid w:val="41594F1D"/>
    <w:rsid w:val="41EF184F"/>
    <w:rsid w:val="42957651"/>
    <w:rsid w:val="49196526"/>
    <w:rsid w:val="55361AEB"/>
    <w:rsid w:val="57725A85"/>
    <w:rsid w:val="59344B49"/>
    <w:rsid w:val="5B4415CF"/>
    <w:rsid w:val="5BA565AD"/>
    <w:rsid w:val="63300C05"/>
    <w:rsid w:val="6AA10381"/>
    <w:rsid w:val="6AE86B7B"/>
    <w:rsid w:val="6B7D2687"/>
    <w:rsid w:val="6BED3680"/>
    <w:rsid w:val="6F5F5BB1"/>
    <w:rsid w:val="72D82AD4"/>
    <w:rsid w:val="746B53E3"/>
    <w:rsid w:val="759F1EF2"/>
    <w:rsid w:val="761B0408"/>
    <w:rsid w:val="77C57139"/>
    <w:rsid w:val="7AE17D44"/>
    <w:rsid w:val="7B5D5BC7"/>
    <w:rsid w:val="7DD1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4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3"/>
    <w:autoRedefine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autoRedefine/>
    <w:qFormat/>
    <w:uiPriority w:val="99"/>
    <w:rPr>
      <w:sz w:val="18"/>
      <w:szCs w:val="18"/>
    </w:rPr>
  </w:style>
  <w:style w:type="paragraph" w:customStyle="1" w:styleId="10">
    <w:name w:val="18"/>
    <w:basedOn w:val="1"/>
    <w:autoRedefine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等线" w:hAnsi="等线" w:eastAsia="等线" w:cs="Times New Roman"/>
      <w:kern w:val="2"/>
      <w:sz w:val="21"/>
      <w:szCs w:val="22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1345</Words>
  <Characters>1490</Characters>
  <Lines>7</Lines>
  <Paragraphs>2</Paragraphs>
  <TotalTime>12</TotalTime>
  <ScaleCrop>false</ScaleCrop>
  <LinksUpToDate>false</LinksUpToDate>
  <CharactersWithSpaces>1496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2020-06-21T07:28:00Z</dcterms:created>
  <dc:creator>dreamsummit</dc:creator>
  <cp:lastModifiedBy>李大大</cp:lastModifiedBy>
  <cp:lastPrinted>2021-05-12T02:17:00Z</cp:lastPrinted>
  <dcterms:modified xsi:type="dcterms:W3CDTF">2024-05-09T01:04:11Z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899DE556E6DE418791689F4F5EDD0C6E</vt:lpwstr>
  </property>
  <property fmtid="{D5CDD505-2E9C-101B-9397-08002B2CF9AE}" pid="4" name="commondata">
    <vt:lpwstr>eyJoZGlkIjoiZGM0ODI3YWRlZDY3YjQ1MDE4YWU5ZDFmODIyYzRkMDEifQ==</vt:lpwstr>
  </property>
</Properties>
</file>