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Theme="majorEastAsia" w:hAnsiTheme="majorEastAsia" w:eastAsiaTheme="majorEastAsia" w:cstheme="majorEastAsia"/>
          <w:b/>
          <w:bCs/>
          <w:kern w:val="0"/>
          <w:sz w:val="24"/>
          <w:szCs w:val="24"/>
        </w:rPr>
      </w:pPr>
    </w:p>
    <w:p>
      <w:pPr>
        <w:jc w:val="center"/>
        <w:rPr>
          <w:rFonts w:asciiTheme="majorEastAsia" w:hAnsiTheme="majorEastAsia" w:eastAsiaTheme="majorEastAsia" w:cstheme="majorEastAsia"/>
          <w:b/>
          <w:bCs/>
          <w:kern w:val="0"/>
          <w:sz w:val="24"/>
          <w:szCs w:val="24"/>
        </w:rPr>
      </w:pPr>
    </w:p>
    <w:p>
      <w:pPr>
        <w:jc w:val="center"/>
        <w:rPr>
          <w:rFonts w:hint="eastAsia" w:asciiTheme="majorEastAsia" w:hAnsiTheme="majorEastAsia" w:eastAsiaTheme="majorEastAsia" w:cstheme="majorEastAsia"/>
          <w:b/>
          <w:bCs/>
          <w:kern w:val="0"/>
          <w:sz w:val="36"/>
          <w:szCs w:val="36"/>
          <w:lang w:val="en-US" w:eastAsia="zh-CN"/>
        </w:rPr>
      </w:pPr>
      <w:r>
        <w:rPr>
          <w:rFonts w:hint="eastAsia" w:asciiTheme="majorEastAsia" w:hAnsiTheme="majorEastAsia" w:eastAsiaTheme="majorEastAsia" w:cstheme="majorEastAsia"/>
          <w:b/>
          <w:bCs/>
          <w:kern w:val="0"/>
          <w:sz w:val="36"/>
          <w:szCs w:val="36"/>
          <w:lang w:eastAsia="zh-CN"/>
        </w:rPr>
        <w:t>衡南县融媒体中心</w:t>
      </w:r>
      <w:r>
        <w:rPr>
          <w:rFonts w:hint="eastAsia" w:asciiTheme="majorEastAsia" w:hAnsiTheme="majorEastAsia" w:eastAsiaTheme="majorEastAsia" w:cstheme="majorEastAsia"/>
          <w:b/>
          <w:bCs/>
          <w:kern w:val="0"/>
          <w:sz w:val="36"/>
          <w:szCs w:val="36"/>
          <w:lang w:val="en-US" w:eastAsia="zh-CN"/>
        </w:rPr>
        <w:t xml:space="preserve">   </w:t>
      </w:r>
    </w:p>
    <w:p>
      <w:pPr>
        <w:jc w:val="center"/>
        <w:rPr>
          <w:rFonts w:ascii="仿宋_GB2312" w:hAnsi="仿宋_GB2312" w:eastAsia="仿宋_GB2312" w:cs="仿宋_GB2312"/>
          <w:sz w:val="32"/>
          <w:szCs w:val="32"/>
        </w:rPr>
      </w:pPr>
      <w:r>
        <w:rPr>
          <w:rFonts w:hint="eastAsia" w:asciiTheme="majorEastAsia" w:hAnsiTheme="majorEastAsia" w:eastAsiaTheme="majorEastAsia" w:cstheme="majorEastAsia"/>
          <w:b/>
          <w:bCs/>
          <w:kern w:val="0"/>
          <w:sz w:val="36"/>
          <w:szCs w:val="36"/>
          <w:lang w:val="en-US" w:eastAsia="zh-CN"/>
        </w:rPr>
        <w:t>2023年度</w:t>
      </w:r>
      <w:r>
        <w:rPr>
          <w:rFonts w:hint="eastAsia" w:asciiTheme="majorEastAsia" w:hAnsiTheme="majorEastAsia" w:eastAsiaTheme="majorEastAsia" w:cstheme="majorEastAsia"/>
          <w:b/>
          <w:bCs/>
          <w:kern w:val="0"/>
          <w:sz w:val="36"/>
          <w:szCs w:val="36"/>
        </w:rPr>
        <w:t>部门整体支出绩效自评报告</w:t>
      </w:r>
    </w:p>
    <w:p>
      <w:pPr>
        <w:spacing w:line="560" w:lineRule="exact"/>
        <w:rPr>
          <w:rFonts w:ascii="仿宋" w:hAnsi="仿宋" w:eastAsia="仿宋" w:cs="仿宋"/>
          <w:b/>
          <w:bCs/>
          <w:kern w:val="0"/>
          <w:sz w:val="32"/>
          <w:szCs w:val="32"/>
        </w:rPr>
      </w:pPr>
    </w:p>
    <w:p>
      <w:pPr>
        <w:spacing w:line="560" w:lineRule="exact"/>
        <w:ind w:firstLine="643" w:firstLineChars="200"/>
        <w:rPr>
          <w:rFonts w:hint="eastAsia" w:ascii="仿宋" w:hAnsi="仿宋" w:eastAsia="仿宋" w:cs="仿宋"/>
          <w:kern w:val="0"/>
          <w:sz w:val="32"/>
          <w:szCs w:val="32"/>
        </w:rPr>
      </w:pPr>
      <w:r>
        <w:rPr>
          <w:rFonts w:hint="eastAsia" w:ascii="仿宋" w:hAnsi="仿宋" w:eastAsia="仿宋" w:cs="仿宋"/>
          <w:b/>
          <w:bCs/>
          <w:kern w:val="0"/>
          <w:sz w:val="32"/>
          <w:szCs w:val="32"/>
        </w:rPr>
        <w:t>一、部门基本情况</w:t>
      </w:r>
    </w:p>
    <w:p>
      <w:pPr>
        <w:spacing w:line="560" w:lineRule="exact"/>
        <w:ind w:firstLine="643" w:firstLineChars="200"/>
        <w:rPr>
          <w:rFonts w:hint="eastAsia" w:ascii="仿宋" w:hAnsi="仿宋" w:eastAsia="仿宋" w:cs="仿宋"/>
          <w:kern w:val="0"/>
          <w:sz w:val="32"/>
          <w:szCs w:val="32"/>
        </w:rPr>
      </w:pPr>
      <w:r>
        <w:rPr>
          <w:rFonts w:hint="eastAsia" w:ascii="仿宋" w:hAnsi="仿宋" w:eastAsia="仿宋" w:cs="仿宋"/>
          <w:b/>
          <w:bCs/>
          <w:kern w:val="0"/>
          <w:sz w:val="32"/>
          <w:szCs w:val="32"/>
          <w:lang w:eastAsia="zh-CN"/>
        </w:rPr>
        <w:t>（一）</w:t>
      </w:r>
      <w:r>
        <w:rPr>
          <w:rFonts w:hint="eastAsia" w:ascii="仿宋" w:hAnsi="仿宋" w:eastAsia="仿宋" w:cs="仿宋"/>
          <w:b/>
          <w:bCs/>
          <w:kern w:val="0"/>
          <w:sz w:val="32"/>
          <w:szCs w:val="32"/>
        </w:rPr>
        <w:t>部门职责</w:t>
      </w:r>
    </w:p>
    <w:p>
      <w:pPr>
        <w:spacing w:line="560" w:lineRule="exact"/>
        <w:ind w:firstLine="640" w:firstLineChars="200"/>
        <w:rPr>
          <w:rFonts w:hint="eastAsia" w:ascii="仿宋" w:hAnsi="仿宋" w:eastAsia="仿宋" w:cs="仿宋"/>
          <w:kern w:val="0"/>
          <w:sz w:val="32"/>
          <w:szCs w:val="32"/>
        </w:rPr>
      </w:pPr>
      <w:r>
        <w:rPr>
          <w:rFonts w:hint="eastAsia" w:ascii="仿宋" w:hAnsi="仿宋" w:eastAsia="仿宋" w:cs="仿宋"/>
          <w:kern w:val="0"/>
          <w:sz w:val="32"/>
          <w:szCs w:val="32"/>
        </w:rPr>
        <w:t>衡南县</w:t>
      </w:r>
      <w:r>
        <w:rPr>
          <w:rFonts w:hint="eastAsia" w:ascii="仿宋" w:hAnsi="仿宋" w:eastAsia="仿宋" w:cs="仿宋"/>
          <w:kern w:val="0"/>
          <w:sz w:val="32"/>
          <w:szCs w:val="32"/>
          <w:lang w:eastAsia="zh-CN"/>
        </w:rPr>
        <w:t>融媒体中心</w:t>
      </w:r>
      <w:r>
        <w:rPr>
          <w:rFonts w:hint="eastAsia" w:ascii="仿宋" w:hAnsi="仿宋" w:eastAsia="仿宋" w:cs="仿宋"/>
          <w:kern w:val="0"/>
          <w:sz w:val="32"/>
          <w:szCs w:val="32"/>
        </w:rPr>
        <w:t>隶属于衡南县委宣传部管理的正科级全额事业拨款单位。主要负责宣传贯彻执行党和国家的路线、方针、政策、把握正确的舆论导向，充分发挥党和政府的喉舌作用，围绕县委、县政府的中心工作开展新闻宣传。</w:t>
      </w:r>
    </w:p>
    <w:p>
      <w:pPr>
        <w:spacing w:line="560" w:lineRule="exact"/>
        <w:ind w:firstLine="640" w:firstLineChars="200"/>
        <w:rPr>
          <w:rFonts w:hint="eastAsia" w:ascii="仿宋" w:hAnsi="仿宋" w:eastAsia="仿宋" w:cs="仿宋"/>
          <w:kern w:val="0"/>
          <w:sz w:val="32"/>
          <w:szCs w:val="32"/>
        </w:rPr>
      </w:pPr>
      <w:r>
        <w:rPr>
          <w:rFonts w:hint="eastAsia" w:ascii="仿宋" w:hAnsi="仿宋" w:eastAsia="仿宋" w:cs="仿宋"/>
          <w:kern w:val="0"/>
          <w:sz w:val="32"/>
          <w:szCs w:val="32"/>
        </w:rPr>
        <w:t>主要职责：</w:t>
      </w:r>
    </w:p>
    <w:p>
      <w:pPr>
        <w:spacing w:line="560" w:lineRule="exact"/>
        <w:ind w:firstLine="640" w:firstLineChars="200"/>
        <w:rPr>
          <w:rFonts w:hint="eastAsia" w:ascii="仿宋" w:hAnsi="仿宋" w:eastAsia="仿宋" w:cs="仿宋"/>
          <w:kern w:val="0"/>
          <w:sz w:val="32"/>
          <w:szCs w:val="32"/>
          <w:lang w:eastAsia="zh-CN"/>
        </w:rPr>
      </w:pPr>
      <w:r>
        <w:rPr>
          <w:rFonts w:hint="eastAsia" w:ascii="仿宋" w:hAnsi="仿宋" w:eastAsia="仿宋" w:cs="仿宋"/>
          <w:kern w:val="0"/>
          <w:sz w:val="32"/>
          <w:szCs w:val="32"/>
          <w:lang w:eastAsia="zh-CN"/>
        </w:rPr>
        <w:t>1、全面贯彻执行党和国家有关新闻宣传、文艺宣传的方针政策和法律法规，合理配置广播、电视、新媒体等媒体资源，全面、准确、及时宣传理论、路线、方针、政策，当好党和政府和人民群众的喉舌，把握正确舆论导向，进一步提升新闻宣传媒体的影响力、公信力。</w:t>
      </w:r>
    </w:p>
    <w:p>
      <w:pPr>
        <w:spacing w:line="560" w:lineRule="exact"/>
        <w:ind w:firstLine="640" w:firstLineChars="200"/>
        <w:rPr>
          <w:rFonts w:hint="eastAsia" w:ascii="仿宋" w:hAnsi="仿宋" w:eastAsia="仿宋" w:cs="仿宋"/>
          <w:kern w:val="0"/>
          <w:sz w:val="32"/>
          <w:szCs w:val="32"/>
          <w:lang w:eastAsia="zh-CN"/>
        </w:rPr>
      </w:pPr>
      <w:r>
        <w:rPr>
          <w:rFonts w:hint="eastAsia" w:ascii="仿宋" w:hAnsi="仿宋" w:eastAsia="仿宋" w:cs="仿宋"/>
          <w:kern w:val="0"/>
          <w:sz w:val="32"/>
          <w:szCs w:val="32"/>
          <w:lang w:eastAsia="zh-CN"/>
        </w:rPr>
        <w:t>2、负责本台广播电视新闻宣传、文艺宣传和广告宣传等工作；</w:t>
      </w:r>
    </w:p>
    <w:p>
      <w:pPr>
        <w:spacing w:line="560" w:lineRule="exact"/>
        <w:ind w:firstLine="640" w:firstLineChars="200"/>
        <w:rPr>
          <w:rFonts w:hint="eastAsia" w:ascii="仿宋" w:hAnsi="仿宋" w:eastAsia="仿宋" w:cs="仿宋"/>
          <w:kern w:val="0"/>
          <w:sz w:val="32"/>
          <w:szCs w:val="32"/>
          <w:lang w:val="en-US" w:eastAsia="zh-CN"/>
        </w:rPr>
      </w:pPr>
      <w:r>
        <w:rPr>
          <w:rFonts w:hint="eastAsia" w:ascii="仿宋" w:hAnsi="仿宋" w:eastAsia="仿宋" w:cs="仿宋"/>
          <w:kern w:val="0"/>
          <w:sz w:val="32"/>
          <w:szCs w:val="32"/>
          <w:lang w:val="en-US" w:eastAsia="zh-CN"/>
        </w:rPr>
        <w:t>3、负责组织实施广播电视事业和新媒体发展规划；</w:t>
      </w:r>
    </w:p>
    <w:p>
      <w:pPr>
        <w:spacing w:line="560" w:lineRule="exact"/>
        <w:ind w:firstLine="640" w:firstLineChars="200"/>
        <w:rPr>
          <w:rFonts w:hint="eastAsia" w:ascii="仿宋" w:hAnsi="仿宋" w:eastAsia="仿宋" w:cs="仿宋"/>
          <w:kern w:val="0"/>
          <w:sz w:val="32"/>
          <w:szCs w:val="32"/>
          <w:lang w:eastAsia="zh-CN"/>
        </w:rPr>
      </w:pPr>
      <w:r>
        <w:rPr>
          <w:rFonts w:hint="eastAsia" w:ascii="仿宋" w:hAnsi="仿宋" w:eastAsia="仿宋" w:cs="仿宋"/>
          <w:kern w:val="0"/>
          <w:sz w:val="32"/>
          <w:szCs w:val="32"/>
          <w:lang w:val="en-US" w:eastAsia="zh-CN"/>
        </w:rPr>
        <w:t>4</w:t>
      </w:r>
      <w:r>
        <w:rPr>
          <w:rFonts w:hint="eastAsia" w:ascii="仿宋" w:hAnsi="仿宋" w:eastAsia="仿宋" w:cs="仿宋"/>
          <w:kern w:val="0"/>
          <w:sz w:val="32"/>
          <w:szCs w:val="32"/>
          <w:lang w:eastAsia="zh-CN"/>
        </w:rPr>
        <w:t>、负责中心（台）所有媒体矩阵内容的推广、采编、制作</w:t>
      </w:r>
      <w:r>
        <w:rPr>
          <w:rFonts w:hint="eastAsia" w:ascii="仿宋" w:hAnsi="仿宋" w:eastAsia="仿宋" w:cs="仿宋"/>
          <w:kern w:val="0"/>
          <w:sz w:val="32"/>
          <w:szCs w:val="32"/>
          <w:lang w:val="en-US" w:eastAsia="zh-CN"/>
        </w:rPr>
        <w:t xml:space="preserve"> 、审核、播放、发布、上传、</w:t>
      </w:r>
      <w:r>
        <w:rPr>
          <w:rFonts w:hint="eastAsia" w:ascii="仿宋" w:hAnsi="仿宋" w:eastAsia="仿宋" w:cs="仿宋"/>
          <w:kern w:val="0"/>
          <w:sz w:val="32"/>
          <w:szCs w:val="32"/>
          <w:lang w:eastAsia="zh-CN"/>
        </w:rPr>
        <w:t>交流、外宣、创优和宣传精品工程实施；负责转播中央、省和市级广播电视的转播等工作；</w:t>
      </w:r>
    </w:p>
    <w:p>
      <w:pPr>
        <w:spacing w:line="560" w:lineRule="exact"/>
        <w:ind w:firstLine="640" w:firstLineChars="200"/>
        <w:rPr>
          <w:rFonts w:hint="eastAsia" w:ascii="仿宋" w:hAnsi="仿宋" w:eastAsia="仿宋" w:cs="仿宋"/>
          <w:kern w:val="0"/>
          <w:sz w:val="32"/>
          <w:szCs w:val="32"/>
          <w:lang w:eastAsia="zh-CN"/>
        </w:rPr>
      </w:pPr>
      <w:r>
        <w:rPr>
          <w:rFonts w:hint="eastAsia" w:ascii="仿宋" w:hAnsi="仿宋" w:eastAsia="仿宋" w:cs="仿宋"/>
          <w:kern w:val="0"/>
          <w:sz w:val="32"/>
          <w:szCs w:val="32"/>
          <w:lang w:eastAsia="zh-CN"/>
        </w:rPr>
        <w:t>5、负责审查中心（台）广告的经营、播出、发布。</w:t>
      </w:r>
    </w:p>
    <w:p>
      <w:pPr>
        <w:spacing w:line="560" w:lineRule="exact"/>
        <w:ind w:firstLine="640" w:firstLineChars="200"/>
        <w:rPr>
          <w:rFonts w:hint="eastAsia" w:ascii="仿宋" w:hAnsi="仿宋" w:eastAsia="仿宋" w:cs="仿宋"/>
          <w:kern w:val="0"/>
          <w:sz w:val="32"/>
          <w:szCs w:val="32"/>
          <w:lang w:val="en-US" w:eastAsia="zh-CN"/>
        </w:rPr>
      </w:pPr>
      <w:r>
        <w:rPr>
          <w:rFonts w:hint="eastAsia" w:ascii="仿宋" w:hAnsi="仿宋" w:eastAsia="仿宋" w:cs="仿宋"/>
          <w:kern w:val="0"/>
          <w:sz w:val="32"/>
          <w:szCs w:val="32"/>
          <w:lang w:eastAsia="zh-CN"/>
        </w:rPr>
        <w:t>6、负责全县无线数字广播电视、</w:t>
      </w:r>
      <w:r>
        <w:rPr>
          <w:rFonts w:hint="eastAsia" w:ascii="仿宋" w:hAnsi="仿宋" w:eastAsia="仿宋" w:cs="仿宋"/>
          <w:kern w:val="0"/>
          <w:sz w:val="32"/>
          <w:szCs w:val="32"/>
          <w:lang w:val="en-US" w:eastAsia="zh-CN"/>
        </w:rPr>
        <w:t>“村村响”应急广播、“户户通”卫星直播电视的建设、管理维护，发展广播电视用户，开展拓展业务和增值业务。</w:t>
      </w:r>
    </w:p>
    <w:p>
      <w:pPr>
        <w:spacing w:line="560" w:lineRule="exact"/>
        <w:ind w:firstLine="640" w:firstLineChars="200"/>
        <w:rPr>
          <w:rFonts w:hint="eastAsia" w:ascii="仿宋" w:hAnsi="仿宋" w:eastAsia="仿宋" w:cs="仿宋"/>
          <w:kern w:val="0"/>
          <w:sz w:val="32"/>
          <w:szCs w:val="32"/>
          <w:lang w:eastAsia="zh-CN"/>
        </w:rPr>
      </w:pPr>
      <w:r>
        <w:rPr>
          <w:rFonts w:hint="eastAsia" w:ascii="仿宋" w:hAnsi="仿宋" w:eastAsia="仿宋" w:cs="仿宋"/>
          <w:kern w:val="0"/>
          <w:sz w:val="32"/>
          <w:szCs w:val="32"/>
          <w:lang w:eastAsia="zh-CN"/>
        </w:rPr>
        <w:t>7、负责影视剧的生产、营销及新媒体文化产业开发。</w:t>
      </w:r>
    </w:p>
    <w:p>
      <w:pPr>
        <w:spacing w:line="560" w:lineRule="exact"/>
        <w:ind w:firstLine="640" w:firstLineChars="200"/>
        <w:rPr>
          <w:rFonts w:hint="eastAsia" w:ascii="仿宋" w:hAnsi="仿宋" w:eastAsia="仿宋" w:cs="仿宋"/>
          <w:kern w:val="0"/>
          <w:sz w:val="32"/>
          <w:szCs w:val="32"/>
          <w:lang w:eastAsia="zh-CN"/>
        </w:rPr>
      </w:pPr>
      <w:r>
        <w:rPr>
          <w:rFonts w:hint="eastAsia" w:ascii="仿宋" w:hAnsi="仿宋" w:eastAsia="仿宋" w:cs="仿宋"/>
          <w:kern w:val="0"/>
          <w:sz w:val="32"/>
          <w:szCs w:val="32"/>
          <w:lang w:eastAsia="zh-CN"/>
        </w:rPr>
        <w:t>8、负责县融媒体工程建设的组织实施和维护管理。</w:t>
      </w:r>
    </w:p>
    <w:p>
      <w:pPr>
        <w:spacing w:line="560" w:lineRule="exact"/>
        <w:ind w:firstLine="640" w:firstLineChars="200"/>
        <w:rPr>
          <w:rFonts w:hint="eastAsia" w:ascii="仿宋" w:hAnsi="仿宋" w:eastAsia="仿宋" w:cs="仿宋"/>
          <w:kern w:val="0"/>
          <w:sz w:val="32"/>
          <w:szCs w:val="32"/>
          <w:lang w:eastAsia="zh-CN"/>
        </w:rPr>
      </w:pPr>
      <w:r>
        <w:rPr>
          <w:rFonts w:hint="eastAsia" w:ascii="仿宋" w:hAnsi="仿宋" w:eastAsia="仿宋" w:cs="仿宋"/>
          <w:kern w:val="0"/>
          <w:sz w:val="32"/>
          <w:szCs w:val="32"/>
          <w:lang w:eastAsia="zh-CN"/>
        </w:rPr>
        <w:t>9、负责全县传统媒体、新媒体整合发展新技术的科学研究和开发利用；负责中心（台）摄、录、编、播、发设备的管理和维护、保养。</w:t>
      </w:r>
    </w:p>
    <w:p>
      <w:pPr>
        <w:spacing w:line="560" w:lineRule="exact"/>
        <w:ind w:firstLine="640" w:firstLineChars="200"/>
        <w:rPr>
          <w:rFonts w:hint="eastAsia" w:ascii="仿宋" w:hAnsi="仿宋" w:eastAsia="仿宋" w:cs="仿宋"/>
          <w:kern w:val="0"/>
          <w:sz w:val="32"/>
          <w:szCs w:val="32"/>
          <w:lang w:eastAsia="zh-CN"/>
        </w:rPr>
      </w:pPr>
      <w:r>
        <w:rPr>
          <w:rFonts w:hint="eastAsia" w:ascii="仿宋" w:hAnsi="仿宋" w:eastAsia="仿宋" w:cs="仿宋"/>
          <w:kern w:val="0"/>
          <w:sz w:val="32"/>
          <w:szCs w:val="32"/>
          <w:lang w:eastAsia="zh-CN"/>
        </w:rPr>
        <w:t>10、负责对职责范围内有关行业、领域的安全生产工作实施监督管理。</w:t>
      </w:r>
    </w:p>
    <w:p>
      <w:pPr>
        <w:spacing w:line="560" w:lineRule="exact"/>
        <w:ind w:firstLine="640" w:firstLineChars="200"/>
        <w:rPr>
          <w:rFonts w:hint="eastAsia" w:ascii="仿宋" w:hAnsi="仿宋" w:eastAsia="仿宋" w:cs="仿宋"/>
          <w:kern w:val="0"/>
          <w:sz w:val="32"/>
          <w:szCs w:val="32"/>
          <w:lang w:eastAsia="zh-CN"/>
        </w:rPr>
      </w:pPr>
      <w:r>
        <w:rPr>
          <w:rFonts w:hint="eastAsia" w:ascii="仿宋" w:hAnsi="仿宋" w:eastAsia="仿宋" w:cs="仿宋"/>
          <w:kern w:val="0"/>
          <w:sz w:val="32"/>
          <w:szCs w:val="32"/>
          <w:lang w:eastAsia="zh-CN"/>
        </w:rPr>
        <w:t>1</w:t>
      </w:r>
      <w:r>
        <w:rPr>
          <w:rFonts w:hint="eastAsia" w:ascii="仿宋" w:hAnsi="仿宋" w:eastAsia="仿宋" w:cs="仿宋"/>
          <w:kern w:val="0"/>
          <w:sz w:val="32"/>
          <w:szCs w:val="32"/>
          <w:lang w:val="en-US" w:eastAsia="zh-CN"/>
        </w:rPr>
        <w:t>1</w:t>
      </w:r>
      <w:r>
        <w:rPr>
          <w:rFonts w:hint="eastAsia" w:ascii="仿宋" w:hAnsi="仿宋" w:eastAsia="仿宋" w:cs="仿宋"/>
          <w:kern w:val="0"/>
          <w:sz w:val="32"/>
          <w:szCs w:val="32"/>
          <w:lang w:eastAsia="zh-CN"/>
        </w:rPr>
        <w:t>、承办县委、县人民政府交办的其他事项。</w:t>
      </w:r>
    </w:p>
    <w:p>
      <w:pPr>
        <w:spacing w:line="560" w:lineRule="exact"/>
        <w:ind w:firstLine="640" w:firstLineChars="200"/>
        <w:rPr>
          <w:rFonts w:hint="eastAsia" w:ascii="仿宋" w:hAnsi="仿宋" w:eastAsia="仿宋" w:cs="仿宋"/>
          <w:kern w:val="0"/>
          <w:sz w:val="32"/>
          <w:szCs w:val="32"/>
        </w:rPr>
      </w:pPr>
    </w:p>
    <w:p>
      <w:pPr>
        <w:numPr>
          <w:ilvl w:val="0"/>
          <w:numId w:val="0"/>
        </w:numPr>
        <w:spacing w:line="560" w:lineRule="exact"/>
        <w:ind w:firstLine="643" w:firstLineChars="200"/>
        <w:rPr>
          <w:rFonts w:hint="eastAsia" w:ascii="仿宋" w:hAnsi="仿宋" w:eastAsia="仿宋" w:cs="仿宋"/>
          <w:b/>
          <w:bCs/>
          <w:kern w:val="0"/>
          <w:sz w:val="32"/>
          <w:szCs w:val="32"/>
        </w:rPr>
      </w:pPr>
      <w:r>
        <w:rPr>
          <w:rFonts w:hint="eastAsia" w:ascii="仿宋" w:hAnsi="仿宋" w:eastAsia="仿宋" w:cs="仿宋"/>
          <w:b/>
          <w:bCs/>
          <w:kern w:val="0"/>
          <w:sz w:val="32"/>
          <w:szCs w:val="32"/>
          <w:lang w:val="en-US" w:eastAsia="zh-CN"/>
        </w:rPr>
        <w:t>（二）</w:t>
      </w:r>
      <w:r>
        <w:rPr>
          <w:rFonts w:hint="eastAsia" w:ascii="仿宋" w:hAnsi="仿宋" w:eastAsia="仿宋" w:cs="仿宋"/>
          <w:b/>
          <w:bCs/>
          <w:kern w:val="0"/>
          <w:sz w:val="32"/>
          <w:szCs w:val="32"/>
        </w:rPr>
        <w:t>机构设置情况</w:t>
      </w:r>
    </w:p>
    <w:p>
      <w:pPr>
        <w:numPr>
          <w:ilvl w:val="0"/>
          <w:numId w:val="0"/>
        </w:numPr>
        <w:spacing w:line="560" w:lineRule="exact"/>
        <w:rPr>
          <w:rFonts w:hint="eastAsia" w:ascii="仿宋" w:hAnsi="仿宋" w:eastAsia="仿宋" w:cs="仿宋"/>
          <w:kern w:val="0"/>
          <w:sz w:val="32"/>
          <w:szCs w:val="32"/>
          <w:lang w:val="en-US" w:eastAsia="zh-CN"/>
        </w:rPr>
      </w:pPr>
      <w:r>
        <w:rPr>
          <w:rFonts w:hint="eastAsia" w:ascii="仿宋" w:hAnsi="仿宋" w:eastAsia="仿宋" w:cs="仿宋"/>
          <w:kern w:val="0"/>
          <w:sz w:val="32"/>
          <w:szCs w:val="32"/>
          <w:lang w:val="en-US" w:eastAsia="zh-CN"/>
        </w:rPr>
        <w:t xml:space="preserve">    衡南县融媒体中心（县广播电视台）内设6个机构：办公室、总编室、组织人事股、计划财务股、事业产业发展股、监管股。四个副科级二级机构：衡南县融媒保障中心、衡南县融媒新闻中心、衡南县融媒技术中心、衡南县融媒经营中心，保留衡南人民广播电台、衡南电视台呼号。</w:t>
      </w:r>
      <w:bookmarkStart w:id="0" w:name="_GoBack"/>
      <w:bookmarkEnd w:id="0"/>
    </w:p>
    <w:p>
      <w:pPr>
        <w:numPr>
          <w:ilvl w:val="0"/>
          <w:numId w:val="0"/>
        </w:numPr>
        <w:spacing w:line="560" w:lineRule="exact"/>
        <w:rPr>
          <w:rFonts w:hint="eastAsia" w:ascii="仿宋" w:hAnsi="仿宋" w:eastAsia="仿宋" w:cs="仿宋"/>
          <w:kern w:val="0"/>
          <w:sz w:val="32"/>
          <w:szCs w:val="32"/>
          <w:lang w:val="en-US" w:eastAsia="zh-CN"/>
        </w:rPr>
      </w:pPr>
    </w:p>
    <w:p>
      <w:pPr>
        <w:numPr>
          <w:ilvl w:val="0"/>
          <w:numId w:val="0"/>
        </w:numPr>
        <w:spacing w:line="560" w:lineRule="exact"/>
        <w:ind w:leftChars="200" w:firstLine="321" w:firstLineChars="100"/>
        <w:rPr>
          <w:rFonts w:hint="eastAsia" w:ascii="仿宋" w:hAnsi="仿宋" w:eastAsia="仿宋" w:cs="仿宋"/>
          <w:b/>
          <w:bCs/>
          <w:kern w:val="0"/>
          <w:sz w:val="32"/>
          <w:szCs w:val="32"/>
        </w:rPr>
      </w:pPr>
      <w:r>
        <w:rPr>
          <w:rFonts w:hint="eastAsia" w:ascii="仿宋" w:hAnsi="仿宋" w:eastAsia="仿宋" w:cs="仿宋"/>
          <w:b/>
          <w:bCs/>
          <w:kern w:val="0"/>
          <w:sz w:val="32"/>
          <w:szCs w:val="32"/>
          <w:lang w:val="en-US" w:eastAsia="zh-CN"/>
        </w:rPr>
        <w:t>（三）</w:t>
      </w:r>
      <w:r>
        <w:rPr>
          <w:rFonts w:hint="eastAsia" w:ascii="仿宋" w:hAnsi="仿宋" w:eastAsia="仿宋" w:cs="仿宋"/>
          <w:b/>
          <w:bCs/>
          <w:kern w:val="0"/>
          <w:sz w:val="32"/>
          <w:szCs w:val="32"/>
        </w:rPr>
        <w:t>人员编制情况</w:t>
      </w:r>
    </w:p>
    <w:p>
      <w:pPr>
        <w:snapToGrid w:val="0"/>
        <w:spacing w:line="52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20</w:t>
      </w:r>
      <w:r>
        <w:rPr>
          <w:rFonts w:hint="eastAsia" w:ascii="仿宋" w:hAnsi="仿宋" w:eastAsia="仿宋" w:cs="仿宋"/>
          <w:sz w:val="32"/>
          <w:szCs w:val="32"/>
          <w:lang w:val="en-US" w:eastAsia="zh-CN"/>
        </w:rPr>
        <w:t>23</w:t>
      </w:r>
      <w:r>
        <w:rPr>
          <w:rFonts w:hint="eastAsia" w:ascii="仿宋" w:hAnsi="仿宋" w:eastAsia="仿宋" w:cs="仿宋"/>
          <w:sz w:val="32"/>
          <w:szCs w:val="32"/>
        </w:rPr>
        <w:t>年</w:t>
      </w:r>
      <w:r>
        <w:rPr>
          <w:rFonts w:hint="eastAsia" w:ascii="仿宋" w:hAnsi="仿宋" w:eastAsia="仿宋" w:cs="仿宋"/>
          <w:sz w:val="32"/>
          <w:szCs w:val="32"/>
          <w:lang w:eastAsia="zh-CN"/>
        </w:rPr>
        <w:t>年初</w:t>
      </w:r>
      <w:r>
        <w:rPr>
          <w:rFonts w:hint="eastAsia" w:ascii="仿宋" w:hAnsi="仿宋" w:eastAsia="仿宋" w:cs="仿宋"/>
          <w:sz w:val="32"/>
          <w:szCs w:val="32"/>
          <w:lang w:val="en-US" w:eastAsia="zh-CN"/>
        </w:rPr>
        <w:t>中心</w:t>
      </w:r>
      <w:r>
        <w:rPr>
          <w:rFonts w:hint="eastAsia" w:ascii="仿宋" w:hAnsi="仿宋" w:eastAsia="仿宋" w:cs="仿宋"/>
          <w:sz w:val="32"/>
          <w:szCs w:val="32"/>
        </w:rPr>
        <w:t>有在编干部职工</w:t>
      </w:r>
      <w:r>
        <w:rPr>
          <w:rFonts w:hint="eastAsia" w:ascii="仿宋" w:hAnsi="仿宋" w:eastAsia="仿宋" w:cs="仿宋"/>
          <w:sz w:val="32"/>
          <w:szCs w:val="32"/>
          <w:lang w:val="en-US" w:eastAsia="zh-CN"/>
        </w:rPr>
        <w:t>82</w:t>
      </w:r>
      <w:r>
        <w:rPr>
          <w:rFonts w:hint="eastAsia" w:ascii="仿宋" w:hAnsi="仿宋" w:eastAsia="仿宋" w:cs="仿宋"/>
          <w:sz w:val="32"/>
          <w:szCs w:val="32"/>
        </w:rPr>
        <w:t>人：其中财政</w:t>
      </w:r>
      <w:r>
        <w:rPr>
          <w:rFonts w:hint="eastAsia" w:ascii="仿宋" w:hAnsi="仿宋" w:eastAsia="仿宋" w:cs="仿宋"/>
          <w:sz w:val="32"/>
          <w:szCs w:val="32"/>
          <w:lang w:eastAsia="zh-CN"/>
        </w:rPr>
        <w:t>全额</w:t>
      </w:r>
      <w:r>
        <w:rPr>
          <w:rFonts w:hint="eastAsia" w:ascii="仿宋" w:hAnsi="仿宋" w:eastAsia="仿宋" w:cs="仿宋"/>
          <w:sz w:val="32"/>
          <w:szCs w:val="32"/>
        </w:rPr>
        <w:t>补助开支人数</w:t>
      </w:r>
      <w:r>
        <w:rPr>
          <w:rFonts w:hint="eastAsia" w:ascii="仿宋" w:hAnsi="仿宋" w:eastAsia="仿宋" w:cs="仿宋"/>
          <w:sz w:val="32"/>
          <w:szCs w:val="32"/>
          <w:lang w:val="en-US" w:eastAsia="zh-CN"/>
        </w:rPr>
        <w:t>35</w:t>
      </w:r>
      <w:r>
        <w:rPr>
          <w:rFonts w:hint="eastAsia" w:ascii="仿宋" w:hAnsi="仿宋" w:eastAsia="仿宋" w:cs="仿宋"/>
          <w:sz w:val="32"/>
          <w:szCs w:val="32"/>
        </w:rPr>
        <w:t>人，</w:t>
      </w:r>
      <w:r>
        <w:rPr>
          <w:rFonts w:hint="eastAsia" w:ascii="仿宋" w:hAnsi="仿宋" w:eastAsia="仿宋" w:cs="仿宋"/>
          <w:sz w:val="32"/>
          <w:szCs w:val="32"/>
          <w:lang w:eastAsia="zh-CN"/>
        </w:rPr>
        <w:t>非全额补助开支</w:t>
      </w:r>
      <w:r>
        <w:rPr>
          <w:rFonts w:hint="eastAsia" w:ascii="仿宋" w:hAnsi="仿宋" w:eastAsia="仿宋" w:cs="仿宋"/>
          <w:sz w:val="32"/>
          <w:szCs w:val="32"/>
        </w:rPr>
        <w:t>人数</w:t>
      </w:r>
      <w:r>
        <w:rPr>
          <w:rFonts w:hint="eastAsia" w:ascii="仿宋" w:hAnsi="仿宋" w:eastAsia="仿宋" w:cs="仿宋"/>
          <w:sz w:val="32"/>
          <w:szCs w:val="32"/>
          <w:lang w:val="en-US" w:eastAsia="zh-CN"/>
        </w:rPr>
        <w:t>47</w:t>
      </w:r>
      <w:r>
        <w:rPr>
          <w:rFonts w:hint="eastAsia" w:ascii="仿宋" w:hAnsi="仿宋" w:eastAsia="仿宋" w:cs="仿宋"/>
          <w:sz w:val="32"/>
          <w:szCs w:val="32"/>
        </w:rPr>
        <w:t>人</w:t>
      </w: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2023年末有在编职工75人，年中调入1人、辞职1人、调出2人、退休5人。另合同</w:t>
      </w:r>
      <w:r>
        <w:rPr>
          <w:rFonts w:hint="eastAsia" w:ascii="仿宋" w:hAnsi="仿宋" w:eastAsia="仿宋" w:cs="仿宋"/>
          <w:sz w:val="32"/>
          <w:szCs w:val="32"/>
        </w:rPr>
        <w:t>聘</w:t>
      </w:r>
      <w:r>
        <w:rPr>
          <w:rFonts w:hint="eastAsia" w:ascii="仿宋" w:hAnsi="仿宋" w:eastAsia="仿宋" w:cs="仿宋"/>
          <w:sz w:val="32"/>
          <w:szCs w:val="32"/>
          <w:lang w:val="en-US" w:eastAsia="zh-CN"/>
        </w:rPr>
        <w:t>用</w:t>
      </w:r>
      <w:r>
        <w:rPr>
          <w:rFonts w:hint="eastAsia" w:ascii="仿宋" w:hAnsi="仿宋" w:eastAsia="仿宋" w:cs="仿宋"/>
          <w:sz w:val="32"/>
          <w:szCs w:val="32"/>
        </w:rPr>
        <w:t>人员2</w:t>
      </w:r>
      <w:r>
        <w:rPr>
          <w:rFonts w:hint="eastAsia" w:ascii="仿宋" w:hAnsi="仿宋" w:eastAsia="仿宋" w:cs="仿宋"/>
          <w:sz w:val="32"/>
          <w:szCs w:val="32"/>
          <w:lang w:val="en-US" w:eastAsia="zh-CN"/>
        </w:rPr>
        <w:t>1</w:t>
      </w:r>
      <w:r>
        <w:rPr>
          <w:rFonts w:hint="eastAsia" w:ascii="仿宋" w:hAnsi="仿宋" w:eastAsia="仿宋" w:cs="仿宋"/>
          <w:sz w:val="32"/>
          <w:szCs w:val="32"/>
        </w:rPr>
        <w:t>人</w:t>
      </w: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劳务派遣6人</w:t>
      </w:r>
      <w:r>
        <w:rPr>
          <w:rFonts w:hint="eastAsia" w:ascii="仿宋" w:hAnsi="仿宋" w:eastAsia="仿宋" w:cs="仿宋"/>
          <w:sz w:val="32"/>
          <w:szCs w:val="32"/>
          <w:lang w:eastAsia="zh-CN"/>
        </w:rPr>
        <w:t>。</w:t>
      </w:r>
    </w:p>
    <w:p>
      <w:pPr>
        <w:numPr>
          <w:ilvl w:val="0"/>
          <w:numId w:val="0"/>
        </w:numPr>
        <w:spacing w:line="560" w:lineRule="exact"/>
        <w:ind w:leftChars="200"/>
        <w:rPr>
          <w:rFonts w:hint="eastAsia" w:ascii="仿宋" w:hAnsi="仿宋" w:eastAsia="仿宋" w:cs="仿宋"/>
          <w:kern w:val="0"/>
          <w:sz w:val="32"/>
          <w:szCs w:val="32"/>
          <w:lang w:val="en-US" w:eastAsia="zh-CN"/>
        </w:rPr>
      </w:pPr>
    </w:p>
    <w:p>
      <w:pPr>
        <w:spacing w:line="560" w:lineRule="exact"/>
        <w:ind w:firstLine="643" w:firstLineChars="200"/>
        <w:rPr>
          <w:rFonts w:hint="eastAsia" w:ascii="仿宋" w:hAnsi="仿宋" w:eastAsia="仿宋" w:cs="仿宋"/>
          <w:b/>
          <w:bCs/>
          <w:kern w:val="0"/>
          <w:sz w:val="32"/>
          <w:szCs w:val="32"/>
        </w:rPr>
      </w:pPr>
      <w:r>
        <w:rPr>
          <w:rFonts w:hint="eastAsia" w:ascii="仿宋" w:hAnsi="仿宋" w:eastAsia="仿宋" w:cs="仿宋"/>
          <w:b/>
          <w:bCs/>
          <w:kern w:val="0"/>
          <w:sz w:val="32"/>
          <w:szCs w:val="32"/>
        </w:rPr>
        <w:t>二、部门整体支出管理及使用情况</w:t>
      </w:r>
    </w:p>
    <w:p>
      <w:pPr>
        <w:spacing w:line="560" w:lineRule="exact"/>
        <w:ind w:firstLine="643" w:firstLineChars="200"/>
        <w:rPr>
          <w:rFonts w:hint="eastAsia" w:ascii="仿宋" w:hAnsi="仿宋" w:eastAsia="仿宋" w:cs="仿宋"/>
          <w:kern w:val="0"/>
          <w:sz w:val="32"/>
          <w:szCs w:val="32"/>
        </w:rPr>
      </w:pPr>
      <w:r>
        <w:rPr>
          <w:rFonts w:hint="eastAsia" w:ascii="仿宋" w:hAnsi="仿宋" w:eastAsia="仿宋" w:cs="仿宋"/>
          <w:b/>
          <w:bCs/>
          <w:kern w:val="0"/>
          <w:sz w:val="32"/>
          <w:szCs w:val="32"/>
          <w:lang w:eastAsia="zh-CN"/>
        </w:rPr>
        <w:t>（一）</w:t>
      </w:r>
      <w:r>
        <w:rPr>
          <w:rFonts w:hint="eastAsia" w:ascii="仿宋" w:hAnsi="仿宋" w:eastAsia="仿宋" w:cs="仿宋"/>
          <w:b/>
          <w:bCs/>
          <w:kern w:val="0"/>
          <w:sz w:val="32"/>
          <w:szCs w:val="32"/>
        </w:rPr>
        <w:t>部门预算收支情况</w:t>
      </w:r>
      <w:r>
        <w:rPr>
          <w:rFonts w:hint="eastAsia" w:ascii="仿宋" w:hAnsi="仿宋" w:eastAsia="仿宋" w:cs="仿宋"/>
          <w:kern w:val="0"/>
          <w:sz w:val="32"/>
          <w:szCs w:val="32"/>
        </w:rPr>
        <w:t>（含公共财政拨款、政府性基金拨款、纳入专户管理的非税收入拨款及其他资金）</w:t>
      </w:r>
    </w:p>
    <w:p>
      <w:pPr>
        <w:spacing w:line="560" w:lineRule="exact"/>
        <w:ind w:firstLine="640" w:firstLineChars="200"/>
        <w:rPr>
          <w:rFonts w:hint="eastAsia" w:ascii="仿宋" w:hAnsi="仿宋" w:eastAsia="仿宋" w:cs="仿宋"/>
          <w:kern w:val="0"/>
          <w:sz w:val="32"/>
          <w:szCs w:val="32"/>
          <w:lang w:val="en-US" w:eastAsia="zh-CN"/>
        </w:rPr>
      </w:pPr>
      <w:r>
        <w:rPr>
          <w:rFonts w:hint="eastAsia" w:ascii="仿宋" w:hAnsi="仿宋" w:eastAsia="仿宋" w:cs="仿宋"/>
          <w:kern w:val="0"/>
          <w:sz w:val="32"/>
          <w:szCs w:val="32"/>
          <w:lang w:eastAsia="zh-CN"/>
        </w:rPr>
        <w:t>经本级财政部门</w:t>
      </w:r>
      <w:r>
        <w:rPr>
          <w:rFonts w:hint="eastAsia" w:ascii="仿宋" w:hAnsi="仿宋" w:eastAsia="仿宋" w:cs="仿宋"/>
          <w:kern w:val="0"/>
          <w:sz w:val="32"/>
          <w:szCs w:val="32"/>
          <w:lang w:val="en-US" w:eastAsia="zh-CN"/>
        </w:rPr>
        <w:t>年初</w:t>
      </w:r>
      <w:r>
        <w:rPr>
          <w:rFonts w:hint="eastAsia" w:ascii="仿宋" w:hAnsi="仿宋" w:eastAsia="仿宋" w:cs="仿宋"/>
          <w:kern w:val="0"/>
          <w:sz w:val="32"/>
          <w:szCs w:val="32"/>
          <w:lang w:eastAsia="zh-CN"/>
        </w:rPr>
        <w:t>预算批复，</w:t>
      </w:r>
      <w:r>
        <w:rPr>
          <w:rFonts w:hint="eastAsia" w:ascii="仿宋" w:hAnsi="仿宋" w:eastAsia="仿宋" w:cs="仿宋"/>
          <w:kern w:val="0"/>
          <w:sz w:val="32"/>
          <w:szCs w:val="32"/>
          <w:lang w:val="en-US" w:eastAsia="zh-CN"/>
        </w:rPr>
        <w:t>2023年全年收入预算837.51万元，均为财政拨款837.51万元。</w:t>
      </w:r>
    </w:p>
    <w:p>
      <w:pPr>
        <w:spacing w:line="560" w:lineRule="exact"/>
        <w:ind w:firstLine="640" w:firstLineChars="200"/>
        <w:rPr>
          <w:rFonts w:hint="eastAsia" w:ascii="仿宋" w:hAnsi="仿宋" w:eastAsia="仿宋" w:cs="仿宋"/>
          <w:kern w:val="0"/>
          <w:sz w:val="32"/>
          <w:szCs w:val="32"/>
          <w:lang w:val="en-US" w:eastAsia="zh-CN"/>
        </w:rPr>
      </w:pPr>
      <w:r>
        <w:rPr>
          <w:rFonts w:hint="eastAsia" w:ascii="仿宋" w:hAnsi="仿宋" w:eastAsia="仿宋" w:cs="仿宋"/>
          <w:kern w:val="0"/>
          <w:sz w:val="32"/>
          <w:szCs w:val="32"/>
          <w:lang w:val="en-US" w:eastAsia="zh-CN"/>
        </w:rPr>
        <w:t>2023年全年支出预算总计837.51万元，其中人员经费656.31万元、公用经费49.2万元、项目支出132万元。</w:t>
      </w:r>
    </w:p>
    <w:p>
      <w:pPr>
        <w:spacing w:line="560" w:lineRule="exact"/>
        <w:ind w:firstLine="640" w:firstLineChars="200"/>
        <w:rPr>
          <w:rFonts w:hint="eastAsia" w:ascii="仿宋" w:hAnsi="仿宋" w:eastAsia="仿宋" w:cs="仿宋"/>
          <w:kern w:val="0"/>
          <w:sz w:val="32"/>
          <w:szCs w:val="32"/>
          <w:lang w:val="en-US" w:eastAsia="zh-CN"/>
        </w:rPr>
      </w:pPr>
      <w:r>
        <w:rPr>
          <w:rFonts w:hint="eastAsia" w:ascii="仿宋" w:hAnsi="仿宋" w:eastAsia="仿宋" w:cs="仿宋"/>
          <w:kern w:val="0"/>
          <w:sz w:val="32"/>
          <w:szCs w:val="32"/>
          <w:lang w:val="en-US" w:eastAsia="zh-CN"/>
        </w:rPr>
        <w:t xml:space="preserve"> 本年度调整预算数4801.07万元：</w:t>
      </w:r>
      <w:r>
        <w:rPr>
          <w:rFonts w:hint="eastAsia" w:ascii="仿宋" w:hAnsi="仿宋" w:eastAsia="仿宋" w:cs="仿宋"/>
          <w:sz w:val="32"/>
          <w:szCs w:val="32"/>
          <w:lang w:eastAsia="zh-CN"/>
        </w:rPr>
        <w:t>调增上</w:t>
      </w:r>
      <w:r>
        <w:rPr>
          <w:rFonts w:hint="eastAsia" w:ascii="仿宋" w:hAnsi="仿宋" w:eastAsia="仿宋" w:cs="仿宋"/>
          <w:sz w:val="32"/>
          <w:szCs w:val="32"/>
        </w:rPr>
        <w:t>年</w:t>
      </w:r>
      <w:r>
        <w:rPr>
          <w:rFonts w:hint="eastAsia" w:ascii="仿宋" w:hAnsi="仿宋" w:eastAsia="仿宋" w:cs="仿宋"/>
          <w:sz w:val="32"/>
          <w:szCs w:val="32"/>
          <w:lang w:eastAsia="zh-CN"/>
        </w:rPr>
        <w:t>结转经费</w:t>
      </w:r>
      <w:r>
        <w:rPr>
          <w:rFonts w:hint="eastAsia" w:ascii="仿宋" w:hAnsi="仿宋" w:eastAsia="仿宋" w:cs="仿宋"/>
          <w:sz w:val="32"/>
          <w:szCs w:val="32"/>
          <w:lang w:val="en-US" w:eastAsia="zh-CN"/>
        </w:rPr>
        <w:t>136.58万元，调增人员绩效等140.1万元，</w:t>
      </w:r>
      <w:r>
        <w:rPr>
          <w:rFonts w:hint="eastAsia" w:ascii="仿宋" w:hAnsi="仿宋" w:eastAsia="仿宋" w:cs="仿宋"/>
          <w:sz w:val="32"/>
          <w:szCs w:val="32"/>
        </w:rPr>
        <w:t>调增</w:t>
      </w:r>
      <w:r>
        <w:rPr>
          <w:rFonts w:hint="eastAsia" w:ascii="仿宋" w:hAnsi="仿宋" w:eastAsia="仿宋" w:cs="仿宋"/>
          <w:sz w:val="32"/>
          <w:szCs w:val="32"/>
          <w:lang w:val="en-US" w:eastAsia="zh-CN"/>
        </w:rPr>
        <w:t>上级补助资金39.3</w:t>
      </w:r>
      <w:r>
        <w:rPr>
          <w:rFonts w:hint="eastAsia" w:ascii="仿宋" w:hAnsi="仿宋" w:eastAsia="仿宋" w:cs="仿宋"/>
          <w:sz w:val="32"/>
          <w:szCs w:val="32"/>
        </w:rPr>
        <w:t>万元</w:t>
      </w:r>
      <w:r>
        <w:rPr>
          <w:rFonts w:hint="eastAsia" w:ascii="仿宋" w:hAnsi="仿宋" w:eastAsia="仿宋" w:cs="仿宋"/>
          <w:sz w:val="32"/>
          <w:szCs w:val="32"/>
          <w:lang w:val="en-US" w:eastAsia="zh-CN"/>
        </w:rPr>
        <w:t>、</w:t>
      </w:r>
      <w:r>
        <w:rPr>
          <w:rFonts w:hint="eastAsia" w:ascii="仿宋" w:hAnsi="仿宋" w:eastAsia="仿宋" w:cs="仿宋"/>
          <w:sz w:val="32"/>
          <w:szCs w:val="32"/>
          <w:lang w:eastAsia="zh-CN"/>
        </w:rPr>
        <w:t>调增</w:t>
      </w:r>
      <w:r>
        <w:rPr>
          <w:rFonts w:hint="eastAsia" w:ascii="仿宋" w:hAnsi="仿宋" w:eastAsia="仿宋" w:cs="仿宋"/>
          <w:sz w:val="32"/>
          <w:szCs w:val="32"/>
          <w:lang w:val="en-US" w:eastAsia="zh-CN"/>
        </w:rPr>
        <w:t>本级补助资金395.78万元，</w:t>
      </w:r>
      <w:r>
        <w:rPr>
          <w:rFonts w:hint="eastAsia" w:ascii="仿宋" w:hAnsi="仿宋" w:eastAsia="仿宋" w:cs="仿宋"/>
          <w:sz w:val="32"/>
          <w:szCs w:val="32"/>
        </w:rPr>
        <w:t>调增非财政拨款收入</w:t>
      </w:r>
      <w:r>
        <w:rPr>
          <w:rFonts w:hint="eastAsia" w:ascii="仿宋" w:hAnsi="仿宋" w:eastAsia="仿宋" w:cs="仿宋"/>
          <w:sz w:val="32"/>
          <w:szCs w:val="32"/>
          <w:lang w:val="en-US" w:eastAsia="zh-CN"/>
        </w:rPr>
        <w:t>3289.37</w:t>
      </w:r>
      <w:r>
        <w:rPr>
          <w:rFonts w:hint="eastAsia" w:ascii="仿宋" w:hAnsi="仿宋" w:eastAsia="仿宋" w:cs="仿宋"/>
          <w:sz w:val="32"/>
          <w:szCs w:val="32"/>
        </w:rPr>
        <w:t>万元</w:t>
      </w: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含资产处置2900万元）</w:t>
      </w:r>
      <w:r>
        <w:rPr>
          <w:rFonts w:hint="eastAsia" w:ascii="仿宋" w:hAnsi="仿宋" w:eastAsia="仿宋" w:cs="仿宋"/>
          <w:sz w:val="32"/>
          <w:szCs w:val="32"/>
          <w:lang w:eastAsia="zh-CN"/>
        </w:rPr>
        <w:t>；调减职业年金预算</w:t>
      </w:r>
      <w:r>
        <w:rPr>
          <w:rFonts w:hint="eastAsia" w:ascii="仿宋" w:hAnsi="仿宋" w:eastAsia="仿宋" w:cs="仿宋"/>
          <w:sz w:val="32"/>
          <w:szCs w:val="32"/>
          <w:lang w:val="en-US" w:eastAsia="zh-CN"/>
        </w:rPr>
        <w:t>29.7万元</w:t>
      </w:r>
      <w:r>
        <w:rPr>
          <w:rFonts w:hint="eastAsia" w:ascii="仿宋" w:hAnsi="仿宋" w:eastAsia="仿宋" w:cs="仿宋"/>
          <w:sz w:val="32"/>
          <w:szCs w:val="32"/>
        </w:rPr>
        <w:t>。</w:t>
      </w:r>
    </w:p>
    <w:p>
      <w:pPr>
        <w:spacing w:line="560" w:lineRule="exact"/>
        <w:ind w:firstLine="643" w:firstLineChars="200"/>
        <w:rPr>
          <w:rFonts w:hint="eastAsia" w:ascii="仿宋" w:hAnsi="仿宋" w:eastAsia="仿宋" w:cs="仿宋"/>
          <w:b/>
          <w:bCs/>
          <w:kern w:val="0"/>
          <w:sz w:val="32"/>
          <w:szCs w:val="32"/>
        </w:rPr>
      </w:pPr>
      <w:r>
        <w:rPr>
          <w:rFonts w:hint="eastAsia" w:ascii="仿宋" w:hAnsi="仿宋" w:eastAsia="仿宋" w:cs="仿宋"/>
          <w:b/>
          <w:bCs/>
          <w:kern w:val="0"/>
          <w:sz w:val="32"/>
          <w:szCs w:val="32"/>
          <w:lang w:eastAsia="zh-CN"/>
        </w:rPr>
        <w:t>（二）</w:t>
      </w:r>
      <w:r>
        <w:rPr>
          <w:rFonts w:hint="eastAsia" w:ascii="仿宋" w:hAnsi="仿宋" w:eastAsia="仿宋" w:cs="仿宋"/>
          <w:b/>
          <w:bCs/>
          <w:kern w:val="0"/>
          <w:sz w:val="32"/>
          <w:szCs w:val="32"/>
        </w:rPr>
        <w:t>部门决算情况</w:t>
      </w:r>
    </w:p>
    <w:p>
      <w:pPr>
        <w:spacing w:line="560" w:lineRule="exact"/>
        <w:ind w:firstLine="640" w:firstLineChars="200"/>
        <w:rPr>
          <w:rFonts w:hint="eastAsia" w:ascii="仿宋" w:hAnsi="仿宋" w:eastAsia="仿宋" w:cs="仿宋"/>
          <w:kern w:val="0"/>
          <w:sz w:val="32"/>
          <w:szCs w:val="32"/>
          <w:lang w:val="en-US" w:eastAsia="zh-CN"/>
        </w:rPr>
      </w:pPr>
      <w:r>
        <w:rPr>
          <w:rFonts w:hint="eastAsia" w:ascii="仿宋" w:hAnsi="仿宋" w:eastAsia="仿宋" w:cs="仿宋"/>
          <w:kern w:val="0"/>
          <w:sz w:val="32"/>
          <w:szCs w:val="32"/>
          <w:lang w:val="en-US" w:eastAsia="zh-CN"/>
        </w:rPr>
        <w:t>2023年收入决算数4801.07万元：财政拨款1511.7万元，事业收入376.99万元，其他收入2912.38万元。</w:t>
      </w:r>
    </w:p>
    <w:p>
      <w:pPr>
        <w:spacing w:line="560" w:lineRule="exact"/>
        <w:ind w:firstLine="640" w:firstLineChars="200"/>
        <w:rPr>
          <w:rFonts w:hint="eastAsia" w:ascii="仿宋" w:hAnsi="仿宋" w:eastAsia="仿宋" w:cs="仿宋"/>
          <w:kern w:val="0"/>
          <w:sz w:val="32"/>
          <w:szCs w:val="32"/>
          <w:lang w:val="en-US" w:eastAsia="zh-CN"/>
        </w:rPr>
      </w:pPr>
      <w:r>
        <w:rPr>
          <w:rFonts w:hint="eastAsia" w:ascii="仿宋" w:hAnsi="仿宋" w:eastAsia="仿宋" w:cs="仿宋"/>
          <w:kern w:val="0"/>
          <w:sz w:val="32"/>
          <w:szCs w:val="32"/>
          <w:lang w:val="en-US" w:eastAsia="zh-CN"/>
        </w:rPr>
        <w:t>2023年支出决算数4801.07万元：其中基本支出708.65万元、项目支出4092.42万元。</w:t>
      </w:r>
    </w:p>
    <w:p>
      <w:pPr>
        <w:numPr>
          <w:ilvl w:val="0"/>
          <w:numId w:val="0"/>
        </w:numPr>
        <w:spacing w:line="560" w:lineRule="exact"/>
        <w:ind w:firstLine="643" w:firstLineChars="200"/>
        <w:rPr>
          <w:rFonts w:hint="eastAsia" w:ascii="仿宋" w:hAnsi="仿宋" w:eastAsia="仿宋" w:cs="仿宋"/>
          <w:b/>
          <w:bCs/>
          <w:kern w:val="0"/>
          <w:sz w:val="32"/>
          <w:szCs w:val="32"/>
        </w:rPr>
      </w:pPr>
      <w:r>
        <w:rPr>
          <w:rFonts w:hint="eastAsia" w:ascii="仿宋" w:hAnsi="仿宋" w:eastAsia="仿宋" w:cs="仿宋"/>
          <w:b/>
          <w:bCs/>
          <w:kern w:val="0"/>
          <w:sz w:val="32"/>
          <w:szCs w:val="32"/>
          <w:lang w:eastAsia="zh-CN"/>
        </w:rPr>
        <w:t>（</w:t>
      </w:r>
      <w:r>
        <w:rPr>
          <w:rFonts w:hint="eastAsia" w:ascii="仿宋" w:hAnsi="仿宋" w:eastAsia="仿宋" w:cs="仿宋"/>
          <w:b/>
          <w:bCs/>
          <w:kern w:val="0"/>
          <w:sz w:val="32"/>
          <w:szCs w:val="32"/>
          <w:lang w:val="en-US" w:eastAsia="zh-CN"/>
        </w:rPr>
        <w:t>1）</w:t>
      </w:r>
      <w:r>
        <w:rPr>
          <w:rFonts w:hint="eastAsia" w:ascii="仿宋" w:hAnsi="仿宋" w:eastAsia="仿宋" w:cs="仿宋"/>
          <w:b/>
          <w:bCs/>
          <w:kern w:val="0"/>
          <w:sz w:val="32"/>
          <w:szCs w:val="32"/>
        </w:rPr>
        <w:t>支出分类情况</w:t>
      </w:r>
    </w:p>
    <w:p>
      <w:pPr>
        <w:numPr>
          <w:ilvl w:val="0"/>
          <w:numId w:val="0"/>
        </w:numPr>
        <w:spacing w:line="560" w:lineRule="exact"/>
        <w:ind w:firstLine="640" w:firstLineChars="200"/>
        <w:rPr>
          <w:rFonts w:hint="eastAsia" w:ascii="仿宋" w:hAnsi="仿宋" w:eastAsia="仿宋" w:cs="仿宋"/>
          <w:kern w:val="0"/>
          <w:sz w:val="32"/>
          <w:szCs w:val="32"/>
          <w:lang w:eastAsia="zh-CN"/>
        </w:rPr>
      </w:pPr>
      <w:r>
        <w:rPr>
          <w:rFonts w:hint="eastAsia" w:ascii="仿宋" w:hAnsi="仿宋" w:eastAsia="仿宋" w:cs="仿宋"/>
          <w:kern w:val="0"/>
          <w:sz w:val="32"/>
          <w:szCs w:val="32"/>
          <w:lang w:val="en-US" w:eastAsia="zh-CN"/>
        </w:rPr>
        <w:t>本年度</w:t>
      </w:r>
      <w:r>
        <w:rPr>
          <w:rFonts w:hint="eastAsia" w:ascii="仿宋" w:hAnsi="仿宋" w:eastAsia="仿宋" w:cs="仿宋"/>
          <w:kern w:val="0"/>
          <w:sz w:val="32"/>
          <w:szCs w:val="32"/>
        </w:rPr>
        <w:t>支出</w:t>
      </w:r>
      <w:r>
        <w:rPr>
          <w:rFonts w:hint="eastAsia" w:ascii="仿宋" w:hAnsi="仿宋" w:eastAsia="仿宋" w:cs="仿宋"/>
          <w:kern w:val="0"/>
          <w:sz w:val="32"/>
          <w:szCs w:val="32"/>
          <w:lang w:val="en-US" w:eastAsia="zh-CN"/>
        </w:rPr>
        <w:t>按资金来源分类，财政补助支出1511.7万元，占支出总额31.5%；非财政补助支出3289.37万元，占支出总额68.5%。</w:t>
      </w:r>
    </w:p>
    <w:p>
      <w:pPr>
        <w:numPr>
          <w:ilvl w:val="0"/>
          <w:numId w:val="0"/>
        </w:numPr>
        <w:spacing w:line="560" w:lineRule="exact"/>
        <w:ind w:firstLine="640" w:firstLineChars="200"/>
        <w:rPr>
          <w:rFonts w:hint="default" w:ascii="仿宋" w:hAnsi="仿宋" w:eastAsia="仿宋" w:cs="仿宋"/>
          <w:kern w:val="0"/>
          <w:sz w:val="32"/>
          <w:szCs w:val="32"/>
          <w:lang w:val="en-US" w:eastAsia="zh-CN"/>
        </w:rPr>
      </w:pPr>
      <w:r>
        <w:rPr>
          <w:rFonts w:hint="eastAsia" w:ascii="仿宋" w:hAnsi="仿宋" w:eastAsia="仿宋" w:cs="仿宋"/>
          <w:kern w:val="0"/>
          <w:sz w:val="32"/>
          <w:szCs w:val="32"/>
          <w:lang w:eastAsia="zh-CN"/>
        </w:rPr>
        <w:t>按支出性质分类</w:t>
      </w:r>
      <w:r>
        <w:rPr>
          <w:rFonts w:hint="eastAsia" w:ascii="仿宋" w:hAnsi="仿宋" w:eastAsia="仿宋" w:cs="仿宋"/>
          <w:kern w:val="0"/>
          <w:sz w:val="32"/>
          <w:szCs w:val="32"/>
        </w:rPr>
        <w:t>：</w:t>
      </w:r>
      <w:r>
        <w:rPr>
          <w:rFonts w:hint="eastAsia" w:ascii="仿宋" w:hAnsi="仿宋" w:eastAsia="仿宋" w:cs="仿宋"/>
          <w:kern w:val="0"/>
          <w:sz w:val="32"/>
          <w:szCs w:val="32"/>
          <w:lang w:eastAsia="zh-CN"/>
        </w:rPr>
        <w:t>基本</w:t>
      </w:r>
      <w:r>
        <w:rPr>
          <w:rFonts w:hint="eastAsia" w:ascii="仿宋" w:hAnsi="仿宋" w:eastAsia="仿宋" w:cs="仿宋"/>
          <w:kern w:val="0"/>
          <w:sz w:val="32"/>
          <w:szCs w:val="32"/>
        </w:rPr>
        <w:t>支出</w:t>
      </w:r>
      <w:r>
        <w:rPr>
          <w:rFonts w:hint="eastAsia" w:ascii="仿宋" w:hAnsi="仿宋" w:eastAsia="仿宋" w:cs="仿宋"/>
          <w:kern w:val="0"/>
          <w:sz w:val="32"/>
          <w:szCs w:val="32"/>
          <w:lang w:val="en-US" w:eastAsia="zh-CN"/>
        </w:rPr>
        <w:t>708.65万</w:t>
      </w:r>
      <w:r>
        <w:rPr>
          <w:rFonts w:hint="eastAsia" w:ascii="仿宋" w:hAnsi="仿宋" w:eastAsia="仿宋" w:cs="仿宋"/>
          <w:kern w:val="0"/>
          <w:sz w:val="32"/>
          <w:szCs w:val="32"/>
        </w:rPr>
        <w:t>元，占比</w:t>
      </w:r>
      <w:r>
        <w:rPr>
          <w:rFonts w:hint="eastAsia" w:ascii="仿宋" w:hAnsi="仿宋" w:eastAsia="仿宋" w:cs="仿宋"/>
          <w:kern w:val="0"/>
          <w:sz w:val="32"/>
          <w:szCs w:val="32"/>
          <w:lang w:val="en-US" w:eastAsia="zh-CN"/>
        </w:rPr>
        <w:t>14.8</w:t>
      </w:r>
      <w:r>
        <w:rPr>
          <w:rFonts w:hint="eastAsia" w:ascii="仿宋" w:hAnsi="仿宋" w:eastAsia="仿宋" w:cs="仿宋"/>
          <w:kern w:val="0"/>
          <w:sz w:val="32"/>
          <w:szCs w:val="32"/>
        </w:rPr>
        <w:t>%；</w:t>
      </w:r>
      <w:r>
        <w:rPr>
          <w:rFonts w:hint="eastAsia" w:ascii="仿宋" w:hAnsi="仿宋" w:eastAsia="仿宋" w:cs="仿宋"/>
          <w:kern w:val="0"/>
          <w:sz w:val="32"/>
          <w:szCs w:val="32"/>
          <w:lang w:eastAsia="zh-CN"/>
        </w:rPr>
        <w:t>项目</w:t>
      </w:r>
      <w:r>
        <w:rPr>
          <w:rFonts w:hint="eastAsia" w:ascii="仿宋" w:hAnsi="仿宋" w:eastAsia="仿宋" w:cs="仿宋"/>
          <w:kern w:val="0"/>
          <w:sz w:val="32"/>
          <w:szCs w:val="32"/>
        </w:rPr>
        <w:t>支出</w:t>
      </w:r>
      <w:r>
        <w:rPr>
          <w:rFonts w:hint="eastAsia" w:ascii="仿宋" w:hAnsi="仿宋" w:eastAsia="仿宋" w:cs="仿宋"/>
          <w:kern w:val="0"/>
          <w:sz w:val="32"/>
          <w:szCs w:val="32"/>
          <w:lang w:val="en-US" w:eastAsia="zh-CN"/>
        </w:rPr>
        <w:t>4092.43万</w:t>
      </w:r>
      <w:r>
        <w:rPr>
          <w:rFonts w:hint="eastAsia" w:ascii="仿宋" w:hAnsi="仿宋" w:eastAsia="仿宋" w:cs="仿宋"/>
          <w:kern w:val="0"/>
          <w:sz w:val="32"/>
          <w:szCs w:val="32"/>
        </w:rPr>
        <w:t>元，占比</w:t>
      </w:r>
      <w:r>
        <w:rPr>
          <w:rFonts w:hint="eastAsia" w:ascii="仿宋" w:hAnsi="仿宋" w:eastAsia="仿宋" w:cs="仿宋"/>
          <w:kern w:val="0"/>
          <w:sz w:val="32"/>
          <w:szCs w:val="32"/>
          <w:lang w:val="en-US" w:eastAsia="zh-CN"/>
        </w:rPr>
        <w:t>85.2</w:t>
      </w:r>
      <w:r>
        <w:rPr>
          <w:rFonts w:hint="eastAsia" w:ascii="仿宋" w:hAnsi="仿宋" w:eastAsia="仿宋" w:cs="仿宋"/>
          <w:kern w:val="0"/>
          <w:sz w:val="32"/>
          <w:szCs w:val="32"/>
        </w:rPr>
        <w:t>%</w:t>
      </w:r>
      <w:r>
        <w:rPr>
          <w:rFonts w:hint="eastAsia" w:ascii="仿宋" w:hAnsi="仿宋" w:eastAsia="仿宋" w:cs="仿宋"/>
          <w:kern w:val="0"/>
          <w:sz w:val="32"/>
          <w:szCs w:val="32"/>
          <w:lang w:eastAsia="zh-CN"/>
        </w:rPr>
        <w:t>，</w:t>
      </w:r>
      <w:r>
        <w:rPr>
          <w:rFonts w:hint="eastAsia" w:ascii="仿宋" w:hAnsi="仿宋" w:eastAsia="仿宋" w:cs="仿宋"/>
          <w:kern w:val="0"/>
          <w:sz w:val="32"/>
          <w:szCs w:val="32"/>
          <w:lang w:val="en-US" w:eastAsia="zh-CN"/>
        </w:rPr>
        <w:t>部门决算表项目支出是指除年初预算以外的所有资金支出，包含了结算资金支出、大预算资金支出等。</w:t>
      </w:r>
    </w:p>
    <w:p>
      <w:pPr>
        <w:snapToGrid w:val="0"/>
        <w:spacing w:line="520" w:lineRule="exact"/>
        <w:ind w:firstLine="640" w:firstLineChars="200"/>
        <w:rPr>
          <w:rFonts w:hint="eastAsia" w:ascii="仿宋" w:hAnsi="仿宋" w:eastAsia="仿宋" w:cs="仿宋"/>
          <w:kern w:val="0"/>
          <w:sz w:val="32"/>
          <w:szCs w:val="32"/>
          <w:lang w:val="en-US" w:eastAsia="zh-CN"/>
        </w:rPr>
      </w:pPr>
      <w:r>
        <w:rPr>
          <w:rFonts w:hint="eastAsia" w:ascii="仿宋" w:hAnsi="仿宋" w:eastAsia="仿宋" w:cs="仿宋"/>
          <w:sz w:val="32"/>
          <w:szCs w:val="32"/>
          <w:lang w:val="en-US" w:eastAsia="zh-CN"/>
        </w:rPr>
        <w:t>按经济分类：</w:t>
      </w:r>
      <w:r>
        <w:rPr>
          <w:rFonts w:hint="eastAsia" w:ascii="仿宋" w:hAnsi="仿宋" w:eastAsia="仿宋" w:cs="仿宋"/>
          <w:sz w:val="32"/>
          <w:szCs w:val="32"/>
          <w:lang w:eastAsia="zh-CN"/>
        </w:rPr>
        <w:t>工资福利支出</w:t>
      </w:r>
      <w:r>
        <w:rPr>
          <w:rFonts w:hint="eastAsia" w:ascii="仿宋" w:hAnsi="仿宋" w:eastAsia="仿宋" w:cs="仿宋"/>
          <w:sz w:val="32"/>
          <w:szCs w:val="32"/>
          <w:lang w:val="en-US" w:eastAsia="zh-CN"/>
        </w:rPr>
        <w:t>1108.44</w:t>
      </w:r>
      <w:r>
        <w:rPr>
          <w:rFonts w:hint="eastAsia" w:ascii="仿宋" w:hAnsi="仿宋" w:eastAsia="仿宋" w:cs="仿宋"/>
          <w:sz w:val="32"/>
          <w:szCs w:val="32"/>
        </w:rPr>
        <w:t>万元，</w:t>
      </w:r>
      <w:r>
        <w:rPr>
          <w:rFonts w:hint="eastAsia" w:ascii="仿宋" w:hAnsi="仿宋" w:eastAsia="仿宋" w:cs="仿宋"/>
          <w:sz w:val="32"/>
          <w:szCs w:val="32"/>
          <w:lang w:val="en-US" w:eastAsia="zh-CN"/>
        </w:rPr>
        <w:t>占总支出比23.1%；</w:t>
      </w:r>
      <w:r>
        <w:rPr>
          <w:rFonts w:hint="eastAsia" w:ascii="仿宋" w:hAnsi="仿宋" w:eastAsia="仿宋" w:cs="仿宋"/>
          <w:sz w:val="32"/>
          <w:szCs w:val="32"/>
          <w:lang w:eastAsia="zh-CN"/>
        </w:rPr>
        <w:t>商品及服务支出</w:t>
      </w:r>
      <w:r>
        <w:rPr>
          <w:rFonts w:hint="eastAsia" w:ascii="仿宋" w:hAnsi="仿宋" w:eastAsia="仿宋" w:cs="仿宋"/>
          <w:sz w:val="32"/>
          <w:szCs w:val="32"/>
          <w:lang w:val="en-US" w:eastAsia="zh-CN"/>
        </w:rPr>
        <w:t>2498.3</w:t>
      </w:r>
      <w:r>
        <w:rPr>
          <w:rFonts w:hint="eastAsia" w:ascii="仿宋" w:hAnsi="仿宋" w:eastAsia="仿宋" w:cs="仿宋"/>
          <w:sz w:val="32"/>
          <w:szCs w:val="32"/>
        </w:rPr>
        <w:t>万元，占</w:t>
      </w:r>
      <w:r>
        <w:rPr>
          <w:rFonts w:hint="eastAsia" w:ascii="仿宋" w:hAnsi="仿宋" w:eastAsia="仿宋" w:cs="仿宋"/>
          <w:sz w:val="32"/>
          <w:szCs w:val="32"/>
          <w:lang w:eastAsia="zh-CN"/>
        </w:rPr>
        <w:t>总支出</w:t>
      </w:r>
      <w:r>
        <w:rPr>
          <w:rFonts w:hint="eastAsia" w:ascii="仿宋" w:hAnsi="仿宋" w:eastAsia="仿宋" w:cs="仿宋"/>
          <w:sz w:val="32"/>
          <w:szCs w:val="32"/>
        </w:rPr>
        <w:t>比</w:t>
      </w:r>
      <w:r>
        <w:rPr>
          <w:rFonts w:hint="eastAsia" w:ascii="仿宋" w:hAnsi="仿宋" w:eastAsia="仿宋" w:cs="仿宋"/>
          <w:sz w:val="32"/>
          <w:szCs w:val="32"/>
          <w:lang w:val="en-US" w:eastAsia="zh-CN"/>
        </w:rPr>
        <w:t>52</w:t>
      </w:r>
      <w:r>
        <w:rPr>
          <w:rFonts w:hint="eastAsia" w:ascii="仿宋" w:hAnsi="仿宋" w:eastAsia="仿宋" w:cs="仿宋"/>
          <w:sz w:val="32"/>
          <w:szCs w:val="32"/>
        </w:rPr>
        <w:t>%</w:t>
      </w:r>
      <w:r>
        <w:rPr>
          <w:rFonts w:hint="eastAsia" w:ascii="仿宋" w:hAnsi="仿宋" w:eastAsia="仿宋" w:cs="仿宋"/>
          <w:sz w:val="32"/>
          <w:szCs w:val="32"/>
          <w:lang w:eastAsia="zh-CN"/>
        </w:rPr>
        <w:t>；对个人及家庭补</w:t>
      </w:r>
      <w:r>
        <w:rPr>
          <w:rFonts w:hint="eastAsia" w:ascii="仿宋" w:hAnsi="仿宋" w:eastAsia="仿宋" w:cs="仿宋"/>
          <w:sz w:val="32"/>
          <w:szCs w:val="32"/>
          <w:lang w:val="en-US" w:eastAsia="zh-CN"/>
        </w:rPr>
        <w:t>助支出114.8万元，占总支出比2.4%；资本性支出1079.42万元，占总支出比22.5%；债务和利息支出0.1万元。</w:t>
      </w:r>
    </w:p>
    <w:p>
      <w:pPr>
        <w:numPr>
          <w:ilvl w:val="0"/>
          <w:numId w:val="0"/>
        </w:numPr>
        <w:spacing w:line="560" w:lineRule="exact"/>
        <w:ind w:leftChars="200" w:firstLine="321" w:firstLineChars="100"/>
        <w:rPr>
          <w:rFonts w:hint="eastAsia" w:ascii="仿宋" w:hAnsi="仿宋" w:eastAsia="仿宋" w:cs="仿宋"/>
          <w:b/>
          <w:bCs/>
          <w:kern w:val="0"/>
          <w:sz w:val="32"/>
          <w:szCs w:val="32"/>
        </w:rPr>
      </w:pPr>
      <w:r>
        <w:rPr>
          <w:rFonts w:hint="eastAsia" w:ascii="仿宋" w:hAnsi="仿宋" w:eastAsia="仿宋" w:cs="仿宋"/>
          <w:b/>
          <w:bCs/>
          <w:kern w:val="0"/>
          <w:sz w:val="32"/>
          <w:szCs w:val="32"/>
          <w:lang w:val="en-US" w:eastAsia="zh-CN"/>
        </w:rPr>
        <w:t>(2)</w:t>
      </w:r>
      <w:r>
        <w:rPr>
          <w:rFonts w:hint="eastAsia" w:ascii="仿宋" w:hAnsi="仿宋" w:eastAsia="仿宋" w:cs="仿宋"/>
          <w:b/>
          <w:bCs/>
          <w:kern w:val="0"/>
          <w:sz w:val="32"/>
          <w:szCs w:val="32"/>
        </w:rPr>
        <w:t>“三公”经费情况</w:t>
      </w:r>
    </w:p>
    <w:p>
      <w:pPr>
        <w:numPr>
          <w:ilvl w:val="0"/>
          <w:numId w:val="0"/>
        </w:numPr>
        <w:spacing w:line="560" w:lineRule="exact"/>
        <w:ind w:firstLine="640" w:firstLineChars="200"/>
        <w:rPr>
          <w:rFonts w:hint="eastAsia" w:ascii="仿宋" w:hAnsi="仿宋" w:eastAsia="仿宋" w:cs="仿宋"/>
          <w:kern w:val="0"/>
          <w:sz w:val="32"/>
          <w:szCs w:val="32"/>
        </w:rPr>
      </w:pPr>
      <w:r>
        <w:rPr>
          <w:rFonts w:hint="eastAsia" w:ascii="仿宋" w:hAnsi="仿宋" w:eastAsia="仿宋" w:cs="仿宋"/>
          <w:kern w:val="0"/>
          <w:sz w:val="32"/>
          <w:szCs w:val="32"/>
        </w:rPr>
        <w:t>“三公”经费支出</w:t>
      </w:r>
      <w:r>
        <w:rPr>
          <w:rFonts w:hint="eastAsia" w:ascii="仿宋" w:hAnsi="仿宋" w:eastAsia="仿宋" w:cs="仿宋"/>
          <w:kern w:val="0"/>
          <w:sz w:val="32"/>
          <w:szCs w:val="32"/>
          <w:lang w:eastAsia="zh-CN"/>
        </w:rPr>
        <w:t>年末</w:t>
      </w:r>
      <w:r>
        <w:rPr>
          <w:rFonts w:hint="eastAsia" w:ascii="仿宋" w:hAnsi="仿宋" w:eastAsia="仿宋" w:cs="仿宋"/>
          <w:kern w:val="0"/>
          <w:sz w:val="32"/>
          <w:szCs w:val="32"/>
        </w:rPr>
        <w:t>决算</w:t>
      </w:r>
      <w:r>
        <w:rPr>
          <w:rFonts w:hint="eastAsia" w:ascii="仿宋" w:hAnsi="仿宋" w:eastAsia="仿宋" w:cs="仿宋"/>
          <w:kern w:val="0"/>
          <w:sz w:val="32"/>
          <w:szCs w:val="32"/>
          <w:lang w:val="en-US" w:eastAsia="zh-CN"/>
        </w:rPr>
        <w:t>0.66</w:t>
      </w:r>
      <w:r>
        <w:rPr>
          <w:rFonts w:hint="eastAsia" w:ascii="仿宋" w:hAnsi="仿宋" w:eastAsia="仿宋" w:cs="仿宋"/>
          <w:kern w:val="0"/>
          <w:sz w:val="32"/>
          <w:szCs w:val="32"/>
        </w:rPr>
        <w:t>万</w:t>
      </w:r>
      <w:r>
        <w:rPr>
          <w:rFonts w:hint="eastAsia" w:ascii="仿宋" w:hAnsi="仿宋" w:eastAsia="仿宋" w:cs="仿宋"/>
          <w:kern w:val="0"/>
          <w:sz w:val="32"/>
          <w:szCs w:val="32"/>
          <w:lang w:eastAsia="zh-CN"/>
        </w:rPr>
        <w:t>，年初</w:t>
      </w:r>
      <w:r>
        <w:rPr>
          <w:rFonts w:hint="eastAsia" w:ascii="仿宋" w:hAnsi="仿宋" w:eastAsia="仿宋" w:cs="仿宋"/>
          <w:kern w:val="0"/>
          <w:sz w:val="32"/>
          <w:szCs w:val="32"/>
        </w:rPr>
        <w:t>预算</w:t>
      </w:r>
      <w:r>
        <w:rPr>
          <w:rFonts w:hint="eastAsia" w:ascii="仿宋" w:hAnsi="仿宋" w:eastAsia="仿宋" w:cs="仿宋"/>
          <w:kern w:val="0"/>
          <w:sz w:val="32"/>
          <w:szCs w:val="32"/>
          <w:lang w:val="en-US" w:eastAsia="zh-CN"/>
        </w:rPr>
        <w:t>14</w:t>
      </w:r>
      <w:r>
        <w:rPr>
          <w:rFonts w:hint="eastAsia" w:ascii="仿宋" w:hAnsi="仿宋" w:eastAsia="仿宋" w:cs="仿宋"/>
          <w:kern w:val="0"/>
          <w:sz w:val="32"/>
          <w:szCs w:val="32"/>
        </w:rPr>
        <w:t>万元，</w:t>
      </w:r>
      <w:r>
        <w:rPr>
          <w:rFonts w:hint="eastAsia" w:ascii="仿宋" w:hAnsi="仿宋" w:eastAsia="仿宋" w:cs="仿宋"/>
          <w:sz w:val="32"/>
          <w:szCs w:val="32"/>
          <w:lang w:val="en-US" w:eastAsia="zh-CN"/>
        </w:rPr>
        <w:t>支出比上年大幅减少，一是严控三公经费支出，二是因财政预算一体化核算未包含二级机构三公经费</w:t>
      </w:r>
      <w:r>
        <w:rPr>
          <w:rFonts w:hint="eastAsia" w:ascii="仿宋" w:hAnsi="仿宋" w:eastAsia="仿宋" w:cs="仿宋"/>
          <w:kern w:val="0"/>
          <w:sz w:val="32"/>
          <w:szCs w:val="32"/>
        </w:rPr>
        <w:t>。</w:t>
      </w:r>
    </w:p>
    <w:p>
      <w:pPr>
        <w:numPr>
          <w:ilvl w:val="0"/>
          <w:numId w:val="0"/>
        </w:numPr>
        <w:spacing w:line="560" w:lineRule="exact"/>
        <w:ind w:leftChars="200"/>
        <w:rPr>
          <w:rFonts w:hint="eastAsia" w:ascii="仿宋" w:hAnsi="仿宋" w:eastAsia="仿宋" w:cs="仿宋"/>
          <w:kern w:val="0"/>
          <w:sz w:val="32"/>
          <w:szCs w:val="32"/>
        </w:rPr>
      </w:pPr>
    </w:p>
    <w:p>
      <w:pPr>
        <w:spacing w:line="560" w:lineRule="exact"/>
        <w:ind w:firstLine="643" w:firstLineChars="200"/>
        <w:rPr>
          <w:rFonts w:hint="eastAsia" w:ascii="仿宋" w:hAnsi="仿宋" w:eastAsia="仿宋" w:cs="仿宋"/>
          <w:kern w:val="0"/>
          <w:sz w:val="32"/>
          <w:szCs w:val="32"/>
        </w:rPr>
      </w:pPr>
      <w:r>
        <w:rPr>
          <w:rFonts w:hint="eastAsia" w:ascii="仿宋" w:hAnsi="仿宋" w:eastAsia="仿宋" w:cs="仿宋"/>
          <w:b/>
          <w:bCs/>
          <w:kern w:val="0"/>
          <w:sz w:val="32"/>
          <w:szCs w:val="32"/>
        </w:rPr>
        <w:t>三、部门整体支出绩效评价情况</w:t>
      </w:r>
    </w:p>
    <w:p>
      <w:pPr>
        <w:spacing w:line="560" w:lineRule="exact"/>
        <w:ind w:firstLine="640" w:firstLineChars="200"/>
        <w:rPr>
          <w:rFonts w:hint="eastAsia" w:ascii="仿宋" w:hAnsi="仿宋" w:eastAsia="仿宋" w:cs="仿宋"/>
          <w:kern w:val="0"/>
          <w:sz w:val="32"/>
          <w:szCs w:val="32"/>
        </w:rPr>
      </w:pPr>
      <w:r>
        <w:rPr>
          <w:rFonts w:hint="eastAsia" w:ascii="仿宋" w:hAnsi="仿宋" w:eastAsia="仿宋" w:cs="仿宋"/>
          <w:kern w:val="0"/>
          <w:sz w:val="32"/>
          <w:szCs w:val="32"/>
        </w:rPr>
        <w:t>对照</w:t>
      </w:r>
      <w:r>
        <w:rPr>
          <w:rFonts w:hint="eastAsia" w:ascii="仿宋" w:hAnsi="仿宋" w:eastAsia="仿宋" w:cs="仿宋"/>
          <w:kern w:val="0"/>
          <w:sz w:val="32"/>
          <w:szCs w:val="32"/>
          <w:lang w:eastAsia="zh-CN"/>
        </w:rPr>
        <w:t>中央、省、市、县相关政策</w:t>
      </w:r>
      <w:r>
        <w:rPr>
          <w:rFonts w:hint="eastAsia" w:ascii="仿宋" w:hAnsi="仿宋" w:eastAsia="仿宋" w:cs="仿宋"/>
          <w:kern w:val="0"/>
          <w:sz w:val="32"/>
          <w:szCs w:val="32"/>
        </w:rPr>
        <w:t>规定，我</w:t>
      </w:r>
      <w:r>
        <w:rPr>
          <w:rFonts w:hint="eastAsia" w:ascii="仿宋" w:hAnsi="仿宋" w:eastAsia="仿宋" w:cs="仿宋"/>
          <w:kern w:val="0"/>
          <w:sz w:val="32"/>
          <w:szCs w:val="32"/>
          <w:lang w:eastAsia="zh-CN"/>
        </w:rPr>
        <w:t>中心</w:t>
      </w:r>
      <w:r>
        <w:rPr>
          <w:rFonts w:hint="eastAsia" w:ascii="仿宋" w:hAnsi="仿宋" w:eastAsia="仿宋" w:cs="仿宋"/>
          <w:kern w:val="0"/>
          <w:sz w:val="32"/>
          <w:szCs w:val="32"/>
        </w:rPr>
        <w:t>从预算编制、预算配置、固定资产管理、职责履行及各项指标完成情况等方面对20</w:t>
      </w:r>
      <w:r>
        <w:rPr>
          <w:rFonts w:hint="eastAsia" w:ascii="仿宋" w:hAnsi="仿宋" w:eastAsia="仿宋" w:cs="仿宋"/>
          <w:kern w:val="0"/>
          <w:sz w:val="32"/>
          <w:szCs w:val="32"/>
          <w:lang w:val="en-US" w:eastAsia="zh-CN"/>
        </w:rPr>
        <w:t>23</w:t>
      </w:r>
      <w:r>
        <w:rPr>
          <w:rFonts w:hint="eastAsia" w:ascii="仿宋" w:hAnsi="仿宋" w:eastAsia="仿宋" w:cs="仿宋"/>
          <w:kern w:val="0"/>
          <w:sz w:val="32"/>
          <w:szCs w:val="32"/>
        </w:rPr>
        <w:t>年部门整体支出绩效开展了评价</w:t>
      </w:r>
      <w:r>
        <w:rPr>
          <w:rFonts w:hint="eastAsia" w:ascii="仿宋" w:hAnsi="仿宋" w:eastAsia="仿宋" w:cs="仿宋"/>
          <w:kern w:val="0"/>
          <w:sz w:val="32"/>
          <w:szCs w:val="32"/>
          <w:lang w:val="en-US" w:eastAsia="zh-CN"/>
        </w:rPr>
        <w:t>,综合得分94分，部门整体支出绩效自评为“优”。部分评价指标</w:t>
      </w:r>
      <w:r>
        <w:rPr>
          <w:rFonts w:hint="eastAsia" w:ascii="仿宋" w:hAnsi="仿宋" w:eastAsia="仿宋" w:cs="仿宋"/>
          <w:kern w:val="0"/>
          <w:sz w:val="32"/>
          <w:szCs w:val="32"/>
        </w:rPr>
        <w:t>具体</w:t>
      </w:r>
      <w:r>
        <w:rPr>
          <w:rFonts w:hint="eastAsia" w:ascii="仿宋" w:hAnsi="仿宋" w:eastAsia="仿宋" w:cs="仿宋"/>
          <w:kern w:val="0"/>
          <w:sz w:val="32"/>
          <w:szCs w:val="32"/>
          <w:lang w:eastAsia="zh-CN"/>
        </w:rPr>
        <w:t>分析</w:t>
      </w:r>
      <w:r>
        <w:rPr>
          <w:rFonts w:hint="eastAsia" w:ascii="仿宋" w:hAnsi="仿宋" w:eastAsia="仿宋" w:cs="仿宋"/>
          <w:kern w:val="0"/>
          <w:sz w:val="32"/>
          <w:szCs w:val="32"/>
        </w:rPr>
        <w:t>如下：</w:t>
      </w:r>
    </w:p>
    <w:p>
      <w:pPr>
        <w:keepNext w:val="0"/>
        <w:keepLines w:val="0"/>
        <w:pageBreakBefore w:val="0"/>
        <w:numPr>
          <w:ilvl w:val="0"/>
          <w:numId w:val="1"/>
        </w:numPr>
        <w:kinsoku/>
        <w:wordWrap/>
        <w:overflowPunct/>
        <w:topLinePunct w:val="0"/>
        <w:autoSpaceDE/>
        <w:autoSpaceDN/>
        <w:bidi w:val="0"/>
        <w:spacing w:line="560" w:lineRule="exact"/>
        <w:ind w:firstLine="643" w:firstLineChars="200"/>
        <w:textAlignment w:val="auto"/>
        <w:rPr>
          <w:rFonts w:hint="eastAsia" w:ascii="仿宋" w:hAnsi="仿宋" w:eastAsia="仿宋" w:cs="仿宋"/>
          <w:b/>
          <w:bCs/>
          <w:i w:val="0"/>
          <w:iCs w:val="0"/>
          <w:color w:val="333333"/>
          <w:kern w:val="0"/>
          <w:sz w:val="32"/>
          <w:szCs w:val="32"/>
        </w:rPr>
      </w:pPr>
      <w:r>
        <w:rPr>
          <w:rFonts w:hint="eastAsia" w:ascii="仿宋" w:hAnsi="仿宋" w:eastAsia="仿宋" w:cs="仿宋"/>
          <w:b/>
          <w:bCs/>
          <w:sz w:val="32"/>
          <w:szCs w:val="32"/>
        </w:rPr>
        <w:t>投入</w:t>
      </w:r>
    </w:p>
    <w:p>
      <w:pPr>
        <w:keepNext w:val="0"/>
        <w:keepLines w:val="0"/>
        <w:pageBreakBefore w:val="0"/>
        <w:numPr>
          <w:ilvl w:val="0"/>
          <w:numId w:val="0"/>
        </w:numPr>
        <w:kinsoku/>
        <w:wordWrap/>
        <w:overflowPunct/>
        <w:topLinePunct w:val="0"/>
        <w:autoSpaceDE/>
        <w:autoSpaceDN/>
        <w:bidi w:val="0"/>
        <w:spacing w:line="560" w:lineRule="exact"/>
        <w:ind w:firstLine="643" w:firstLineChars="200"/>
        <w:textAlignment w:val="auto"/>
        <w:rPr>
          <w:rFonts w:hint="eastAsia" w:ascii="仿宋" w:hAnsi="仿宋" w:eastAsia="仿宋" w:cs="仿宋"/>
          <w:b/>
          <w:bCs/>
          <w:i w:val="0"/>
          <w:iCs w:val="0"/>
          <w:color w:val="333333"/>
          <w:kern w:val="0"/>
          <w:sz w:val="32"/>
          <w:szCs w:val="32"/>
        </w:rPr>
      </w:pPr>
      <w:r>
        <w:rPr>
          <w:rFonts w:hint="eastAsia" w:ascii="仿宋" w:hAnsi="仿宋" w:eastAsia="仿宋" w:cs="仿宋"/>
          <w:b/>
          <w:bCs/>
          <w:i w:val="0"/>
          <w:iCs w:val="0"/>
          <w:color w:val="333333"/>
          <w:kern w:val="0"/>
          <w:sz w:val="32"/>
          <w:szCs w:val="32"/>
        </w:rPr>
        <w:t>（</w:t>
      </w:r>
      <w:r>
        <w:rPr>
          <w:rFonts w:hint="eastAsia" w:ascii="仿宋" w:hAnsi="仿宋" w:eastAsia="仿宋" w:cs="仿宋"/>
          <w:b/>
          <w:bCs/>
          <w:i w:val="0"/>
          <w:iCs w:val="0"/>
          <w:color w:val="333333"/>
          <w:kern w:val="0"/>
          <w:sz w:val="32"/>
          <w:szCs w:val="32"/>
          <w:lang w:val="en-US" w:eastAsia="zh-CN"/>
        </w:rPr>
        <w:t>1</w:t>
      </w:r>
      <w:r>
        <w:rPr>
          <w:rFonts w:hint="eastAsia" w:ascii="仿宋" w:hAnsi="仿宋" w:eastAsia="仿宋" w:cs="仿宋"/>
          <w:b/>
          <w:bCs/>
          <w:i w:val="0"/>
          <w:iCs w:val="0"/>
          <w:color w:val="333333"/>
          <w:kern w:val="0"/>
          <w:sz w:val="32"/>
          <w:szCs w:val="32"/>
        </w:rPr>
        <w:t>）预算配置指标</w:t>
      </w:r>
    </w:p>
    <w:p>
      <w:pPr>
        <w:keepNext w:val="0"/>
        <w:keepLines w:val="0"/>
        <w:pageBreakBefore w:val="0"/>
        <w:kinsoku/>
        <w:wordWrap/>
        <w:overflowPunct/>
        <w:topLinePunct w:val="0"/>
        <w:autoSpaceDE/>
        <w:autoSpaceDN/>
        <w:bidi w:val="0"/>
        <w:spacing w:line="560" w:lineRule="exact"/>
        <w:ind w:firstLine="640" w:firstLineChars="200"/>
        <w:textAlignment w:val="auto"/>
        <w:rPr>
          <w:rFonts w:hint="eastAsia" w:ascii="仿宋" w:hAnsi="仿宋" w:eastAsia="仿宋" w:cs="仿宋"/>
          <w:b w:val="0"/>
          <w:bCs w:val="0"/>
          <w:i w:val="0"/>
          <w:iCs w:val="0"/>
          <w:color w:val="333333"/>
          <w:kern w:val="0"/>
          <w:sz w:val="32"/>
          <w:szCs w:val="32"/>
          <w:lang w:val="en-US" w:eastAsia="zh-CN"/>
        </w:rPr>
      </w:pPr>
      <w:r>
        <w:rPr>
          <w:rFonts w:hint="eastAsia" w:ascii="仿宋" w:hAnsi="仿宋" w:eastAsia="仿宋" w:cs="仿宋"/>
          <w:b w:val="0"/>
          <w:bCs w:val="0"/>
          <w:i w:val="0"/>
          <w:iCs w:val="0"/>
          <w:color w:val="333333"/>
          <w:kern w:val="0"/>
          <w:sz w:val="32"/>
          <w:szCs w:val="32"/>
          <w:lang w:eastAsia="zh-CN"/>
        </w:rPr>
        <w:t>在职人员控制率：单位本年末在</w:t>
      </w:r>
      <w:r>
        <w:rPr>
          <w:rFonts w:hint="eastAsia" w:ascii="仿宋" w:hAnsi="仿宋" w:eastAsia="仿宋" w:cs="仿宋"/>
          <w:b w:val="0"/>
          <w:bCs w:val="0"/>
          <w:i w:val="0"/>
          <w:iCs w:val="0"/>
          <w:color w:val="333333"/>
          <w:kern w:val="0"/>
          <w:sz w:val="32"/>
          <w:szCs w:val="32"/>
          <w:lang w:val="en-US" w:eastAsia="zh-CN"/>
        </w:rPr>
        <w:t>编</w:t>
      </w:r>
      <w:r>
        <w:rPr>
          <w:rFonts w:hint="eastAsia" w:ascii="仿宋" w:hAnsi="仿宋" w:eastAsia="仿宋" w:cs="仿宋"/>
          <w:b w:val="0"/>
          <w:bCs w:val="0"/>
          <w:i w:val="0"/>
          <w:iCs w:val="0"/>
          <w:color w:val="333333"/>
          <w:kern w:val="0"/>
          <w:sz w:val="32"/>
          <w:szCs w:val="32"/>
          <w:lang w:eastAsia="zh-CN"/>
        </w:rPr>
        <w:t>人数</w:t>
      </w:r>
      <w:r>
        <w:rPr>
          <w:rFonts w:hint="eastAsia" w:ascii="仿宋" w:hAnsi="仿宋" w:eastAsia="仿宋" w:cs="仿宋"/>
          <w:b w:val="0"/>
          <w:bCs w:val="0"/>
          <w:i w:val="0"/>
          <w:iCs w:val="0"/>
          <w:color w:val="333333"/>
          <w:kern w:val="0"/>
          <w:sz w:val="32"/>
          <w:szCs w:val="32"/>
          <w:lang w:val="en-US" w:eastAsia="zh-CN"/>
        </w:rPr>
        <w:t>75人，编制职数82人，在职人员控制率91.5%，该项指标不扣分。</w:t>
      </w:r>
    </w:p>
    <w:p>
      <w:pPr>
        <w:keepNext w:val="0"/>
        <w:keepLines w:val="0"/>
        <w:pageBreakBefore w:val="0"/>
        <w:kinsoku/>
        <w:wordWrap/>
        <w:overflowPunct/>
        <w:topLinePunct w:val="0"/>
        <w:autoSpaceDE/>
        <w:autoSpaceDN/>
        <w:bidi w:val="0"/>
        <w:spacing w:line="560" w:lineRule="exact"/>
        <w:ind w:firstLine="640" w:firstLineChars="200"/>
        <w:textAlignment w:val="auto"/>
        <w:rPr>
          <w:rFonts w:hint="eastAsia" w:ascii="仿宋" w:hAnsi="仿宋" w:eastAsia="仿宋" w:cs="仿宋"/>
          <w:b w:val="0"/>
          <w:bCs w:val="0"/>
          <w:i w:val="0"/>
          <w:iCs w:val="0"/>
          <w:color w:val="333333"/>
          <w:kern w:val="0"/>
          <w:sz w:val="32"/>
          <w:szCs w:val="32"/>
          <w:lang w:val="en-US" w:eastAsia="zh-CN"/>
        </w:rPr>
      </w:pPr>
      <w:r>
        <w:rPr>
          <w:rFonts w:hint="eastAsia" w:ascii="仿宋" w:hAnsi="仿宋" w:eastAsia="仿宋" w:cs="仿宋"/>
          <w:b w:val="0"/>
          <w:bCs w:val="0"/>
          <w:i w:val="0"/>
          <w:iCs w:val="0"/>
          <w:color w:val="333333"/>
          <w:kern w:val="0"/>
          <w:sz w:val="32"/>
          <w:szCs w:val="32"/>
          <w:lang w:eastAsia="zh-CN"/>
        </w:rPr>
        <w:t>“三公经费”变动率：（本年</w:t>
      </w:r>
      <w:r>
        <w:rPr>
          <w:rFonts w:hint="eastAsia" w:ascii="仿宋" w:hAnsi="仿宋" w:eastAsia="仿宋" w:cs="仿宋"/>
          <w:b w:val="0"/>
          <w:bCs w:val="0"/>
          <w:i w:val="0"/>
          <w:iCs w:val="0"/>
          <w:color w:val="333333"/>
          <w:kern w:val="0"/>
          <w:sz w:val="32"/>
          <w:szCs w:val="32"/>
          <w:lang w:val="en-US" w:eastAsia="zh-CN"/>
        </w:rPr>
        <w:t>“三公经费”总额0.66万元-上年“三公经费”2.72万元）/上年“三公经费”2.72万元=-75.7%，</w:t>
      </w:r>
      <w:r>
        <w:rPr>
          <w:rFonts w:hint="eastAsia" w:ascii="仿宋" w:hAnsi="仿宋" w:eastAsia="仿宋" w:cs="仿宋"/>
          <w:b w:val="0"/>
          <w:bCs w:val="0"/>
          <w:i w:val="0"/>
          <w:iCs w:val="0"/>
          <w:color w:val="333333"/>
          <w:kern w:val="0"/>
          <w:sz w:val="32"/>
          <w:szCs w:val="32"/>
        </w:rPr>
        <w:t>“三公经费”</w:t>
      </w:r>
      <w:r>
        <w:rPr>
          <w:rFonts w:hint="eastAsia" w:ascii="仿宋" w:hAnsi="仿宋" w:eastAsia="仿宋" w:cs="仿宋"/>
          <w:b w:val="0"/>
          <w:bCs w:val="0"/>
          <w:i w:val="0"/>
          <w:iCs w:val="0"/>
          <w:color w:val="333333"/>
          <w:kern w:val="0"/>
          <w:sz w:val="32"/>
          <w:szCs w:val="32"/>
          <w:lang w:eastAsia="zh-CN"/>
        </w:rPr>
        <w:t>变动率</w:t>
      </w:r>
      <w:r>
        <w:rPr>
          <w:rFonts w:hint="eastAsia" w:ascii="仿宋" w:hAnsi="仿宋" w:eastAsia="仿宋" w:cs="仿宋"/>
          <w:b w:val="0"/>
          <w:bCs w:val="0"/>
          <w:i w:val="0"/>
          <w:iCs w:val="0"/>
          <w:color w:val="333333"/>
          <w:kern w:val="0"/>
          <w:sz w:val="32"/>
          <w:szCs w:val="32"/>
          <w:lang w:val="en-US" w:eastAsia="zh-CN"/>
        </w:rPr>
        <w:t>少</w:t>
      </w:r>
      <w:r>
        <w:rPr>
          <w:rFonts w:hint="eastAsia" w:ascii="仿宋" w:hAnsi="仿宋" w:eastAsia="仿宋" w:cs="仿宋"/>
          <w:b w:val="0"/>
          <w:bCs w:val="0"/>
          <w:i w:val="0"/>
          <w:iCs w:val="0"/>
          <w:color w:val="333333"/>
          <w:kern w:val="0"/>
          <w:sz w:val="32"/>
          <w:szCs w:val="32"/>
          <w:lang w:eastAsia="zh-CN"/>
        </w:rPr>
        <w:t>于</w:t>
      </w:r>
      <w:r>
        <w:rPr>
          <w:rFonts w:hint="eastAsia" w:ascii="仿宋" w:hAnsi="仿宋" w:eastAsia="仿宋" w:cs="仿宋"/>
          <w:b w:val="0"/>
          <w:bCs w:val="0"/>
          <w:i w:val="0"/>
          <w:iCs w:val="0"/>
          <w:color w:val="333333"/>
          <w:kern w:val="0"/>
          <w:sz w:val="32"/>
          <w:szCs w:val="32"/>
          <w:lang w:val="en-US" w:eastAsia="zh-CN"/>
        </w:rPr>
        <w:t>零</w:t>
      </w:r>
      <w:r>
        <w:rPr>
          <w:rFonts w:hint="eastAsia" w:ascii="仿宋" w:hAnsi="仿宋" w:eastAsia="仿宋" w:cs="仿宋"/>
          <w:b w:val="0"/>
          <w:bCs w:val="0"/>
          <w:i w:val="0"/>
          <w:iCs w:val="0"/>
          <w:color w:val="333333"/>
          <w:kern w:val="0"/>
          <w:sz w:val="32"/>
          <w:szCs w:val="32"/>
        </w:rPr>
        <w:t>。</w:t>
      </w:r>
      <w:r>
        <w:rPr>
          <w:rFonts w:hint="eastAsia" w:ascii="仿宋" w:hAnsi="仿宋" w:eastAsia="仿宋" w:cs="仿宋"/>
          <w:b w:val="0"/>
          <w:bCs w:val="0"/>
          <w:i w:val="0"/>
          <w:iCs w:val="0"/>
          <w:color w:val="333333"/>
          <w:kern w:val="0"/>
          <w:sz w:val="32"/>
          <w:szCs w:val="32"/>
          <w:lang w:eastAsia="zh-CN"/>
        </w:rPr>
        <w:t>根据考核评分标准，该项指标得满分</w:t>
      </w:r>
      <w:r>
        <w:rPr>
          <w:rFonts w:hint="eastAsia" w:ascii="仿宋" w:hAnsi="仿宋" w:eastAsia="仿宋" w:cs="仿宋"/>
          <w:b w:val="0"/>
          <w:bCs w:val="0"/>
          <w:i w:val="0"/>
          <w:iCs w:val="0"/>
          <w:color w:val="333333"/>
          <w:kern w:val="0"/>
          <w:sz w:val="32"/>
          <w:szCs w:val="32"/>
          <w:lang w:val="en-US" w:eastAsia="zh-CN"/>
        </w:rPr>
        <w:t>2分。</w:t>
      </w:r>
    </w:p>
    <w:p>
      <w:pPr>
        <w:keepNext w:val="0"/>
        <w:keepLines w:val="0"/>
        <w:pageBreakBefore w:val="0"/>
        <w:kinsoku/>
        <w:wordWrap/>
        <w:overflowPunct/>
        <w:topLinePunct w:val="0"/>
        <w:autoSpaceDE/>
        <w:autoSpaceDN/>
        <w:bidi w:val="0"/>
        <w:spacing w:line="560" w:lineRule="exact"/>
        <w:ind w:firstLine="640" w:firstLineChars="200"/>
        <w:textAlignment w:val="auto"/>
        <w:rPr>
          <w:rFonts w:hint="eastAsia" w:ascii="仿宋" w:hAnsi="仿宋" w:eastAsia="仿宋" w:cs="仿宋"/>
          <w:b w:val="0"/>
          <w:bCs w:val="0"/>
          <w:i w:val="0"/>
          <w:iCs w:val="0"/>
          <w:color w:val="333333"/>
          <w:kern w:val="0"/>
          <w:sz w:val="32"/>
          <w:szCs w:val="32"/>
          <w:lang w:val="en-US" w:eastAsia="zh-CN"/>
        </w:rPr>
      </w:pPr>
      <w:r>
        <w:rPr>
          <w:rFonts w:hint="eastAsia" w:ascii="仿宋" w:hAnsi="仿宋" w:eastAsia="仿宋" w:cs="仿宋"/>
          <w:b w:val="0"/>
          <w:bCs w:val="0"/>
          <w:i w:val="0"/>
          <w:iCs w:val="0"/>
          <w:color w:val="333333"/>
          <w:kern w:val="0"/>
          <w:sz w:val="32"/>
          <w:szCs w:val="32"/>
          <w:lang w:val="en-US" w:eastAsia="zh-CN"/>
        </w:rPr>
        <w:t>重点支出安排率：重点项目支出3616万元/项目总支出4092.43万元*100%=88%。网络安全等级保护项目、村村响、户户通、无线数字覆盖、石牛峰差转台运维等均为公益性民生项目，与本部门履职和发展密切相关，具有明显的社会和经济影响。因决算项目总支出包含结算资金收入以及调整预算拨款，故重点支出安排率达不到要求。所以该项指标得0分。</w:t>
      </w:r>
    </w:p>
    <w:p>
      <w:pPr>
        <w:keepNext w:val="0"/>
        <w:keepLines w:val="0"/>
        <w:pageBreakBefore w:val="0"/>
        <w:kinsoku/>
        <w:wordWrap/>
        <w:overflowPunct/>
        <w:topLinePunct w:val="0"/>
        <w:autoSpaceDE/>
        <w:autoSpaceDN/>
        <w:bidi w:val="0"/>
        <w:spacing w:line="560" w:lineRule="exact"/>
        <w:ind w:firstLine="643" w:firstLineChars="200"/>
        <w:textAlignment w:val="auto"/>
        <w:rPr>
          <w:rFonts w:hint="eastAsia" w:ascii="仿宋" w:hAnsi="仿宋" w:eastAsia="仿宋" w:cs="仿宋"/>
          <w:b/>
          <w:bCs/>
          <w:i w:val="0"/>
          <w:iCs w:val="0"/>
          <w:color w:val="333333"/>
          <w:kern w:val="0"/>
          <w:sz w:val="32"/>
          <w:szCs w:val="32"/>
          <w:lang w:eastAsia="zh-CN"/>
        </w:rPr>
      </w:pPr>
      <w:r>
        <w:rPr>
          <w:rFonts w:hint="eastAsia" w:ascii="仿宋" w:hAnsi="仿宋" w:eastAsia="仿宋" w:cs="仿宋"/>
          <w:b/>
          <w:bCs/>
          <w:i w:val="0"/>
          <w:iCs w:val="0"/>
          <w:color w:val="333333"/>
          <w:kern w:val="0"/>
          <w:sz w:val="32"/>
          <w:szCs w:val="32"/>
          <w:lang w:eastAsia="zh-CN"/>
        </w:rPr>
        <w:t>（二）过程</w:t>
      </w:r>
    </w:p>
    <w:p>
      <w:pPr>
        <w:keepNext w:val="0"/>
        <w:keepLines w:val="0"/>
        <w:pageBreakBefore w:val="0"/>
        <w:kinsoku/>
        <w:wordWrap/>
        <w:overflowPunct/>
        <w:topLinePunct w:val="0"/>
        <w:autoSpaceDE/>
        <w:autoSpaceDN/>
        <w:bidi w:val="0"/>
        <w:spacing w:line="560" w:lineRule="exact"/>
        <w:ind w:firstLine="643" w:firstLineChars="200"/>
        <w:textAlignment w:val="auto"/>
        <w:rPr>
          <w:rFonts w:hint="eastAsia" w:ascii="仿宋" w:hAnsi="仿宋" w:eastAsia="仿宋" w:cs="仿宋"/>
          <w:b w:val="0"/>
          <w:bCs w:val="0"/>
          <w:i w:val="0"/>
          <w:iCs w:val="0"/>
          <w:color w:val="333333"/>
          <w:kern w:val="0"/>
          <w:sz w:val="32"/>
          <w:szCs w:val="32"/>
        </w:rPr>
      </w:pPr>
      <w:r>
        <w:rPr>
          <w:rFonts w:hint="eastAsia" w:ascii="仿宋" w:hAnsi="仿宋" w:eastAsia="仿宋" w:cs="仿宋"/>
          <w:b/>
          <w:bCs/>
          <w:i w:val="0"/>
          <w:iCs w:val="0"/>
          <w:color w:val="333333"/>
          <w:kern w:val="0"/>
          <w:sz w:val="32"/>
          <w:szCs w:val="32"/>
        </w:rPr>
        <w:t>（</w:t>
      </w:r>
      <w:r>
        <w:rPr>
          <w:rFonts w:hint="eastAsia" w:ascii="仿宋" w:hAnsi="仿宋" w:eastAsia="仿宋" w:cs="仿宋"/>
          <w:b/>
          <w:bCs/>
          <w:i w:val="0"/>
          <w:iCs w:val="0"/>
          <w:color w:val="333333"/>
          <w:kern w:val="0"/>
          <w:sz w:val="32"/>
          <w:szCs w:val="32"/>
          <w:lang w:val="en-US" w:eastAsia="zh-CN"/>
        </w:rPr>
        <w:t>2</w:t>
      </w:r>
      <w:r>
        <w:rPr>
          <w:rFonts w:hint="eastAsia" w:ascii="仿宋" w:hAnsi="仿宋" w:eastAsia="仿宋" w:cs="仿宋"/>
          <w:b/>
          <w:bCs/>
          <w:i w:val="0"/>
          <w:iCs w:val="0"/>
          <w:color w:val="333333"/>
          <w:kern w:val="0"/>
          <w:sz w:val="32"/>
          <w:szCs w:val="32"/>
        </w:rPr>
        <w:t>）预算执行指标</w:t>
      </w:r>
    </w:p>
    <w:p>
      <w:pPr>
        <w:keepNext w:val="0"/>
        <w:keepLines w:val="0"/>
        <w:pageBreakBefore w:val="0"/>
        <w:kinsoku/>
        <w:wordWrap/>
        <w:overflowPunct/>
        <w:topLinePunct w:val="0"/>
        <w:autoSpaceDE/>
        <w:autoSpaceDN/>
        <w:bidi w:val="0"/>
        <w:spacing w:line="560" w:lineRule="exact"/>
        <w:ind w:firstLine="640" w:firstLineChars="200"/>
        <w:textAlignment w:val="auto"/>
        <w:rPr>
          <w:rFonts w:hint="eastAsia" w:ascii="仿宋" w:hAnsi="仿宋" w:eastAsia="仿宋" w:cs="仿宋"/>
          <w:b w:val="0"/>
          <w:bCs w:val="0"/>
          <w:i w:val="0"/>
          <w:iCs w:val="0"/>
          <w:color w:val="333333"/>
          <w:kern w:val="0"/>
          <w:sz w:val="32"/>
          <w:szCs w:val="32"/>
          <w:lang w:val="en-US" w:eastAsia="zh-CN"/>
        </w:rPr>
      </w:pPr>
      <w:r>
        <w:rPr>
          <w:rFonts w:hint="eastAsia" w:ascii="仿宋" w:hAnsi="仿宋" w:eastAsia="仿宋" w:cs="仿宋"/>
          <w:b w:val="0"/>
          <w:bCs w:val="0"/>
          <w:i w:val="0"/>
          <w:iCs w:val="0"/>
          <w:color w:val="333333"/>
          <w:kern w:val="0"/>
          <w:sz w:val="32"/>
          <w:szCs w:val="32"/>
          <w:lang w:eastAsia="zh-CN"/>
        </w:rPr>
        <w:t>预算执行率：分值</w:t>
      </w:r>
      <w:r>
        <w:rPr>
          <w:rFonts w:hint="eastAsia" w:ascii="仿宋" w:hAnsi="仿宋" w:eastAsia="仿宋" w:cs="仿宋"/>
          <w:b w:val="0"/>
          <w:bCs w:val="0"/>
          <w:i w:val="0"/>
          <w:iCs w:val="0"/>
          <w:color w:val="333333"/>
          <w:kern w:val="0"/>
          <w:sz w:val="32"/>
          <w:szCs w:val="32"/>
          <w:lang w:val="en-US" w:eastAsia="zh-CN"/>
        </w:rPr>
        <w:t>=</w:t>
      </w:r>
      <w:r>
        <w:rPr>
          <w:rFonts w:hint="eastAsia" w:ascii="仿宋" w:hAnsi="仿宋" w:eastAsia="仿宋" w:cs="仿宋"/>
          <w:b w:val="0"/>
          <w:bCs w:val="0"/>
          <w:i w:val="0"/>
          <w:iCs w:val="0"/>
          <w:color w:val="333333"/>
          <w:kern w:val="0"/>
          <w:sz w:val="32"/>
          <w:szCs w:val="32"/>
          <w:lang w:eastAsia="zh-CN"/>
        </w:rPr>
        <w:t>预算执行数</w:t>
      </w:r>
      <w:r>
        <w:rPr>
          <w:rFonts w:hint="eastAsia" w:ascii="仿宋" w:hAnsi="仿宋" w:eastAsia="仿宋" w:cs="仿宋"/>
          <w:b w:val="0"/>
          <w:bCs w:val="0"/>
          <w:i w:val="0"/>
          <w:iCs w:val="0"/>
          <w:color w:val="333333"/>
          <w:kern w:val="0"/>
          <w:sz w:val="32"/>
          <w:szCs w:val="32"/>
          <w:lang w:val="en-US" w:eastAsia="zh-CN"/>
        </w:rPr>
        <w:t>4801.07万元/预算数4801.07万*100%*2=2分。预算完成数包含年初预算以及年中调整数。</w:t>
      </w:r>
    </w:p>
    <w:p>
      <w:pPr>
        <w:keepNext w:val="0"/>
        <w:keepLines w:val="0"/>
        <w:pageBreakBefore w:val="0"/>
        <w:kinsoku/>
        <w:wordWrap/>
        <w:overflowPunct/>
        <w:topLinePunct w:val="0"/>
        <w:autoSpaceDE/>
        <w:autoSpaceDN/>
        <w:bidi w:val="0"/>
        <w:spacing w:line="560" w:lineRule="exact"/>
        <w:ind w:firstLine="640" w:firstLineChars="200"/>
        <w:textAlignment w:val="auto"/>
        <w:rPr>
          <w:rFonts w:hint="eastAsia" w:ascii="仿宋" w:hAnsi="仿宋" w:eastAsia="仿宋" w:cs="仿宋"/>
          <w:b w:val="0"/>
          <w:bCs w:val="0"/>
          <w:i w:val="0"/>
          <w:iCs w:val="0"/>
          <w:color w:val="333333"/>
          <w:kern w:val="0"/>
          <w:sz w:val="32"/>
          <w:szCs w:val="32"/>
          <w:lang w:val="en-US" w:eastAsia="zh-CN"/>
        </w:rPr>
      </w:pPr>
      <w:r>
        <w:rPr>
          <w:rFonts w:hint="eastAsia" w:ascii="仿宋" w:hAnsi="仿宋" w:eastAsia="仿宋" w:cs="仿宋"/>
          <w:b w:val="0"/>
          <w:bCs w:val="0"/>
          <w:i w:val="0"/>
          <w:iCs w:val="0"/>
          <w:color w:val="333333"/>
          <w:kern w:val="0"/>
          <w:sz w:val="32"/>
          <w:szCs w:val="32"/>
          <w:lang w:val="en-US" w:eastAsia="zh-CN"/>
        </w:rPr>
        <w:t>本年预算调整</w:t>
      </w:r>
      <w:r>
        <w:rPr>
          <w:rFonts w:hint="eastAsia" w:ascii="仿宋" w:hAnsi="仿宋" w:eastAsia="仿宋" w:cs="仿宋"/>
          <w:b w:val="0"/>
          <w:bCs w:val="0"/>
          <w:i w:val="0"/>
          <w:iCs w:val="0"/>
          <w:color w:val="333333"/>
          <w:kern w:val="0"/>
          <w:sz w:val="32"/>
          <w:szCs w:val="32"/>
          <w:lang w:eastAsia="zh-CN"/>
        </w:rPr>
        <w:t>原因：</w:t>
      </w:r>
      <w:r>
        <w:rPr>
          <w:rFonts w:hint="eastAsia" w:ascii="仿宋" w:hAnsi="仿宋" w:eastAsia="仿宋" w:cs="仿宋"/>
          <w:b w:val="0"/>
          <w:bCs w:val="0"/>
          <w:i w:val="0"/>
          <w:iCs w:val="0"/>
          <w:color w:val="333333"/>
          <w:kern w:val="0"/>
          <w:sz w:val="32"/>
          <w:szCs w:val="32"/>
          <w:lang w:val="en-US" w:eastAsia="zh-CN"/>
        </w:rPr>
        <w:t>1、</w:t>
      </w:r>
      <w:r>
        <w:rPr>
          <w:rFonts w:hint="eastAsia" w:ascii="仿宋" w:hAnsi="仿宋" w:eastAsia="仿宋" w:cs="仿宋"/>
          <w:b w:val="0"/>
          <w:bCs w:val="0"/>
          <w:i w:val="0"/>
          <w:iCs w:val="0"/>
          <w:color w:val="333333"/>
          <w:kern w:val="0"/>
          <w:sz w:val="32"/>
          <w:szCs w:val="32"/>
        </w:rPr>
        <w:t>政策性追加人员经费（</w:t>
      </w:r>
      <w:r>
        <w:rPr>
          <w:rFonts w:hint="eastAsia" w:ascii="仿宋" w:hAnsi="仿宋" w:eastAsia="仿宋" w:cs="仿宋"/>
          <w:b w:val="0"/>
          <w:bCs w:val="0"/>
          <w:i w:val="0"/>
          <w:iCs w:val="0"/>
          <w:kern w:val="0"/>
          <w:sz w:val="32"/>
          <w:szCs w:val="32"/>
        </w:rPr>
        <w:t>行政事业单位基本工资提标、</w:t>
      </w:r>
      <w:r>
        <w:rPr>
          <w:rFonts w:hint="eastAsia" w:ascii="仿宋" w:hAnsi="仿宋" w:eastAsia="仿宋" w:cs="仿宋"/>
          <w:b w:val="0"/>
          <w:bCs w:val="0"/>
          <w:i w:val="0"/>
          <w:iCs w:val="0"/>
          <w:kern w:val="0"/>
          <w:sz w:val="32"/>
          <w:szCs w:val="32"/>
          <w:lang w:val="en-US" w:eastAsia="zh-CN"/>
        </w:rPr>
        <w:t>绩效工资等</w:t>
      </w:r>
      <w:r>
        <w:rPr>
          <w:rFonts w:hint="eastAsia" w:ascii="仿宋" w:hAnsi="仿宋" w:eastAsia="仿宋" w:cs="仿宋"/>
          <w:b w:val="0"/>
          <w:bCs w:val="0"/>
          <w:i w:val="0"/>
          <w:iCs w:val="0"/>
          <w:kern w:val="0"/>
          <w:sz w:val="32"/>
          <w:szCs w:val="32"/>
        </w:rPr>
        <w:t>）</w:t>
      </w:r>
      <w:r>
        <w:rPr>
          <w:rFonts w:hint="eastAsia" w:ascii="仿宋" w:hAnsi="仿宋" w:eastAsia="仿宋" w:cs="仿宋"/>
          <w:b w:val="0"/>
          <w:bCs w:val="0"/>
          <w:i w:val="0"/>
          <w:iCs w:val="0"/>
          <w:kern w:val="0"/>
          <w:sz w:val="32"/>
          <w:szCs w:val="32"/>
          <w:lang w:eastAsia="zh-CN"/>
        </w:rPr>
        <w:t>；</w:t>
      </w:r>
      <w:r>
        <w:rPr>
          <w:rFonts w:hint="eastAsia" w:ascii="仿宋" w:hAnsi="仿宋" w:eastAsia="仿宋" w:cs="仿宋"/>
          <w:b w:val="0"/>
          <w:bCs w:val="0"/>
          <w:i w:val="0"/>
          <w:iCs w:val="0"/>
          <w:kern w:val="0"/>
          <w:sz w:val="32"/>
          <w:szCs w:val="32"/>
          <w:lang w:val="en-US" w:eastAsia="zh-CN"/>
        </w:rPr>
        <w:t>2、上级及本级专项经费预算增加；3、</w:t>
      </w:r>
      <w:r>
        <w:rPr>
          <w:rFonts w:hint="eastAsia" w:ascii="仿宋" w:hAnsi="仿宋" w:eastAsia="仿宋" w:cs="仿宋"/>
          <w:sz w:val="32"/>
          <w:szCs w:val="32"/>
        </w:rPr>
        <w:t>非财政拨款收入</w:t>
      </w:r>
      <w:r>
        <w:rPr>
          <w:rFonts w:hint="eastAsia" w:ascii="仿宋" w:hAnsi="仿宋" w:eastAsia="仿宋" w:cs="仿宋"/>
          <w:sz w:val="32"/>
          <w:szCs w:val="32"/>
          <w:lang w:val="en-US" w:eastAsia="zh-CN"/>
        </w:rPr>
        <w:t>增加</w:t>
      </w:r>
      <w:r>
        <w:rPr>
          <w:rFonts w:hint="eastAsia" w:ascii="仿宋" w:hAnsi="仿宋" w:eastAsia="仿宋" w:cs="仿宋"/>
          <w:b w:val="0"/>
          <w:bCs w:val="0"/>
          <w:i w:val="0"/>
          <w:iCs w:val="0"/>
          <w:kern w:val="0"/>
          <w:sz w:val="32"/>
          <w:szCs w:val="32"/>
          <w:lang w:val="en-US" w:eastAsia="zh-CN"/>
        </w:rPr>
        <w:t>。</w:t>
      </w:r>
    </w:p>
    <w:p>
      <w:pPr>
        <w:keepNext w:val="0"/>
        <w:keepLines w:val="0"/>
        <w:pageBreakBefore w:val="0"/>
        <w:kinsoku/>
        <w:wordWrap/>
        <w:overflowPunct/>
        <w:topLinePunct w:val="0"/>
        <w:autoSpaceDE/>
        <w:autoSpaceDN/>
        <w:bidi w:val="0"/>
        <w:spacing w:line="560" w:lineRule="exact"/>
        <w:ind w:firstLine="640" w:firstLineChars="200"/>
        <w:textAlignment w:val="auto"/>
        <w:rPr>
          <w:rFonts w:hint="eastAsia" w:ascii="仿宋" w:hAnsi="仿宋" w:eastAsia="仿宋" w:cs="仿宋"/>
          <w:b w:val="0"/>
          <w:bCs w:val="0"/>
          <w:i w:val="0"/>
          <w:iCs w:val="0"/>
          <w:color w:val="333333"/>
          <w:kern w:val="0"/>
          <w:sz w:val="32"/>
          <w:szCs w:val="32"/>
          <w:lang w:val="en-US" w:eastAsia="zh-CN"/>
        </w:rPr>
      </w:pPr>
      <w:r>
        <w:rPr>
          <w:rFonts w:hint="eastAsia" w:ascii="仿宋" w:hAnsi="仿宋" w:eastAsia="仿宋" w:cs="仿宋"/>
          <w:b w:val="0"/>
          <w:bCs w:val="0"/>
          <w:i w:val="0"/>
          <w:iCs w:val="0"/>
          <w:color w:val="333333"/>
          <w:kern w:val="0"/>
          <w:sz w:val="32"/>
          <w:szCs w:val="32"/>
          <w:lang w:val="en-US" w:eastAsia="zh-CN"/>
        </w:rPr>
        <w:t>预算调整率：预算调整数（4801.07-3960.43-837.51）/预算数837.51*100%=0.4%。我中心预算调整减除数是因落实国家政策转移支付的中央补助资金，以及取得的只纳入财政大预算项目经费调整，预算外收入调整，故此项应得满分2分。</w:t>
      </w:r>
    </w:p>
    <w:p>
      <w:pPr>
        <w:keepNext w:val="0"/>
        <w:keepLines w:val="0"/>
        <w:pageBreakBefore w:val="0"/>
        <w:kinsoku/>
        <w:wordWrap/>
        <w:overflowPunct/>
        <w:topLinePunct w:val="0"/>
        <w:autoSpaceDE/>
        <w:autoSpaceDN/>
        <w:bidi w:val="0"/>
        <w:spacing w:line="560" w:lineRule="exact"/>
        <w:ind w:firstLine="640" w:firstLineChars="200"/>
        <w:textAlignment w:val="auto"/>
        <w:rPr>
          <w:rFonts w:hint="eastAsia" w:ascii="仿宋" w:hAnsi="仿宋" w:eastAsia="仿宋" w:cs="仿宋"/>
          <w:b w:val="0"/>
          <w:bCs w:val="0"/>
          <w:i w:val="0"/>
          <w:iCs w:val="0"/>
          <w:color w:val="333333"/>
          <w:kern w:val="0"/>
          <w:sz w:val="32"/>
          <w:szCs w:val="32"/>
          <w:lang w:val="en-US" w:eastAsia="zh-CN"/>
        </w:rPr>
      </w:pPr>
      <w:r>
        <w:rPr>
          <w:rFonts w:hint="eastAsia" w:ascii="仿宋" w:hAnsi="仿宋" w:eastAsia="仿宋" w:cs="仿宋"/>
          <w:b w:val="0"/>
          <w:bCs w:val="0"/>
          <w:i w:val="0"/>
          <w:iCs w:val="0"/>
          <w:color w:val="333333"/>
          <w:kern w:val="0"/>
          <w:sz w:val="32"/>
          <w:szCs w:val="32"/>
          <w:lang w:val="en-US" w:eastAsia="zh-CN"/>
        </w:rPr>
        <w:t>公用经费控制率：实际支出公用经费总额56.6万/49.2万*100%=115%，财政预算按人平6千元公用经费标准拨付，实际支出严重不足。根据评分标准，此项应扣0.3分。</w:t>
      </w:r>
    </w:p>
    <w:p>
      <w:pPr>
        <w:keepNext w:val="0"/>
        <w:keepLines w:val="0"/>
        <w:pageBreakBefore w:val="0"/>
        <w:kinsoku/>
        <w:wordWrap/>
        <w:overflowPunct/>
        <w:topLinePunct w:val="0"/>
        <w:autoSpaceDE/>
        <w:autoSpaceDN/>
        <w:bidi w:val="0"/>
        <w:spacing w:line="560" w:lineRule="exact"/>
        <w:ind w:firstLine="640" w:firstLineChars="200"/>
        <w:textAlignment w:val="auto"/>
        <w:rPr>
          <w:rFonts w:hint="eastAsia" w:ascii="仿宋" w:hAnsi="仿宋" w:eastAsia="仿宋" w:cs="仿宋"/>
          <w:b w:val="0"/>
          <w:bCs w:val="0"/>
          <w:i w:val="0"/>
          <w:iCs w:val="0"/>
          <w:color w:val="333333"/>
          <w:kern w:val="0"/>
          <w:sz w:val="32"/>
          <w:szCs w:val="32"/>
          <w:lang w:val="en-US" w:eastAsia="zh-CN"/>
        </w:rPr>
      </w:pPr>
      <w:r>
        <w:rPr>
          <w:rFonts w:hint="eastAsia" w:ascii="仿宋" w:hAnsi="仿宋" w:eastAsia="仿宋" w:cs="仿宋"/>
          <w:b w:val="0"/>
          <w:bCs w:val="0"/>
          <w:i w:val="0"/>
          <w:iCs w:val="0"/>
          <w:color w:val="333333"/>
          <w:kern w:val="0"/>
          <w:sz w:val="32"/>
          <w:szCs w:val="32"/>
          <w:lang w:val="en-US" w:eastAsia="zh-CN"/>
        </w:rPr>
        <w:t>“三公经费”控制率：（“三公经费”实际支出数0.66万元/“三公经费”预算安排数14万元)*100%=4.7%,控制率在100%以内，不扣分。此项得满分2分。</w:t>
      </w:r>
    </w:p>
    <w:p>
      <w:pPr>
        <w:keepNext w:val="0"/>
        <w:keepLines w:val="0"/>
        <w:pageBreakBefore w:val="0"/>
        <w:kinsoku/>
        <w:wordWrap/>
        <w:overflowPunct/>
        <w:topLinePunct w:val="0"/>
        <w:autoSpaceDE/>
        <w:autoSpaceDN/>
        <w:bidi w:val="0"/>
        <w:spacing w:line="560" w:lineRule="exact"/>
        <w:ind w:firstLine="640" w:firstLineChars="200"/>
        <w:textAlignment w:val="auto"/>
        <w:rPr>
          <w:rFonts w:hint="eastAsia" w:ascii="仿宋" w:hAnsi="仿宋" w:eastAsia="仿宋" w:cs="仿宋"/>
          <w:b w:val="0"/>
          <w:bCs w:val="0"/>
          <w:i w:val="0"/>
          <w:iCs w:val="0"/>
          <w:color w:val="333333"/>
          <w:kern w:val="0"/>
          <w:sz w:val="32"/>
          <w:szCs w:val="32"/>
          <w:lang w:val="en-US" w:eastAsia="zh-CN"/>
        </w:rPr>
      </w:pPr>
      <w:r>
        <w:rPr>
          <w:rFonts w:hint="eastAsia" w:ascii="仿宋" w:hAnsi="仿宋" w:eastAsia="仿宋" w:cs="仿宋"/>
          <w:b w:val="0"/>
          <w:bCs w:val="0"/>
          <w:i w:val="0"/>
          <w:iCs w:val="0"/>
          <w:color w:val="333333"/>
          <w:kern w:val="0"/>
          <w:sz w:val="32"/>
          <w:szCs w:val="32"/>
          <w:lang w:val="en-US" w:eastAsia="zh-CN"/>
        </w:rPr>
        <w:t>政府采购执行率：本单位严格按照政府采购相关政策、法规、制度执行，应进行政府采购的，均已按政府采购相关规定进行采购。此项应得2分。</w:t>
      </w:r>
    </w:p>
    <w:p>
      <w:pPr>
        <w:keepNext w:val="0"/>
        <w:keepLines w:val="0"/>
        <w:pageBreakBefore w:val="0"/>
        <w:numPr>
          <w:ilvl w:val="0"/>
          <w:numId w:val="0"/>
        </w:numPr>
        <w:kinsoku/>
        <w:wordWrap/>
        <w:overflowPunct/>
        <w:topLinePunct w:val="0"/>
        <w:autoSpaceDE/>
        <w:autoSpaceDN/>
        <w:bidi w:val="0"/>
        <w:spacing w:line="560" w:lineRule="exact"/>
        <w:ind w:leftChars="200"/>
        <w:textAlignment w:val="auto"/>
        <w:rPr>
          <w:rFonts w:hint="eastAsia" w:ascii="仿宋" w:hAnsi="仿宋" w:eastAsia="仿宋" w:cs="仿宋"/>
          <w:b w:val="0"/>
          <w:bCs w:val="0"/>
          <w:i w:val="0"/>
          <w:iCs w:val="0"/>
          <w:color w:val="333333"/>
          <w:kern w:val="0"/>
          <w:sz w:val="32"/>
          <w:szCs w:val="32"/>
        </w:rPr>
      </w:pPr>
      <w:r>
        <w:rPr>
          <w:rFonts w:hint="eastAsia" w:ascii="仿宋" w:hAnsi="仿宋" w:eastAsia="仿宋" w:cs="仿宋"/>
          <w:b/>
          <w:bCs/>
          <w:i w:val="0"/>
          <w:iCs w:val="0"/>
          <w:color w:val="333333"/>
          <w:kern w:val="0"/>
          <w:sz w:val="32"/>
          <w:szCs w:val="32"/>
          <w:lang w:val="en-US" w:eastAsia="zh-CN"/>
        </w:rPr>
        <w:t>(3)</w:t>
      </w:r>
      <w:r>
        <w:rPr>
          <w:rFonts w:hint="eastAsia" w:ascii="仿宋" w:hAnsi="仿宋" w:eastAsia="仿宋" w:cs="仿宋"/>
          <w:b/>
          <w:bCs/>
          <w:i w:val="0"/>
          <w:iCs w:val="0"/>
          <w:color w:val="333333"/>
          <w:kern w:val="0"/>
          <w:sz w:val="32"/>
          <w:szCs w:val="32"/>
        </w:rPr>
        <w:t>预算管理指标</w:t>
      </w:r>
    </w:p>
    <w:p>
      <w:pPr>
        <w:keepNext w:val="0"/>
        <w:keepLines w:val="0"/>
        <w:pageBreakBefore w:val="0"/>
        <w:numPr>
          <w:ilvl w:val="0"/>
          <w:numId w:val="0"/>
        </w:numPr>
        <w:kinsoku/>
        <w:wordWrap/>
        <w:overflowPunct/>
        <w:topLinePunct w:val="0"/>
        <w:autoSpaceDE/>
        <w:autoSpaceDN/>
        <w:bidi w:val="0"/>
        <w:spacing w:line="560" w:lineRule="exact"/>
        <w:ind w:firstLine="640" w:firstLineChars="200"/>
        <w:textAlignment w:val="auto"/>
        <w:rPr>
          <w:rFonts w:hint="eastAsia" w:ascii="仿宋" w:hAnsi="仿宋" w:eastAsia="仿宋" w:cs="仿宋"/>
          <w:b w:val="0"/>
          <w:bCs w:val="0"/>
          <w:i w:val="0"/>
          <w:iCs w:val="0"/>
          <w:color w:val="333333"/>
          <w:kern w:val="0"/>
          <w:sz w:val="32"/>
          <w:szCs w:val="32"/>
          <w:lang w:val="en-US" w:eastAsia="zh-CN"/>
        </w:rPr>
      </w:pPr>
      <w:r>
        <w:rPr>
          <w:rFonts w:hint="eastAsia" w:ascii="仿宋" w:hAnsi="仿宋" w:eastAsia="仿宋" w:cs="仿宋"/>
          <w:b w:val="0"/>
          <w:bCs w:val="0"/>
          <w:i w:val="0"/>
          <w:iCs w:val="0"/>
          <w:color w:val="333333"/>
          <w:kern w:val="0"/>
          <w:sz w:val="32"/>
          <w:szCs w:val="32"/>
          <w:lang w:val="en-US" w:eastAsia="zh-CN"/>
        </w:rPr>
        <w:t>管理制度健全性：本单位建立了各项制度清册，有健全的财务管理制度、会计核算制度、资产管理制度等管理制度，严格厉行节约，相关管理制度合法、合规、完整，相关管理制度得到有效执行。本单位该项指标得满分2分。</w:t>
      </w:r>
    </w:p>
    <w:p>
      <w:pPr>
        <w:keepNext w:val="0"/>
        <w:keepLines w:val="0"/>
        <w:pageBreakBefore w:val="0"/>
        <w:numPr>
          <w:ilvl w:val="0"/>
          <w:numId w:val="0"/>
        </w:numPr>
        <w:kinsoku/>
        <w:wordWrap/>
        <w:overflowPunct/>
        <w:topLinePunct w:val="0"/>
        <w:autoSpaceDE/>
        <w:autoSpaceDN/>
        <w:bidi w:val="0"/>
        <w:spacing w:line="560" w:lineRule="exact"/>
        <w:ind w:firstLine="640" w:firstLineChars="200"/>
        <w:textAlignment w:val="auto"/>
        <w:rPr>
          <w:rFonts w:hint="eastAsia" w:ascii="仿宋" w:hAnsi="仿宋" w:eastAsia="仿宋" w:cs="仿宋"/>
          <w:b w:val="0"/>
          <w:bCs w:val="0"/>
          <w:i w:val="0"/>
          <w:iCs w:val="0"/>
          <w:color w:val="333333"/>
          <w:kern w:val="0"/>
          <w:sz w:val="32"/>
          <w:szCs w:val="32"/>
          <w:lang w:val="en-US" w:eastAsia="zh-CN"/>
        </w:rPr>
      </w:pPr>
      <w:r>
        <w:rPr>
          <w:rFonts w:hint="eastAsia" w:ascii="仿宋" w:hAnsi="仿宋" w:eastAsia="仿宋" w:cs="仿宋"/>
          <w:b w:val="0"/>
          <w:bCs w:val="0"/>
          <w:i w:val="0"/>
          <w:iCs w:val="0"/>
          <w:color w:val="333333"/>
          <w:kern w:val="0"/>
          <w:sz w:val="32"/>
          <w:szCs w:val="32"/>
          <w:lang w:val="en-US" w:eastAsia="zh-CN"/>
        </w:rPr>
        <w:t>资金使用合规性：本单位资金使用符合国家财经法规和财务管理制度规定以及有关专项资金管理办法的规定；资金拨付有完整的审批程序和手续；项目的重大开支都经过评估认证；项目支出符合预算批复用途；没有截留、挤占、挪用、虚列支出等情况。本单位该项指标得满分4分。</w:t>
      </w:r>
    </w:p>
    <w:p>
      <w:pPr>
        <w:keepNext w:val="0"/>
        <w:keepLines w:val="0"/>
        <w:pageBreakBefore w:val="0"/>
        <w:kinsoku/>
        <w:wordWrap/>
        <w:overflowPunct/>
        <w:topLinePunct w:val="0"/>
        <w:autoSpaceDE/>
        <w:autoSpaceDN/>
        <w:bidi w:val="0"/>
        <w:spacing w:line="560" w:lineRule="exact"/>
        <w:ind w:firstLine="640" w:firstLineChars="200"/>
        <w:textAlignment w:val="auto"/>
        <w:rPr>
          <w:rFonts w:hint="eastAsia" w:ascii="仿宋" w:hAnsi="仿宋" w:eastAsia="仿宋" w:cs="仿宋"/>
          <w:b w:val="0"/>
          <w:bCs w:val="0"/>
          <w:color w:val="000000"/>
          <w:sz w:val="32"/>
          <w:szCs w:val="32"/>
          <w:lang w:val="en-US" w:eastAsia="zh-CN"/>
        </w:rPr>
      </w:pPr>
      <w:r>
        <w:rPr>
          <w:rFonts w:hint="eastAsia" w:ascii="仿宋" w:hAnsi="仿宋" w:eastAsia="仿宋" w:cs="仿宋"/>
          <w:b w:val="0"/>
          <w:bCs w:val="0"/>
          <w:color w:val="000000"/>
          <w:sz w:val="32"/>
          <w:szCs w:val="32"/>
          <w:lang w:val="en-US" w:eastAsia="zh-CN"/>
        </w:rPr>
        <w:t>预决算信息公开性：本单位按照政府信息公开有关规定及时公开相关预决算信息，确保本单位预决算公开信息真实、完整、准确。本单位该项指标得满分2分。</w:t>
      </w:r>
    </w:p>
    <w:p>
      <w:pPr>
        <w:keepNext w:val="0"/>
        <w:keepLines w:val="0"/>
        <w:pageBreakBefore w:val="0"/>
        <w:numPr>
          <w:ilvl w:val="0"/>
          <w:numId w:val="2"/>
        </w:numPr>
        <w:kinsoku/>
        <w:wordWrap/>
        <w:overflowPunct/>
        <w:topLinePunct w:val="0"/>
        <w:autoSpaceDE/>
        <w:autoSpaceDN/>
        <w:bidi w:val="0"/>
        <w:spacing w:line="560" w:lineRule="exact"/>
        <w:ind w:firstLine="643" w:firstLineChars="200"/>
        <w:textAlignment w:val="auto"/>
        <w:rPr>
          <w:rFonts w:hint="eastAsia" w:ascii="仿宋" w:hAnsi="仿宋" w:eastAsia="仿宋" w:cs="仿宋"/>
          <w:b/>
          <w:bCs/>
          <w:color w:val="000000"/>
          <w:sz w:val="32"/>
          <w:szCs w:val="32"/>
          <w:lang w:val="en-US" w:eastAsia="zh-CN"/>
        </w:rPr>
      </w:pPr>
      <w:r>
        <w:rPr>
          <w:rFonts w:hint="eastAsia" w:ascii="仿宋" w:hAnsi="仿宋" w:eastAsia="仿宋" w:cs="仿宋"/>
          <w:b/>
          <w:bCs/>
          <w:color w:val="000000"/>
          <w:sz w:val="32"/>
          <w:szCs w:val="32"/>
          <w:lang w:val="en-US" w:eastAsia="zh-CN"/>
        </w:rPr>
        <w:t>资产管理指标</w:t>
      </w:r>
    </w:p>
    <w:p>
      <w:pPr>
        <w:keepNext w:val="0"/>
        <w:keepLines w:val="0"/>
        <w:pageBreakBefore w:val="0"/>
        <w:numPr>
          <w:ilvl w:val="0"/>
          <w:numId w:val="0"/>
        </w:numPr>
        <w:kinsoku/>
        <w:wordWrap/>
        <w:overflowPunct/>
        <w:topLinePunct w:val="0"/>
        <w:autoSpaceDE/>
        <w:autoSpaceDN/>
        <w:bidi w:val="0"/>
        <w:spacing w:line="560" w:lineRule="exact"/>
        <w:textAlignment w:val="auto"/>
        <w:rPr>
          <w:rFonts w:hint="eastAsia" w:ascii="仿宋" w:hAnsi="仿宋" w:eastAsia="仿宋" w:cs="仿宋"/>
          <w:b w:val="0"/>
          <w:bCs w:val="0"/>
          <w:color w:val="000000"/>
          <w:sz w:val="32"/>
          <w:szCs w:val="32"/>
          <w:lang w:val="en-US" w:eastAsia="zh-CN"/>
        </w:rPr>
      </w:pPr>
      <w:r>
        <w:rPr>
          <w:rFonts w:hint="eastAsia" w:ascii="仿宋" w:hAnsi="仿宋" w:eastAsia="仿宋" w:cs="仿宋"/>
          <w:b w:val="0"/>
          <w:bCs w:val="0"/>
          <w:color w:val="000000"/>
          <w:sz w:val="32"/>
          <w:szCs w:val="32"/>
          <w:lang w:val="en-US" w:eastAsia="zh-CN"/>
        </w:rPr>
        <w:t xml:space="preserve">    本单位有合法、合规、完整的资产管理制度，相关管理制度没有得到有效执行，资产处置不及时，报废资产没有及时申请处置；但资产账务管理合规，资产处置合规，处置收入及时足额上缴。综合计算该项指标应扣1分。</w:t>
      </w:r>
    </w:p>
    <w:p>
      <w:pPr>
        <w:keepNext w:val="0"/>
        <w:keepLines w:val="0"/>
        <w:pageBreakBefore w:val="0"/>
        <w:kinsoku/>
        <w:wordWrap/>
        <w:overflowPunct/>
        <w:topLinePunct w:val="0"/>
        <w:autoSpaceDE/>
        <w:autoSpaceDN/>
        <w:bidi w:val="0"/>
        <w:spacing w:line="560" w:lineRule="exact"/>
        <w:ind w:firstLine="640" w:firstLineChars="200"/>
        <w:textAlignment w:val="auto"/>
        <w:rPr>
          <w:rFonts w:hint="eastAsia" w:ascii="仿宋" w:hAnsi="仿宋" w:eastAsia="仿宋" w:cs="仿宋"/>
          <w:b w:val="0"/>
          <w:bCs w:val="0"/>
          <w:i w:val="0"/>
          <w:iCs w:val="0"/>
          <w:color w:val="333333"/>
          <w:kern w:val="0"/>
          <w:sz w:val="32"/>
          <w:szCs w:val="32"/>
        </w:rPr>
      </w:pPr>
    </w:p>
    <w:p>
      <w:pPr>
        <w:keepNext w:val="0"/>
        <w:keepLines w:val="0"/>
        <w:pageBreakBefore w:val="0"/>
        <w:numPr>
          <w:ilvl w:val="0"/>
          <w:numId w:val="0"/>
        </w:numPr>
        <w:kinsoku/>
        <w:wordWrap/>
        <w:overflowPunct/>
        <w:topLinePunct w:val="0"/>
        <w:autoSpaceDE/>
        <w:autoSpaceDN/>
        <w:bidi w:val="0"/>
        <w:spacing w:line="560" w:lineRule="exact"/>
        <w:ind w:leftChars="200"/>
        <w:textAlignment w:val="auto"/>
        <w:rPr>
          <w:rFonts w:hint="eastAsia" w:ascii="仿宋" w:hAnsi="仿宋" w:eastAsia="仿宋" w:cs="仿宋"/>
          <w:b/>
          <w:bCs/>
          <w:i w:val="0"/>
          <w:iCs w:val="0"/>
          <w:color w:val="333333"/>
          <w:kern w:val="0"/>
          <w:sz w:val="32"/>
          <w:szCs w:val="32"/>
          <w:lang w:eastAsia="zh-CN"/>
        </w:rPr>
      </w:pPr>
      <w:r>
        <w:rPr>
          <w:rFonts w:hint="eastAsia" w:ascii="仿宋" w:hAnsi="仿宋" w:eastAsia="仿宋" w:cs="仿宋"/>
          <w:b/>
          <w:bCs/>
          <w:i w:val="0"/>
          <w:iCs w:val="0"/>
          <w:color w:val="333333"/>
          <w:kern w:val="0"/>
          <w:sz w:val="32"/>
          <w:szCs w:val="32"/>
          <w:lang w:eastAsia="zh-CN"/>
        </w:rPr>
        <w:t>（</w:t>
      </w:r>
      <w:r>
        <w:rPr>
          <w:rFonts w:hint="eastAsia" w:ascii="仿宋" w:hAnsi="仿宋" w:eastAsia="仿宋" w:cs="仿宋"/>
          <w:b/>
          <w:bCs/>
          <w:i w:val="0"/>
          <w:iCs w:val="0"/>
          <w:color w:val="333333"/>
          <w:kern w:val="0"/>
          <w:sz w:val="32"/>
          <w:szCs w:val="32"/>
          <w:lang w:val="en-US" w:eastAsia="zh-CN"/>
        </w:rPr>
        <w:t>三）</w:t>
      </w:r>
      <w:r>
        <w:rPr>
          <w:rFonts w:hint="eastAsia" w:ascii="仿宋" w:hAnsi="仿宋" w:eastAsia="仿宋" w:cs="仿宋"/>
          <w:b/>
          <w:bCs/>
          <w:i w:val="0"/>
          <w:iCs w:val="0"/>
          <w:color w:val="333333"/>
          <w:kern w:val="0"/>
          <w:sz w:val="32"/>
          <w:szCs w:val="32"/>
          <w:lang w:eastAsia="zh-CN"/>
        </w:rPr>
        <w:t>产出</w:t>
      </w:r>
    </w:p>
    <w:p>
      <w:pPr>
        <w:keepNext w:val="0"/>
        <w:keepLines w:val="0"/>
        <w:pageBreakBefore w:val="0"/>
        <w:numPr>
          <w:ilvl w:val="0"/>
          <w:numId w:val="2"/>
        </w:numPr>
        <w:kinsoku/>
        <w:wordWrap/>
        <w:overflowPunct/>
        <w:topLinePunct w:val="0"/>
        <w:autoSpaceDE/>
        <w:autoSpaceDN/>
        <w:bidi w:val="0"/>
        <w:spacing w:line="560" w:lineRule="exact"/>
        <w:ind w:left="0" w:leftChars="0" w:firstLine="643" w:firstLineChars="200"/>
        <w:textAlignment w:val="auto"/>
        <w:rPr>
          <w:rFonts w:hint="eastAsia" w:ascii="仿宋" w:hAnsi="仿宋" w:eastAsia="仿宋" w:cs="仿宋"/>
          <w:b/>
          <w:bCs/>
          <w:i w:val="0"/>
          <w:iCs w:val="0"/>
          <w:color w:val="333333"/>
          <w:kern w:val="0"/>
          <w:sz w:val="32"/>
          <w:szCs w:val="32"/>
          <w:lang w:val="en-US" w:eastAsia="zh-CN"/>
        </w:rPr>
      </w:pPr>
      <w:r>
        <w:rPr>
          <w:rFonts w:hint="eastAsia" w:ascii="仿宋" w:hAnsi="仿宋" w:eastAsia="仿宋" w:cs="仿宋"/>
          <w:b/>
          <w:bCs/>
          <w:i w:val="0"/>
          <w:iCs w:val="0"/>
          <w:color w:val="333333"/>
          <w:kern w:val="0"/>
          <w:sz w:val="32"/>
          <w:szCs w:val="32"/>
          <w:lang w:val="en-US" w:eastAsia="zh-CN"/>
        </w:rPr>
        <w:t>职责履行指标</w:t>
      </w:r>
    </w:p>
    <w:p>
      <w:pPr>
        <w:keepNext w:val="0"/>
        <w:keepLines w:val="0"/>
        <w:pageBreakBefore w:val="0"/>
        <w:kinsoku/>
        <w:wordWrap/>
        <w:overflowPunct/>
        <w:topLinePunct w:val="0"/>
        <w:autoSpaceDE/>
        <w:autoSpaceDN/>
        <w:bidi w:val="0"/>
        <w:spacing w:line="560" w:lineRule="exact"/>
        <w:ind w:firstLine="640" w:firstLineChars="200"/>
        <w:textAlignment w:val="auto"/>
        <w:rPr>
          <w:rFonts w:hint="eastAsia" w:ascii="仿宋" w:hAnsi="仿宋" w:eastAsia="仿宋" w:cs="仿宋"/>
          <w:b w:val="0"/>
          <w:bCs w:val="0"/>
          <w:i w:val="0"/>
          <w:iCs w:val="0"/>
          <w:color w:val="333333"/>
          <w:kern w:val="0"/>
          <w:sz w:val="32"/>
          <w:szCs w:val="32"/>
          <w:lang w:val="en-US" w:eastAsia="zh-CN"/>
        </w:rPr>
      </w:pPr>
      <w:r>
        <w:rPr>
          <w:rFonts w:hint="eastAsia" w:ascii="仿宋" w:hAnsi="仿宋" w:eastAsia="仿宋" w:cs="仿宋"/>
          <w:b w:val="0"/>
          <w:bCs w:val="0"/>
          <w:i w:val="0"/>
          <w:iCs w:val="0"/>
          <w:color w:val="333333"/>
          <w:kern w:val="0"/>
          <w:sz w:val="32"/>
          <w:szCs w:val="32"/>
          <w:lang w:val="en-US" w:eastAsia="zh-CN"/>
        </w:rPr>
        <w:t>2023年，衡南县融媒体中心</w:t>
      </w:r>
      <w:r>
        <w:rPr>
          <w:rFonts w:hint="eastAsia" w:ascii="仿宋" w:hAnsi="仿宋" w:eastAsia="仿宋" w:cs="仿宋"/>
          <w:sz w:val="32"/>
          <w:szCs w:val="32"/>
          <w:lang w:val="en-US" w:eastAsia="zh-CN"/>
        </w:rPr>
        <w:t>被评为湖南省智慧融媒建设标杆单位，也是全市唯一一家荣获全省广播电视媒体融合先导单位提名的媒体单位。全中心紧扣主责主业，促进服务效能不断提升，故此项应得满分26分。具体</w:t>
      </w:r>
      <w:r>
        <w:rPr>
          <w:rFonts w:hint="eastAsia" w:ascii="仿宋" w:hAnsi="仿宋" w:eastAsia="仿宋" w:cs="仿宋"/>
          <w:b w:val="0"/>
          <w:bCs w:val="0"/>
          <w:i w:val="0"/>
          <w:iCs w:val="0"/>
          <w:color w:val="333333"/>
          <w:kern w:val="0"/>
          <w:sz w:val="32"/>
          <w:szCs w:val="32"/>
          <w:lang w:val="en-US" w:eastAsia="zh-CN"/>
        </w:rPr>
        <w:t>履职情况报告如下：</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 w:hAnsi="仿宋" w:eastAsia="仿宋" w:cs="仿宋"/>
          <w:b w:val="0"/>
          <w:bCs w:val="0"/>
          <w:color w:val="1A1A1A" w:themeColor="background1" w:themeShade="1A"/>
          <w:sz w:val="32"/>
          <w:szCs w:val="32"/>
          <w:lang w:val="en-US" w:eastAsia="zh-CN"/>
        </w:rPr>
      </w:pPr>
      <w:r>
        <w:rPr>
          <w:rFonts w:hint="eastAsia" w:ascii="仿宋" w:hAnsi="仿宋" w:eastAsia="仿宋" w:cs="仿宋"/>
          <w:b/>
          <w:bCs/>
          <w:color w:val="1A1A1A" w:themeColor="background1" w:themeShade="1A"/>
          <w:sz w:val="32"/>
          <w:szCs w:val="32"/>
          <w:lang w:val="en-US" w:eastAsia="zh-CN"/>
        </w:rPr>
        <w:t>1.围绕中心，精准发力。</w:t>
      </w:r>
      <w:r>
        <w:rPr>
          <w:rFonts w:hint="eastAsia" w:ascii="仿宋" w:hAnsi="仿宋" w:eastAsia="仿宋" w:cs="仿宋"/>
          <w:b w:val="0"/>
          <w:bCs w:val="0"/>
          <w:color w:val="1A1A1A" w:themeColor="background1" w:themeShade="1A"/>
          <w:sz w:val="32"/>
          <w:szCs w:val="32"/>
          <w:lang w:val="en-US" w:eastAsia="zh-CN"/>
        </w:rPr>
        <w:t>紧紧围绕县委、县政府中心工作，开办了《学习宣传贯彻党的二十大》《学习贯彻习近平新时代中国特色社会主义思想主题教育》《春耕正当时》《聚焦2023衡南两会》《志愿服务我先行 共创文明提名城》《打好“发展六仗”》《衡南县耕地“非农化”“非粮化”专项整治工作》《走基层、找问题、想办法、促发展》《身边雷锋·衡南好人》等专题专栏，制作了《商聚云集》《文明创建》《电力十足 集思广益》《屋场恳谈会》等宣传片，为全县工作开展营造了良好舆论氛围。</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 w:hAnsi="仿宋" w:eastAsia="仿宋" w:cs="仿宋"/>
          <w:b w:val="0"/>
          <w:bCs w:val="0"/>
          <w:color w:val="1A1A1A" w:themeColor="background1" w:themeShade="1A"/>
          <w:sz w:val="32"/>
          <w:szCs w:val="32"/>
          <w:lang w:val="en-US" w:eastAsia="zh-CN"/>
        </w:rPr>
      </w:pPr>
      <w:r>
        <w:rPr>
          <w:rFonts w:hint="eastAsia" w:ascii="仿宋" w:hAnsi="仿宋" w:eastAsia="仿宋" w:cs="仿宋"/>
          <w:b/>
          <w:bCs/>
          <w:color w:val="1A1A1A" w:themeColor="background1" w:themeShade="1A"/>
          <w:sz w:val="32"/>
          <w:szCs w:val="32"/>
          <w:lang w:val="en-US" w:eastAsia="zh-CN"/>
        </w:rPr>
        <w:t>2.平台融合，亮点颇多。</w:t>
      </w:r>
      <w:r>
        <w:rPr>
          <w:rFonts w:hint="eastAsia" w:ascii="仿宋" w:hAnsi="仿宋" w:eastAsia="仿宋" w:cs="仿宋"/>
          <w:b w:val="0"/>
          <w:bCs w:val="0"/>
          <w:color w:val="1A1A1A" w:themeColor="background1" w:themeShade="1A"/>
          <w:sz w:val="32"/>
          <w:szCs w:val="32"/>
          <w:lang w:val="en-US" w:eastAsia="zh-CN"/>
        </w:rPr>
        <w:t>智慧衡南日活跃用户2万多户，总点击量达8500万，</w:t>
      </w:r>
      <w:r>
        <w:rPr>
          <w:rFonts w:hint="eastAsia" w:ascii="仿宋" w:hAnsi="仿宋" w:eastAsia="仿宋" w:cs="仿宋"/>
          <w:sz w:val="32"/>
          <w:szCs w:val="32"/>
        </w:rPr>
        <w:t>获“十佳客户端”荣誉称号</w:t>
      </w:r>
      <w:r>
        <w:rPr>
          <w:rFonts w:hint="eastAsia" w:ascii="仿宋" w:hAnsi="仿宋" w:eastAsia="仿宋" w:cs="仿宋"/>
          <w:b w:val="0"/>
          <w:bCs w:val="0"/>
          <w:sz w:val="32"/>
          <w:szCs w:val="32"/>
          <w:lang w:val="en-US" w:eastAsia="zh-CN"/>
        </w:rPr>
        <w:t>。</w:t>
      </w:r>
      <w:r>
        <w:rPr>
          <w:rFonts w:hint="eastAsia" w:ascii="仿宋" w:hAnsi="仿宋" w:eastAsia="仿宋" w:cs="仿宋"/>
          <w:b w:val="0"/>
          <w:bCs w:val="0"/>
          <w:color w:val="1A1A1A" w:themeColor="background1" w:themeShade="1A"/>
          <w:sz w:val="32"/>
          <w:szCs w:val="32"/>
          <w:lang w:val="en-US" w:eastAsia="zh-CN"/>
        </w:rPr>
        <w:t>“微衡南”影响力在全市范围内持续提升，粉丝人数破6万。抖音短视频流量攀升，日均流量达到3w以上，10w流量以上的有25个。微视频来势大好，日均流量1w以上，短视频《非遗过大年》在央视频总网播发，《基层党组织书记谈学习宣传贯彻党的二十大精神》《味道衡南》《畅游乡村 乐游衡南》《清泉荐客》等短视频反响热烈，《预防非法集资》《传承》《我的青春 我的主场》等短片深受大众欢迎。</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 w:hAnsi="仿宋" w:eastAsia="仿宋" w:cs="仿宋"/>
          <w:b w:val="0"/>
          <w:bCs w:val="0"/>
          <w:color w:val="1A1A1A" w:themeColor="background1" w:themeShade="1A"/>
          <w:sz w:val="32"/>
          <w:szCs w:val="32"/>
          <w:lang w:val="en-US" w:eastAsia="zh-CN"/>
        </w:rPr>
      </w:pPr>
      <w:r>
        <w:rPr>
          <w:rFonts w:hint="eastAsia" w:ascii="仿宋" w:hAnsi="仿宋" w:eastAsia="仿宋" w:cs="仿宋"/>
          <w:b/>
          <w:bCs/>
          <w:color w:val="1A1A1A" w:themeColor="background1" w:themeShade="1A"/>
          <w:sz w:val="32"/>
          <w:szCs w:val="32"/>
          <w:lang w:val="en-US" w:eastAsia="zh-CN"/>
        </w:rPr>
        <w:t>3.全媒发力，争先创优。</w:t>
      </w:r>
      <w:r>
        <w:rPr>
          <w:rFonts w:hint="eastAsia" w:ascii="仿宋" w:hAnsi="仿宋" w:eastAsia="仿宋" w:cs="仿宋"/>
          <w:b w:val="0"/>
          <w:bCs w:val="0"/>
          <w:color w:val="1A1A1A" w:themeColor="background1" w:themeShade="1A"/>
          <w:sz w:val="32"/>
          <w:szCs w:val="32"/>
          <w:lang w:val="en-US" w:eastAsia="zh-CN"/>
        </w:rPr>
        <w:t>各媒体平台发稿1800多条，其中央级媒体上稿13条，省市主流媒体上稿700多条（湖南卫视、湖南经视65条），点击率超100万+的有18条，10万+的有90多条。《衡南泉溪：标准化建设绘就美丽乡村新蓝图》荣获红网云“融媒优秀作品奖”。在省市广播电视作品评选中，1部作品获省广播电视一等奖；3部作品分别获市广播电视一、二、三等奖。在全市新闻奖评选中，2部作品分获二、三等奖；2部作品分获市播音主持作品二、三等奖，获奖数量位列全市前茅。</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 w:hAnsi="仿宋" w:eastAsia="仿宋" w:cs="仿宋"/>
          <w:sz w:val="32"/>
          <w:szCs w:val="32"/>
          <w:lang w:eastAsia="zh-CN"/>
        </w:rPr>
      </w:pPr>
      <w:r>
        <w:rPr>
          <w:rFonts w:hint="eastAsia" w:ascii="仿宋" w:hAnsi="仿宋" w:eastAsia="仿宋" w:cs="仿宋"/>
          <w:b/>
          <w:bCs/>
          <w:sz w:val="32"/>
          <w:szCs w:val="32"/>
          <w:lang w:val="en-US" w:eastAsia="zh-CN"/>
        </w:rPr>
        <w:t>4.塑造品牌，活动出彩</w:t>
      </w:r>
      <w:r>
        <w:rPr>
          <w:rFonts w:hint="eastAsia" w:ascii="仿宋" w:hAnsi="仿宋" w:eastAsia="仿宋" w:cs="仿宋"/>
          <w:sz w:val="32"/>
          <w:szCs w:val="32"/>
          <w:lang w:val="en-US" w:eastAsia="zh-CN"/>
        </w:rPr>
        <w:t>。积极打造“清泉融媒·精彩相随”活动品牌，承办了“泉湖二月八”农耕文化节,“</w:t>
      </w:r>
      <w:r>
        <w:rPr>
          <w:rFonts w:hint="eastAsia" w:ascii="仿宋" w:hAnsi="仿宋" w:eastAsia="仿宋" w:cs="仿宋"/>
          <w:sz w:val="32"/>
          <w:szCs w:val="32"/>
        </w:rPr>
        <w:t>学习二十大</w:t>
      </w:r>
      <w:r>
        <w:rPr>
          <w:rFonts w:hint="eastAsia" w:ascii="仿宋" w:hAnsi="仿宋" w:eastAsia="仿宋" w:cs="仿宋"/>
          <w:sz w:val="32"/>
          <w:szCs w:val="32"/>
          <w:lang w:val="en-US" w:eastAsia="zh-CN"/>
        </w:rPr>
        <w:t>”</w:t>
      </w:r>
      <w:r>
        <w:rPr>
          <w:rFonts w:hint="eastAsia" w:ascii="仿宋" w:hAnsi="仿宋" w:eastAsia="仿宋" w:cs="仿宋"/>
          <w:sz w:val="32"/>
          <w:szCs w:val="32"/>
        </w:rPr>
        <w:t>演讲比赛</w:t>
      </w:r>
      <w:r>
        <w:rPr>
          <w:rFonts w:hint="eastAsia" w:ascii="仿宋" w:hAnsi="仿宋" w:eastAsia="仿宋" w:cs="仿宋"/>
          <w:sz w:val="32"/>
          <w:szCs w:val="32"/>
          <w:lang w:eastAsia="zh-CN"/>
        </w:rPr>
        <w:t>、</w:t>
      </w:r>
      <w:r>
        <w:rPr>
          <w:rFonts w:hint="eastAsia" w:ascii="仿宋" w:hAnsi="仿宋" w:eastAsia="仿宋" w:cs="仿宋"/>
          <w:sz w:val="32"/>
          <w:szCs w:val="32"/>
        </w:rPr>
        <w:t>五四青年节表彰</w:t>
      </w: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“好读书”知识抢答、比赛广场舞大赛、反邪教进乡村文化宣传活动、“最美医生节”颁奖及文艺汇演活动，“工会良缘，情定清泉”婚恋服务</w:t>
      </w:r>
      <w:r>
        <w:rPr>
          <w:rFonts w:hint="eastAsia" w:ascii="仿宋" w:hAnsi="仿宋" w:eastAsia="仿宋" w:cs="仿宋"/>
          <w:sz w:val="32"/>
          <w:szCs w:val="32"/>
          <w:lang w:eastAsia="zh-CN"/>
        </w:rPr>
        <w:t>等大型</w:t>
      </w:r>
      <w:r>
        <w:rPr>
          <w:rFonts w:hint="eastAsia" w:ascii="仿宋" w:hAnsi="仿宋" w:eastAsia="仿宋" w:cs="仿宋"/>
          <w:sz w:val="32"/>
          <w:szCs w:val="32"/>
        </w:rPr>
        <w:t>活动</w:t>
      </w:r>
      <w:r>
        <w:rPr>
          <w:rFonts w:hint="eastAsia" w:ascii="仿宋" w:hAnsi="仿宋" w:eastAsia="仿宋" w:cs="仿宋"/>
          <w:sz w:val="32"/>
          <w:szCs w:val="32"/>
          <w:lang w:eastAsia="zh-CN"/>
        </w:rPr>
        <w:t>。创建“清泉荐客”品牌，鼓励人人来做家乡推荐官，推荐衡南的好产品、好地方，实现经济、社会效益双收。</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textAlignment w:val="auto"/>
        <w:rPr>
          <w:rFonts w:hint="eastAsia" w:ascii="仿宋" w:hAnsi="仿宋" w:eastAsia="仿宋" w:cs="仿宋"/>
          <w:b w:val="0"/>
          <w:bCs w:val="0"/>
          <w:color w:val="1A1A1A" w:themeColor="background1" w:themeShade="1A"/>
          <w:sz w:val="32"/>
          <w:szCs w:val="32"/>
          <w:lang w:val="en-US" w:eastAsia="zh-CN"/>
        </w:rPr>
      </w:pPr>
      <w:r>
        <w:rPr>
          <w:rFonts w:hint="eastAsia" w:ascii="仿宋" w:hAnsi="仿宋" w:eastAsia="仿宋" w:cs="仿宋"/>
          <w:b/>
          <w:bCs/>
          <w:color w:val="1A1A1A" w:themeColor="background1" w:themeShade="1A"/>
          <w:sz w:val="32"/>
          <w:szCs w:val="32"/>
          <w:lang w:val="en-US" w:eastAsia="zh-CN"/>
        </w:rPr>
        <w:t>5.安全为本，筑牢防线。</w:t>
      </w:r>
      <w:r>
        <w:rPr>
          <w:rFonts w:hint="eastAsia" w:ascii="仿宋" w:hAnsi="仿宋" w:eastAsia="仿宋" w:cs="仿宋"/>
          <w:b w:val="0"/>
          <w:bCs w:val="0"/>
          <w:color w:val="1A1A1A" w:themeColor="background1" w:themeShade="1A"/>
          <w:sz w:val="32"/>
          <w:szCs w:val="32"/>
          <w:lang w:val="en-US" w:eastAsia="zh-CN"/>
        </w:rPr>
        <w:t>定期开展技术培训、技术巡查，</w:t>
      </w:r>
      <w:r>
        <w:rPr>
          <w:rFonts w:hint="eastAsia" w:ascii="仿宋" w:hAnsi="仿宋" w:eastAsia="仿宋" w:cs="仿宋"/>
          <w:color w:val="1A1A1A" w:themeColor="background1" w:themeShade="1A"/>
          <w:sz w:val="32"/>
          <w:szCs w:val="32"/>
        </w:rPr>
        <w:t>健全完善各类应急处置方案，加强流程操作和应急演练，</w:t>
      </w:r>
      <w:r>
        <w:rPr>
          <w:rFonts w:hint="eastAsia" w:ascii="仿宋" w:hAnsi="仿宋" w:eastAsia="仿宋" w:cs="仿宋"/>
          <w:b w:val="0"/>
          <w:bCs w:val="0"/>
          <w:color w:val="1A1A1A" w:themeColor="background1" w:themeShade="1A"/>
          <w:sz w:val="32"/>
          <w:szCs w:val="32"/>
          <w:lang w:val="en-US" w:eastAsia="zh-CN"/>
        </w:rPr>
        <w:t>全面提升广播电视安全播出防控能力和监管水平。扎实做好技术设备、设施的管理维护工作，对“村村响”加强巡检维护，改善石牛峰高山台基础设施。</w:t>
      </w:r>
      <w:r>
        <w:rPr>
          <w:rFonts w:hint="eastAsia" w:ascii="仿宋" w:hAnsi="仿宋" w:eastAsia="仿宋" w:cs="仿宋"/>
          <w:color w:val="1A1A1A" w:themeColor="background1" w:themeShade="1A"/>
          <w:sz w:val="32"/>
          <w:szCs w:val="32"/>
          <w:lang w:eastAsia="zh-CN"/>
        </w:rPr>
        <w:t>组织实施安全生产月、安全隐患大排查等活动，</w:t>
      </w:r>
      <w:r>
        <w:rPr>
          <w:rFonts w:hint="eastAsia" w:ascii="仿宋" w:hAnsi="仿宋" w:eastAsia="仿宋" w:cs="仿宋"/>
          <w:color w:val="1A1A1A" w:themeColor="background1" w:themeShade="1A"/>
          <w:sz w:val="32"/>
          <w:szCs w:val="32"/>
        </w:rPr>
        <w:t>确保重大节日、重要时期、重点时段的安全播出。</w:t>
      </w:r>
    </w:p>
    <w:p>
      <w:pPr>
        <w:keepNext w:val="0"/>
        <w:keepLines w:val="0"/>
        <w:pageBreakBefore w:val="0"/>
        <w:kinsoku/>
        <w:wordWrap/>
        <w:overflowPunct/>
        <w:topLinePunct w:val="0"/>
        <w:autoSpaceDE/>
        <w:autoSpaceDN/>
        <w:bidi w:val="0"/>
        <w:spacing w:line="560" w:lineRule="exact"/>
        <w:ind w:firstLine="643" w:firstLineChars="200"/>
        <w:textAlignment w:val="auto"/>
        <w:rPr>
          <w:rFonts w:hint="eastAsia" w:ascii="仿宋" w:hAnsi="仿宋" w:eastAsia="仿宋" w:cs="仿宋"/>
          <w:b/>
          <w:bCs/>
          <w:i w:val="0"/>
          <w:iCs w:val="0"/>
          <w:color w:val="333333"/>
          <w:kern w:val="0"/>
          <w:sz w:val="32"/>
          <w:szCs w:val="32"/>
          <w:lang w:eastAsia="zh-CN"/>
        </w:rPr>
      </w:pPr>
    </w:p>
    <w:p>
      <w:pPr>
        <w:keepNext w:val="0"/>
        <w:keepLines w:val="0"/>
        <w:pageBreakBefore w:val="0"/>
        <w:kinsoku/>
        <w:wordWrap/>
        <w:overflowPunct/>
        <w:topLinePunct w:val="0"/>
        <w:autoSpaceDE/>
        <w:autoSpaceDN/>
        <w:bidi w:val="0"/>
        <w:spacing w:line="560" w:lineRule="exact"/>
        <w:ind w:firstLine="643" w:firstLineChars="200"/>
        <w:textAlignment w:val="auto"/>
        <w:rPr>
          <w:rFonts w:hint="eastAsia" w:ascii="仿宋" w:hAnsi="仿宋" w:eastAsia="仿宋" w:cs="仿宋"/>
          <w:b/>
          <w:bCs/>
          <w:i w:val="0"/>
          <w:iCs w:val="0"/>
          <w:color w:val="333333"/>
          <w:kern w:val="0"/>
          <w:sz w:val="32"/>
          <w:szCs w:val="32"/>
          <w:lang w:val="en-US"/>
        </w:rPr>
      </w:pPr>
      <w:r>
        <w:rPr>
          <w:rFonts w:hint="eastAsia" w:ascii="仿宋" w:hAnsi="仿宋" w:eastAsia="仿宋" w:cs="仿宋"/>
          <w:b/>
          <w:bCs/>
          <w:i w:val="0"/>
          <w:iCs w:val="0"/>
          <w:color w:val="333333"/>
          <w:kern w:val="0"/>
          <w:sz w:val="32"/>
          <w:szCs w:val="32"/>
          <w:lang w:eastAsia="zh-CN"/>
        </w:rPr>
        <w:t>（</w:t>
      </w:r>
      <w:r>
        <w:rPr>
          <w:rFonts w:hint="eastAsia" w:ascii="仿宋" w:hAnsi="仿宋" w:eastAsia="仿宋" w:cs="仿宋"/>
          <w:b/>
          <w:bCs/>
          <w:i w:val="0"/>
          <w:iCs w:val="0"/>
          <w:color w:val="333333"/>
          <w:kern w:val="0"/>
          <w:sz w:val="32"/>
          <w:szCs w:val="32"/>
          <w:lang w:val="en-US" w:eastAsia="zh-CN"/>
        </w:rPr>
        <w:t>四）</w:t>
      </w:r>
      <w:r>
        <w:rPr>
          <w:rFonts w:hint="eastAsia" w:ascii="仿宋" w:hAnsi="仿宋" w:eastAsia="仿宋" w:cs="仿宋"/>
          <w:b/>
          <w:bCs/>
          <w:i w:val="0"/>
          <w:iCs w:val="0"/>
          <w:color w:val="333333"/>
          <w:kern w:val="0"/>
          <w:sz w:val="32"/>
          <w:szCs w:val="32"/>
          <w:lang w:eastAsia="zh-CN"/>
        </w:rPr>
        <w:t>效果</w:t>
      </w:r>
    </w:p>
    <w:p>
      <w:pPr>
        <w:keepNext w:val="0"/>
        <w:keepLines w:val="0"/>
        <w:pageBreakBefore w:val="0"/>
        <w:kinsoku/>
        <w:wordWrap/>
        <w:overflowPunct/>
        <w:topLinePunct w:val="0"/>
        <w:autoSpaceDE/>
        <w:autoSpaceDN/>
        <w:bidi w:val="0"/>
        <w:spacing w:line="560" w:lineRule="exact"/>
        <w:ind w:firstLine="643" w:firstLineChars="200"/>
        <w:textAlignment w:val="auto"/>
        <w:rPr>
          <w:rFonts w:hint="eastAsia" w:ascii="仿宋" w:hAnsi="仿宋" w:eastAsia="仿宋" w:cs="仿宋"/>
          <w:b/>
          <w:bCs/>
          <w:i w:val="0"/>
          <w:iCs w:val="0"/>
          <w:color w:val="333333"/>
          <w:kern w:val="0"/>
          <w:sz w:val="32"/>
          <w:szCs w:val="32"/>
        </w:rPr>
      </w:pPr>
      <w:r>
        <w:rPr>
          <w:rFonts w:hint="eastAsia" w:ascii="仿宋" w:hAnsi="仿宋" w:eastAsia="仿宋" w:cs="仿宋"/>
          <w:b/>
          <w:bCs/>
          <w:i w:val="0"/>
          <w:iCs w:val="0"/>
          <w:color w:val="333333"/>
          <w:kern w:val="0"/>
          <w:sz w:val="32"/>
          <w:szCs w:val="32"/>
        </w:rPr>
        <w:t>（</w:t>
      </w:r>
      <w:r>
        <w:rPr>
          <w:rFonts w:hint="eastAsia" w:ascii="仿宋" w:hAnsi="仿宋" w:eastAsia="仿宋" w:cs="仿宋"/>
          <w:b/>
          <w:bCs/>
          <w:i w:val="0"/>
          <w:iCs w:val="0"/>
          <w:color w:val="333333"/>
          <w:kern w:val="0"/>
          <w:sz w:val="32"/>
          <w:szCs w:val="32"/>
          <w:lang w:val="en-US" w:eastAsia="zh-CN"/>
        </w:rPr>
        <w:t>6</w:t>
      </w:r>
      <w:r>
        <w:rPr>
          <w:rFonts w:hint="eastAsia" w:ascii="仿宋" w:hAnsi="仿宋" w:eastAsia="仿宋" w:cs="仿宋"/>
          <w:b/>
          <w:bCs/>
          <w:i w:val="0"/>
          <w:iCs w:val="0"/>
          <w:color w:val="333333"/>
          <w:kern w:val="0"/>
          <w:sz w:val="32"/>
          <w:szCs w:val="32"/>
        </w:rPr>
        <w:t>）履职效益指标</w:t>
      </w:r>
    </w:p>
    <w:p>
      <w:pPr>
        <w:keepNext w:val="0"/>
        <w:keepLines w:val="0"/>
        <w:pageBreakBefore w:val="0"/>
        <w:kinsoku/>
        <w:wordWrap/>
        <w:overflowPunct/>
        <w:topLinePunct w:val="0"/>
        <w:autoSpaceDE/>
        <w:autoSpaceDN/>
        <w:bidi w:val="0"/>
        <w:spacing w:line="560" w:lineRule="exact"/>
        <w:ind w:firstLine="643" w:firstLineChars="200"/>
        <w:textAlignment w:val="auto"/>
        <w:rPr>
          <w:rFonts w:hint="eastAsia" w:ascii="仿宋" w:hAnsi="仿宋" w:eastAsia="仿宋" w:cs="仿宋"/>
          <w:b/>
          <w:bCs/>
          <w:i w:val="0"/>
          <w:iCs w:val="0"/>
          <w:color w:val="333333"/>
          <w:kern w:val="0"/>
          <w:sz w:val="32"/>
          <w:szCs w:val="32"/>
          <w:lang w:val="en-US" w:eastAsia="zh-CN"/>
        </w:rPr>
      </w:pPr>
      <w:r>
        <w:rPr>
          <w:rFonts w:hint="eastAsia" w:ascii="仿宋" w:hAnsi="仿宋" w:eastAsia="仿宋" w:cs="仿宋"/>
          <w:b/>
          <w:bCs/>
          <w:i w:val="0"/>
          <w:iCs w:val="0"/>
          <w:color w:val="333333"/>
          <w:kern w:val="0"/>
          <w:sz w:val="32"/>
          <w:szCs w:val="32"/>
          <w:lang w:val="en-US" w:eastAsia="zh-CN"/>
        </w:rPr>
        <w:t>1.社会效益和经济效益：</w:t>
      </w:r>
    </w:p>
    <w:p>
      <w:pPr>
        <w:spacing w:line="560" w:lineRule="exact"/>
        <w:ind w:firstLine="643" w:firstLineChars="200"/>
        <w:rPr>
          <w:rFonts w:hint="eastAsia" w:ascii="仿宋" w:hAnsi="仿宋" w:eastAsia="仿宋" w:cs="仿宋"/>
          <w:b w:val="0"/>
          <w:bCs w:val="0"/>
          <w:i w:val="0"/>
          <w:iCs w:val="0"/>
          <w:color w:val="333333"/>
          <w:kern w:val="0"/>
          <w:sz w:val="32"/>
          <w:szCs w:val="32"/>
          <w:lang w:val="en-US" w:eastAsia="zh-CN"/>
        </w:rPr>
      </w:pPr>
      <w:r>
        <w:rPr>
          <w:rFonts w:hint="eastAsia" w:ascii="仿宋" w:hAnsi="仿宋" w:eastAsia="仿宋" w:cs="仿宋"/>
          <w:b/>
          <w:bCs/>
          <w:color w:val="010101"/>
          <w:kern w:val="0"/>
          <w:sz w:val="32"/>
          <w:szCs w:val="32"/>
          <w:lang w:eastAsia="zh-CN"/>
        </w:rPr>
        <w:t>一是</w:t>
      </w:r>
      <w:r>
        <w:rPr>
          <w:rFonts w:hint="eastAsia" w:ascii="仿宋" w:hAnsi="仿宋" w:eastAsia="仿宋" w:cs="仿宋"/>
          <w:b/>
          <w:bCs/>
          <w:color w:val="010101"/>
          <w:kern w:val="0"/>
          <w:sz w:val="32"/>
          <w:szCs w:val="32"/>
        </w:rPr>
        <w:t>公共服务</w:t>
      </w:r>
      <w:r>
        <w:rPr>
          <w:rFonts w:hint="eastAsia" w:ascii="仿宋" w:hAnsi="仿宋" w:eastAsia="仿宋" w:cs="仿宋"/>
          <w:b/>
          <w:bCs/>
          <w:color w:val="010101"/>
          <w:kern w:val="0"/>
          <w:sz w:val="32"/>
          <w:szCs w:val="32"/>
          <w:lang w:val="en-US" w:eastAsia="zh-CN"/>
        </w:rPr>
        <w:t>效能不断</w:t>
      </w:r>
      <w:r>
        <w:rPr>
          <w:rFonts w:hint="eastAsia" w:ascii="仿宋" w:hAnsi="仿宋" w:eastAsia="仿宋" w:cs="仿宋"/>
          <w:b/>
          <w:bCs/>
          <w:color w:val="010101"/>
          <w:kern w:val="0"/>
          <w:sz w:val="32"/>
          <w:szCs w:val="32"/>
          <w:lang w:eastAsia="zh-CN"/>
        </w:rPr>
        <w:t>提升</w:t>
      </w:r>
      <w:r>
        <w:rPr>
          <w:rFonts w:hint="eastAsia" w:ascii="仿宋" w:hAnsi="仿宋" w:eastAsia="仿宋" w:cs="仿宋"/>
          <w:b/>
          <w:bCs/>
          <w:color w:val="010101"/>
          <w:kern w:val="0"/>
          <w:sz w:val="32"/>
          <w:szCs w:val="32"/>
        </w:rPr>
        <w:t>。</w:t>
      </w:r>
      <w:r>
        <w:rPr>
          <w:rFonts w:hint="eastAsia" w:ascii="仿宋" w:hAnsi="仿宋" w:eastAsia="仿宋" w:cs="仿宋"/>
          <w:b w:val="0"/>
          <w:bCs w:val="0"/>
          <w:color w:val="010101"/>
          <w:kern w:val="0"/>
          <w:sz w:val="32"/>
          <w:szCs w:val="32"/>
        </w:rPr>
        <w:t>统筹有线、无线、卫星三种覆盖方式，建设广播电视现代化智能覆盖体系，</w:t>
      </w:r>
      <w:r>
        <w:rPr>
          <w:rFonts w:hint="eastAsia" w:ascii="仿宋" w:hAnsi="仿宋" w:eastAsia="仿宋" w:cs="仿宋"/>
          <w:kern w:val="0"/>
          <w:sz w:val="32"/>
          <w:szCs w:val="32"/>
        </w:rPr>
        <w:t>高质量转播中央、省、市、县广播电视数字化高清节目</w:t>
      </w:r>
      <w:r>
        <w:rPr>
          <w:rFonts w:hint="eastAsia" w:ascii="仿宋" w:hAnsi="仿宋" w:eastAsia="仿宋" w:cs="仿宋"/>
          <w:b w:val="0"/>
          <w:bCs w:val="0"/>
          <w:color w:val="010101"/>
          <w:kern w:val="0"/>
          <w:sz w:val="32"/>
          <w:szCs w:val="32"/>
          <w:lang w:eastAsia="zh-CN"/>
        </w:rPr>
        <w:t>；</w:t>
      </w:r>
      <w:r>
        <w:rPr>
          <w:rFonts w:hint="eastAsia" w:ascii="仿宋" w:hAnsi="仿宋" w:eastAsia="仿宋" w:cs="仿宋"/>
          <w:b w:val="0"/>
          <w:bCs w:val="0"/>
          <w:color w:val="010101"/>
          <w:kern w:val="0"/>
          <w:sz w:val="32"/>
          <w:szCs w:val="32"/>
          <w:lang w:val="en-US" w:eastAsia="zh-CN"/>
        </w:rPr>
        <w:t>加强应急广播“村村响”、</w:t>
      </w:r>
      <w:r>
        <w:rPr>
          <w:rFonts w:hint="eastAsia" w:ascii="仿宋" w:hAnsi="仿宋" w:eastAsia="仿宋" w:cs="仿宋"/>
          <w:b w:val="0"/>
          <w:bCs w:val="0"/>
          <w:color w:val="010101"/>
          <w:kern w:val="0"/>
          <w:sz w:val="32"/>
          <w:szCs w:val="32"/>
        </w:rPr>
        <w:t>石牛峰高山台</w:t>
      </w:r>
      <w:r>
        <w:rPr>
          <w:rFonts w:hint="eastAsia" w:ascii="仿宋" w:hAnsi="仿宋" w:eastAsia="仿宋" w:cs="仿宋"/>
          <w:b w:val="0"/>
          <w:bCs w:val="0"/>
          <w:color w:val="010101"/>
          <w:kern w:val="0"/>
          <w:sz w:val="32"/>
          <w:szCs w:val="32"/>
          <w:lang w:val="en-US" w:eastAsia="zh-CN"/>
        </w:rPr>
        <w:t>无线发射管理和</w:t>
      </w:r>
      <w:r>
        <w:rPr>
          <w:rFonts w:hint="eastAsia" w:ascii="仿宋" w:hAnsi="仿宋" w:eastAsia="仿宋" w:cs="仿宋"/>
          <w:b w:val="0"/>
          <w:bCs w:val="0"/>
          <w:color w:val="010101"/>
          <w:kern w:val="0"/>
          <w:sz w:val="32"/>
          <w:szCs w:val="32"/>
        </w:rPr>
        <w:t>维护</w:t>
      </w:r>
      <w:r>
        <w:rPr>
          <w:rFonts w:hint="eastAsia" w:ascii="仿宋" w:hAnsi="仿宋" w:eastAsia="仿宋" w:cs="仿宋"/>
          <w:b w:val="0"/>
          <w:bCs w:val="0"/>
          <w:color w:val="010101"/>
          <w:kern w:val="0"/>
          <w:sz w:val="32"/>
          <w:szCs w:val="32"/>
          <w:lang w:eastAsia="zh-CN"/>
        </w:rPr>
        <w:t>，</w:t>
      </w:r>
      <w:r>
        <w:rPr>
          <w:rFonts w:hint="eastAsia" w:ascii="仿宋" w:hAnsi="仿宋" w:eastAsia="仿宋" w:cs="仿宋"/>
          <w:b w:val="0"/>
          <w:bCs w:val="0"/>
          <w:color w:val="010101"/>
          <w:kern w:val="0"/>
          <w:sz w:val="32"/>
          <w:szCs w:val="32"/>
          <w:lang w:val="en-US" w:eastAsia="zh-CN"/>
        </w:rPr>
        <w:t>保障用户看好电视听好广播</w:t>
      </w:r>
      <w:r>
        <w:rPr>
          <w:rFonts w:hint="eastAsia" w:ascii="仿宋" w:hAnsi="仿宋" w:eastAsia="仿宋" w:cs="仿宋"/>
          <w:b w:val="0"/>
          <w:bCs w:val="0"/>
          <w:color w:val="010101"/>
          <w:kern w:val="0"/>
          <w:sz w:val="32"/>
          <w:szCs w:val="32"/>
        </w:rPr>
        <w:t>。</w:t>
      </w:r>
      <w:r>
        <w:rPr>
          <w:rFonts w:hint="eastAsia" w:ascii="仿宋" w:hAnsi="仿宋" w:eastAsia="仿宋" w:cs="仿宋"/>
          <w:b/>
          <w:bCs/>
          <w:color w:val="auto"/>
          <w:kern w:val="0"/>
          <w:sz w:val="32"/>
          <w:szCs w:val="32"/>
          <w:lang w:val="en-US" w:eastAsia="zh-CN"/>
        </w:rPr>
        <w:t>二是宣传影响持续扩大。</w:t>
      </w:r>
      <w:r>
        <w:rPr>
          <w:rFonts w:hint="eastAsia" w:ascii="仿宋" w:hAnsi="仿宋" w:eastAsia="仿宋" w:cs="仿宋"/>
          <w:b w:val="0"/>
          <w:bCs w:val="0"/>
          <w:color w:val="auto"/>
          <w:kern w:val="0"/>
          <w:sz w:val="32"/>
          <w:szCs w:val="32"/>
          <w:lang w:val="en-US" w:eastAsia="zh-CN"/>
        </w:rPr>
        <w:t>构建全媒体传播矩阵，打造新型主流媒体；</w:t>
      </w:r>
      <w:r>
        <w:rPr>
          <w:rFonts w:hint="eastAsia" w:ascii="仿宋" w:hAnsi="仿宋" w:eastAsia="仿宋" w:cs="仿宋"/>
          <w:color w:val="auto"/>
          <w:sz w:val="32"/>
          <w:szCs w:val="32"/>
          <w:lang w:val="en-US" w:eastAsia="zh-CN"/>
        </w:rPr>
        <w:t>创建自主宣传品牌，</w:t>
      </w:r>
      <w:r>
        <w:rPr>
          <w:rFonts w:hint="eastAsia" w:ascii="仿宋" w:hAnsi="仿宋" w:eastAsia="仿宋" w:cs="仿宋"/>
          <w:color w:val="auto"/>
          <w:sz w:val="32"/>
          <w:szCs w:val="32"/>
          <w:lang w:eastAsia="zh-CN"/>
        </w:rPr>
        <w:t>推荐衡南</w:t>
      </w:r>
      <w:r>
        <w:rPr>
          <w:rFonts w:hint="eastAsia" w:ascii="仿宋" w:hAnsi="仿宋" w:eastAsia="仿宋" w:cs="仿宋"/>
          <w:color w:val="auto"/>
          <w:sz w:val="32"/>
          <w:szCs w:val="32"/>
          <w:lang w:val="en-US" w:eastAsia="zh-CN"/>
        </w:rPr>
        <w:t>特色经济</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推动县域经济发展；</w:t>
      </w:r>
      <w:r>
        <w:rPr>
          <w:rFonts w:hint="eastAsia" w:ascii="仿宋" w:hAnsi="仿宋" w:eastAsia="仿宋" w:cs="仿宋"/>
          <w:b w:val="0"/>
          <w:bCs w:val="0"/>
          <w:color w:val="auto"/>
          <w:kern w:val="0"/>
          <w:sz w:val="32"/>
          <w:szCs w:val="32"/>
          <w:lang w:val="en-US" w:eastAsia="zh-CN"/>
        </w:rPr>
        <w:t>承办一系列文化宣传活动</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不断提升传播力、影响力、公信力</w:t>
      </w:r>
      <w:r>
        <w:rPr>
          <w:rFonts w:hint="eastAsia" w:ascii="仿宋" w:hAnsi="仿宋" w:eastAsia="仿宋" w:cs="仿宋"/>
          <w:b w:val="0"/>
          <w:bCs w:val="0"/>
          <w:color w:val="auto"/>
          <w:kern w:val="0"/>
          <w:sz w:val="32"/>
          <w:szCs w:val="32"/>
          <w:lang w:val="en-US" w:eastAsia="zh-CN"/>
        </w:rPr>
        <w:t>。</w:t>
      </w:r>
      <w:r>
        <w:rPr>
          <w:rFonts w:hint="eastAsia" w:ascii="仿宋" w:hAnsi="仿宋" w:eastAsia="仿宋" w:cs="仿宋"/>
          <w:b/>
          <w:bCs/>
          <w:color w:val="auto"/>
          <w:kern w:val="0"/>
          <w:sz w:val="32"/>
          <w:szCs w:val="32"/>
          <w:lang w:val="en-US" w:eastAsia="zh-CN"/>
        </w:rPr>
        <w:t>三是民生服务提质增效。</w:t>
      </w:r>
      <w:r>
        <w:rPr>
          <w:rFonts w:hint="eastAsia" w:ascii="仿宋" w:hAnsi="仿宋" w:eastAsia="仿宋" w:cs="仿宋"/>
          <w:sz w:val="32"/>
          <w:szCs w:val="32"/>
          <w:u w:val="none"/>
          <w:lang w:val="en-US" w:eastAsia="zh-CN"/>
        </w:rPr>
        <w:t>以智慧衡南手机台为主阵地，</w:t>
      </w:r>
      <w:r>
        <w:rPr>
          <w:rFonts w:hint="eastAsia" w:ascii="仿宋" w:hAnsi="仿宋" w:eastAsia="仿宋" w:cs="仿宋"/>
          <w:b w:val="0"/>
          <w:bCs w:val="0"/>
          <w:sz w:val="32"/>
          <w:szCs w:val="32"/>
          <w:u w:val="none"/>
          <w:lang w:val="en-US" w:eastAsia="zh-CN"/>
        </w:rPr>
        <w:t>积极探索“新闻+政务+服务+产业”的发展战略，</w:t>
      </w:r>
      <w:r>
        <w:rPr>
          <w:rFonts w:hint="eastAsia" w:ascii="仿宋" w:hAnsi="仿宋" w:eastAsia="仿宋" w:cs="仿宋"/>
          <w:sz w:val="32"/>
          <w:szCs w:val="32"/>
          <w:u w:val="none"/>
          <w:lang w:val="en-US" w:eastAsia="zh-CN"/>
        </w:rPr>
        <w:t>整合全县政务信息资源，将更多的政府办事事项链接到智慧衡南APP平台上来，打造政务公开信息发布平台，实现更多的便民服务，进一步增强引导群众、服务群众能力</w:t>
      </w:r>
      <w:r>
        <w:rPr>
          <w:rFonts w:hint="eastAsia" w:ascii="仿宋" w:hAnsi="仿宋" w:eastAsia="仿宋" w:cs="仿宋"/>
          <w:b w:val="0"/>
          <w:bCs w:val="0"/>
          <w:color w:val="auto"/>
          <w:kern w:val="0"/>
          <w:sz w:val="32"/>
          <w:szCs w:val="32"/>
          <w:lang w:val="en-US" w:eastAsia="zh-CN"/>
        </w:rPr>
        <w:t>。</w:t>
      </w:r>
      <w:r>
        <w:rPr>
          <w:rFonts w:hint="eastAsia" w:ascii="仿宋" w:hAnsi="仿宋" w:eastAsia="仿宋" w:cs="仿宋"/>
          <w:b w:val="0"/>
          <w:bCs w:val="0"/>
          <w:color w:val="010101"/>
          <w:kern w:val="0"/>
          <w:sz w:val="32"/>
          <w:szCs w:val="32"/>
          <w:lang w:val="en-US" w:eastAsia="zh-CN"/>
        </w:rPr>
        <w:t>故此两项各得满分8分。</w:t>
      </w:r>
    </w:p>
    <w:p>
      <w:pPr>
        <w:keepNext w:val="0"/>
        <w:keepLines w:val="0"/>
        <w:pageBreakBefore w:val="0"/>
        <w:kinsoku/>
        <w:wordWrap/>
        <w:overflowPunct/>
        <w:topLinePunct w:val="0"/>
        <w:autoSpaceDE/>
        <w:autoSpaceDN/>
        <w:bidi w:val="0"/>
        <w:spacing w:line="560" w:lineRule="exact"/>
        <w:ind w:firstLine="643" w:firstLineChars="200"/>
        <w:textAlignment w:val="auto"/>
        <w:rPr>
          <w:rFonts w:hint="eastAsia" w:ascii="仿宋" w:hAnsi="仿宋" w:eastAsia="仿宋" w:cs="仿宋"/>
          <w:b w:val="0"/>
          <w:bCs w:val="0"/>
          <w:i w:val="0"/>
          <w:iCs w:val="0"/>
          <w:color w:val="333333"/>
          <w:kern w:val="0"/>
          <w:sz w:val="32"/>
          <w:szCs w:val="32"/>
          <w:lang w:val="en-US" w:eastAsia="zh-CN"/>
        </w:rPr>
      </w:pPr>
      <w:r>
        <w:rPr>
          <w:rFonts w:hint="eastAsia" w:ascii="仿宋" w:hAnsi="仿宋" w:eastAsia="仿宋" w:cs="仿宋"/>
          <w:b/>
          <w:bCs/>
          <w:i w:val="0"/>
          <w:iCs w:val="0"/>
          <w:color w:val="333333"/>
          <w:kern w:val="0"/>
          <w:sz w:val="32"/>
          <w:szCs w:val="32"/>
          <w:lang w:val="en-US" w:eastAsia="zh-CN"/>
        </w:rPr>
        <w:t>2.社会公众或服务对象满意度：</w:t>
      </w:r>
      <w:r>
        <w:rPr>
          <w:rFonts w:hint="eastAsia" w:ascii="仿宋" w:hAnsi="仿宋" w:eastAsia="仿宋" w:cs="仿宋"/>
          <w:b w:val="0"/>
          <w:bCs w:val="0"/>
          <w:i w:val="0"/>
          <w:iCs w:val="0"/>
          <w:color w:val="333333"/>
          <w:kern w:val="0"/>
          <w:sz w:val="32"/>
          <w:szCs w:val="32"/>
          <w:lang w:val="en-US" w:eastAsia="zh-CN"/>
        </w:rPr>
        <w:t>根据县委县政府绩效评估考核结果（优秀，得16分；良好，得13分；合格，得10分；不合格，得5分）。我中心绩效评估结果为良好，故得分13分。</w:t>
      </w:r>
    </w:p>
    <w:p>
      <w:pPr>
        <w:spacing w:line="560" w:lineRule="exact"/>
        <w:ind w:firstLine="640" w:firstLineChars="200"/>
        <w:rPr>
          <w:rFonts w:hint="eastAsia" w:ascii="仿宋" w:hAnsi="仿宋" w:eastAsia="仿宋" w:cs="仿宋"/>
          <w:b w:val="0"/>
          <w:bCs w:val="0"/>
          <w:color w:val="010101"/>
          <w:kern w:val="0"/>
          <w:sz w:val="32"/>
          <w:szCs w:val="32"/>
        </w:rPr>
      </w:pPr>
    </w:p>
    <w:p>
      <w:pPr>
        <w:numPr>
          <w:ilvl w:val="0"/>
          <w:numId w:val="3"/>
        </w:numPr>
        <w:spacing w:line="560" w:lineRule="exact"/>
        <w:ind w:firstLine="643" w:firstLineChars="200"/>
        <w:rPr>
          <w:rFonts w:hint="eastAsia" w:ascii="仿宋" w:hAnsi="仿宋" w:eastAsia="仿宋" w:cs="仿宋"/>
          <w:b/>
          <w:bCs/>
          <w:kern w:val="0"/>
          <w:sz w:val="32"/>
          <w:szCs w:val="32"/>
        </w:rPr>
      </w:pPr>
      <w:r>
        <w:rPr>
          <w:rFonts w:hint="eastAsia" w:ascii="仿宋" w:hAnsi="仿宋" w:eastAsia="仿宋" w:cs="仿宋"/>
          <w:b/>
          <w:bCs/>
          <w:kern w:val="0"/>
          <w:sz w:val="32"/>
          <w:szCs w:val="32"/>
        </w:rPr>
        <w:t>存在的主要问题</w:t>
      </w:r>
    </w:p>
    <w:p>
      <w:pPr>
        <w:numPr>
          <w:ilvl w:val="0"/>
          <w:numId w:val="0"/>
        </w:numPr>
        <w:spacing w:line="560" w:lineRule="exact"/>
        <w:ind w:firstLine="640" w:firstLineChars="200"/>
        <w:rPr>
          <w:rFonts w:hint="eastAsia" w:ascii="仿宋" w:hAnsi="仿宋" w:eastAsia="仿宋" w:cs="仿宋"/>
          <w:b w:val="0"/>
          <w:bCs w:val="0"/>
          <w:kern w:val="0"/>
          <w:sz w:val="32"/>
          <w:szCs w:val="32"/>
          <w:lang w:eastAsia="zh-CN"/>
        </w:rPr>
      </w:pPr>
      <w:r>
        <w:rPr>
          <w:rFonts w:hint="eastAsia" w:ascii="仿宋" w:hAnsi="仿宋" w:eastAsia="仿宋" w:cs="仿宋"/>
          <w:b w:val="0"/>
          <w:bCs w:val="0"/>
          <w:kern w:val="0"/>
          <w:sz w:val="32"/>
          <w:szCs w:val="32"/>
        </w:rPr>
        <w:t>从预算收支情况看</w:t>
      </w:r>
      <w:r>
        <w:rPr>
          <w:rFonts w:hint="eastAsia" w:ascii="仿宋" w:hAnsi="仿宋" w:eastAsia="仿宋" w:cs="仿宋"/>
          <w:b w:val="0"/>
          <w:bCs w:val="0"/>
          <w:kern w:val="0"/>
          <w:sz w:val="32"/>
          <w:szCs w:val="32"/>
          <w:lang w:eastAsia="zh-CN"/>
        </w:rPr>
        <w:t>，</w:t>
      </w:r>
      <w:r>
        <w:rPr>
          <w:rFonts w:hint="eastAsia" w:ascii="仿宋" w:hAnsi="仿宋" w:eastAsia="仿宋" w:cs="仿宋"/>
          <w:b w:val="0"/>
          <w:bCs w:val="0"/>
          <w:kern w:val="0"/>
          <w:sz w:val="32"/>
          <w:szCs w:val="32"/>
        </w:rPr>
        <w:t>年初预算与部门决算仍存在偏差，在预算执行过程中，由于各种客观原因存在指标之间调剂使用的现象，预算编制、</w:t>
      </w:r>
      <w:r>
        <w:rPr>
          <w:rFonts w:hint="eastAsia" w:ascii="仿宋" w:hAnsi="仿宋" w:eastAsia="仿宋" w:cs="仿宋"/>
          <w:b w:val="0"/>
          <w:bCs w:val="0"/>
          <w:kern w:val="0"/>
          <w:sz w:val="32"/>
          <w:szCs w:val="32"/>
          <w:lang w:eastAsia="zh-CN"/>
        </w:rPr>
        <w:t>指标</w:t>
      </w:r>
      <w:r>
        <w:rPr>
          <w:rFonts w:hint="eastAsia" w:ascii="仿宋" w:hAnsi="仿宋" w:eastAsia="仿宋" w:cs="仿宋"/>
          <w:b w:val="0"/>
          <w:bCs w:val="0"/>
          <w:kern w:val="0"/>
          <w:sz w:val="32"/>
          <w:szCs w:val="32"/>
        </w:rPr>
        <w:t>下达需要更加科学、及时。同时，内部控制制度还</w:t>
      </w:r>
      <w:r>
        <w:rPr>
          <w:rFonts w:hint="eastAsia" w:ascii="仿宋" w:hAnsi="仿宋" w:eastAsia="仿宋" w:cs="仿宋"/>
          <w:b w:val="0"/>
          <w:bCs w:val="0"/>
          <w:kern w:val="0"/>
          <w:sz w:val="32"/>
          <w:szCs w:val="32"/>
          <w:lang w:eastAsia="zh-CN"/>
        </w:rPr>
        <w:t>有</w:t>
      </w:r>
      <w:r>
        <w:rPr>
          <w:rFonts w:hint="eastAsia" w:ascii="仿宋" w:hAnsi="仿宋" w:eastAsia="仿宋" w:cs="仿宋"/>
          <w:b w:val="0"/>
          <w:bCs w:val="0"/>
          <w:kern w:val="0"/>
          <w:sz w:val="32"/>
          <w:szCs w:val="32"/>
        </w:rPr>
        <w:t>待于进一步完善，行政运行成本控制方面还有一定压缩空间。但是预算的专项资金一直不能</w:t>
      </w:r>
      <w:r>
        <w:rPr>
          <w:rFonts w:hint="eastAsia" w:ascii="仿宋" w:hAnsi="仿宋" w:eastAsia="仿宋" w:cs="仿宋"/>
          <w:b w:val="0"/>
          <w:bCs w:val="0"/>
          <w:kern w:val="0"/>
          <w:sz w:val="32"/>
          <w:szCs w:val="32"/>
          <w:lang w:eastAsia="zh-CN"/>
        </w:rPr>
        <w:t>及时</w:t>
      </w:r>
      <w:r>
        <w:rPr>
          <w:rFonts w:hint="eastAsia" w:ascii="仿宋" w:hAnsi="仿宋" w:eastAsia="仿宋" w:cs="仿宋"/>
          <w:b w:val="0"/>
          <w:bCs w:val="0"/>
          <w:kern w:val="0"/>
          <w:sz w:val="32"/>
          <w:szCs w:val="32"/>
        </w:rPr>
        <w:t>拨付到位，</w:t>
      </w:r>
      <w:r>
        <w:rPr>
          <w:rFonts w:hint="eastAsia" w:ascii="仿宋" w:hAnsi="仿宋" w:eastAsia="仿宋" w:cs="仿宋"/>
          <w:b w:val="0"/>
          <w:bCs w:val="0"/>
          <w:kern w:val="0"/>
          <w:sz w:val="32"/>
          <w:szCs w:val="32"/>
          <w:lang w:eastAsia="zh-CN"/>
        </w:rPr>
        <w:t>极大</w:t>
      </w:r>
      <w:r>
        <w:rPr>
          <w:rFonts w:hint="eastAsia" w:ascii="仿宋" w:hAnsi="仿宋" w:eastAsia="仿宋" w:cs="仿宋"/>
          <w:b w:val="0"/>
          <w:bCs w:val="0"/>
          <w:kern w:val="0"/>
          <w:sz w:val="32"/>
          <w:szCs w:val="32"/>
        </w:rPr>
        <w:t>地影响工作进度</w:t>
      </w:r>
      <w:r>
        <w:rPr>
          <w:rFonts w:hint="eastAsia" w:ascii="仿宋" w:hAnsi="仿宋" w:eastAsia="仿宋" w:cs="仿宋"/>
          <w:b w:val="0"/>
          <w:bCs w:val="0"/>
          <w:kern w:val="0"/>
          <w:sz w:val="32"/>
          <w:szCs w:val="32"/>
          <w:lang w:eastAsia="zh-CN"/>
        </w:rPr>
        <w:t>。</w:t>
      </w:r>
    </w:p>
    <w:p>
      <w:pPr>
        <w:numPr>
          <w:ilvl w:val="0"/>
          <w:numId w:val="0"/>
        </w:numPr>
        <w:spacing w:line="560" w:lineRule="exact"/>
        <w:ind w:firstLine="640" w:firstLineChars="200"/>
        <w:rPr>
          <w:rFonts w:hint="eastAsia" w:ascii="仿宋" w:hAnsi="仿宋" w:eastAsia="仿宋" w:cs="仿宋"/>
          <w:b w:val="0"/>
          <w:bCs w:val="0"/>
          <w:kern w:val="0"/>
          <w:sz w:val="32"/>
          <w:szCs w:val="32"/>
          <w:lang w:eastAsia="zh-CN"/>
        </w:rPr>
      </w:pPr>
    </w:p>
    <w:p>
      <w:pPr>
        <w:spacing w:line="560" w:lineRule="exact"/>
        <w:ind w:firstLine="643" w:firstLineChars="200"/>
        <w:rPr>
          <w:rFonts w:hint="eastAsia" w:ascii="仿宋" w:hAnsi="仿宋" w:eastAsia="仿宋" w:cs="仿宋"/>
          <w:b/>
          <w:bCs/>
          <w:kern w:val="0"/>
          <w:sz w:val="32"/>
          <w:szCs w:val="32"/>
        </w:rPr>
      </w:pPr>
      <w:r>
        <w:rPr>
          <w:rFonts w:hint="eastAsia" w:ascii="仿宋" w:hAnsi="仿宋" w:eastAsia="仿宋" w:cs="仿宋"/>
          <w:b/>
          <w:bCs/>
          <w:kern w:val="0"/>
          <w:sz w:val="32"/>
          <w:szCs w:val="32"/>
        </w:rPr>
        <w:t>五、改进措施及建议</w:t>
      </w:r>
    </w:p>
    <w:p>
      <w:pPr>
        <w:ind w:firstLine="640" w:firstLineChars="200"/>
        <w:jc w:val="left"/>
        <w:rPr>
          <w:rFonts w:hint="eastAsia" w:ascii="仿宋" w:hAnsi="仿宋" w:eastAsia="仿宋" w:cs="仿宋"/>
          <w:b w:val="0"/>
          <w:bCs/>
          <w:sz w:val="32"/>
          <w:szCs w:val="32"/>
        </w:rPr>
      </w:pPr>
      <w:r>
        <w:rPr>
          <w:rFonts w:hint="eastAsia" w:ascii="仿宋" w:hAnsi="仿宋" w:eastAsia="仿宋" w:cs="仿宋"/>
          <w:b w:val="0"/>
          <w:bCs/>
          <w:sz w:val="32"/>
          <w:szCs w:val="32"/>
        </w:rPr>
        <w:t>针对上述存在的问题及我</w:t>
      </w:r>
      <w:r>
        <w:rPr>
          <w:rFonts w:hint="eastAsia" w:ascii="仿宋" w:hAnsi="仿宋" w:eastAsia="仿宋" w:cs="仿宋"/>
          <w:b w:val="0"/>
          <w:bCs/>
          <w:sz w:val="32"/>
          <w:szCs w:val="32"/>
          <w:lang w:eastAsia="zh-CN"/>
        </w:rPr>
        <w:t>中心</w:t>
      </w:r>
      <w:r>
        <w:rPr>
          <w:rFonts w:hint="eastAsia" w:ascii="仿宋" w:hAnsi="仿宋" w:eastAsia="仿宋" w:cs="仿宋"/>
          <w:b w:val="0"/>
          <w:bCs/>
          <w:sz w:val="32"/>
          <w:szCs w:val="32"/>
        </w:rPr>
        <w:t>整体支出管理工作的需要，拟实施的改进措施如下：</w:t>
      </w:r>
    </w:p>
    <w:p>
      <w:pPr>
        <w:ind w:firstLine="643" w:firstLineChars="200"/>
        <w:jc w:val="left"/>
        <w:rPr>
          <w:rFonts w:hint="eastAsia" w:ascii="仿宋" w:hAnsi="仿宋" w:eastAsia="仿宋" w:cs="仿宋"/>
          <w:b w:val="0"/>
          <w:bCs/>
          <w:sz w:val="32"/>
          <w:szCs w:val="32"/>
        </w:rPr>
      </w:pPr>
      <w:r>
        <w:rPr>
          <w:rFonts w:hint="eastAsia" w:ascii="仿宋" w:hAnsi="仿宋" w:eastAsia="仿宋" w:cs="仿宋"/>
          <w:b/>
          <w:bCs w:val="0"/>
          <w:sz w:val="32"/>
          <w:szCs w:val="32"/>
        </w:rPr>
        <w:t>（一）全面精准预算编制工作</w:t>
      </w:r>
      <w:r>
        <w:rPr>
          <w:rFonts w:hint="eastAsia" w:ascii="仿宋" w:hAnsi="仿宋" w:eastAsia="仿宋" w:cs="仿宋"/>
          <w:b w:val="0"/>
          <w:bCs/>
          <w:sz w:val="32"/>
          <w:szCs w:val="32"/>
        </w:rPr>
        <w:t>。进一步强化</w:t>
      </w:r>
      <w:r>
        <w:rPr>
          <w:rFonts w:hint="eastAsia" w:ascii="仿宋" w:hAnsi="仿宋" w:eastAsia="仿宋" w:cs="仿宋"/>
          <w:b w:val="0"/>
          <w:bCs/>
          <w:sz w:val="32"/>
          <w:szCs w:val="32"/>
          <w:lang w:eastAsia="zh-CN"/>
        </w:rPr>
        <w:t>中心</w:t>
      </w:r>
      <w:r>
        <w:rPr>
          <w:rFonts w:hint="eastAsia" w:ascii="仿宋" w:hAnsi="仿宋" w:eastAsia="仿宋" w:cs="仿宋"/>
          <w:b w:val="0"/>
          <w:bCs/>
          <w:sz w:val="32"/>
          <w:szCs w:val="32"/>
        </w:rPr>
        <w:t>机关各部门的预算管理意识，严格按照预算编制的相关制度和要求，公用经费根据单位的年度工作重点和专项工作规划，本着“勤俭节约、保障运转”的原则进行预算的编制。编制范围尽可能的全面、完整，进一步提高预算编制的科学性、合理性、严谨性和可控性，尽最大可能减少预决算执行差异。</w:t>
      </w:r>
    </w:p>
    <w:p>
      <w:pPr>
        <w:ind w:firstLine="643" w:firstLineChars="200"/>
        <w:jc w:val="left"/>
        <w:rPr>
          <w:rFonts w:hint="eastAsia" w:ascii="仿宋" w:hAnsi="仿宋" w:eastAsia="仿宋" w:cs="仿宋"/>
          <w:b w:val="0"/>
          <w:bCs/>
          <w:sz w:val="32"/>
          <w:szCs w:val="32"/>
        </w:rPr>
      </w:pPr>
      <w:r>
        <w:rPr>
          <w:rFonts w:hint="eastAsia" w:ascii="仿宋" w:hAnsi="仿宋" w:eastAsia="仿宋" w:cs="仿宋"/>
          <w:b/>
          <w:bCs w:val="0"/>
          <w:sz w:val="32"/>
          <w:szCs w:val="32"/>
        </w:rPr>
        <w:t>（二）加强预算编制的前瞻性</w:t>
      </w:r>
      <w:r>
        <w:rPr>
          <w:rFonts w:hint="eastAsia" w:ascii="仿宋" w:hAnsi="仿宋" w:eastAsia="仿宋" w:cs="仿宋"/>
          <w:b w:val="0"/>
          <w:bCs/>
          <w:sz w:val="32"/>
          <w:szCs w:val="32"/>
        </w:rPr>
        <w:t>。按照新《预算法》及其实施条例的相关规定，按政策规定的发展规划，结合上一年度预算执行情况和本年度预算收支变化因素，科学、合理地编制本年预算草案，尽可能避免项目支出与基本支出划分不准或预算支出与实际执行出现较大偏差的情况，执行中确需调剂预算的，按规定程序报经批准。</w:t>
      </w:r>
    </w:p>
    <w:p>
      <w:pPr>
        <w:ind w:firstLine="643" w:firstLineChars="200"/>
        <w:jc w:val="left"/>
        <w:rPr>
          <w:rFonts w:hint="eastAsia" w:ascii="仿宋" w:hAnsi="仿宋" w:eastAsia="仿宋" w:cs="仿宋"/>
          <w:b w:val="0"/>
          <w:bCs/>
          <w:sz w:val="32"/>
          <w:szCs w:val="32"/>
        </w:rPr>
      </w:pPr>
      <w:r>
        <w:rPr>
          <w:rFonts w:hint="eastAsia" w:ascii="仿宋" w:hAnsi="仿宋" w:eastAsia="仿宋" w:cs="仿宋"/>
          <w:b/>
          <w:bCs w:val="0"/>
          <w:sz w:val="32"/>
          <w:szCs w:val="32"/>
        </w:rPr>
        <w:t>（三）强化绩效管理意识。</w:t>
      </w:r>
      <w:r>
        <w:rPr>
          <w:rFonts w:hint="eastAsia" w:ascii="仿宋" w:hAnsi="仿宋" w:eastAsia="仿宋" w:cs="仿宋"/>
          <w:b w:val="0"/>
          <w:bCs/>
          <w:sz w:val="32"/>
          <w:szCs w:val="32"/>
        </w:rPr>
        <w:t>进一步强化绩效理念，将绩效管理理念贯穿于资金分配到资金使用全过程，加大资金整合力度，强化专项资金管理，把有限的资金用在刀刃上，提高财政资金使用效益。同时，抓好内控制度建设，进一步降低行政成本，确保资金安全，进一步推进廉洁高效政府建设。</w:t>
      </w:r>
    </w:p>
    <w:p>
      <w:pPr>
        <w:rPr>
          <w:rFonts w:hint="eastAsia" w:ascii="仿宋" w:hAnsi="仿宋" w:eastAsia="仿宋" w:cs="仿宋"/>
        </w:rPr>
      </w:pP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2"/>
                    </w:pPr>
                    <w:r>
                      <w:fldChar w:fldCharType="begin"/>
                    </w:r>
                    <w:r>
                      <w:instrText xml:space="preserve"> PAGE  \* MERGEFORMAT </w:instrText>
                    </w:r>
                    <w:r>
                      <w:fldChar w:fldCharType="separate"/>
                    </w:r>
                    <w:r>
                      <w:t>1</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A4959AE"/>
    <w:multiLevelType w:val="singleLevel"/>
    <w:tmpl w:val="BA4959AE"/>
    <w:lvl w:ilvl="0" w:tentative="0">
      <w:start w:val="4"/>
      <w:numFmt w:val="chineseCounting"/>
      <w:suff w:val="nothing"/>
      <w:lvlText w:val="%1、"/>
      <w:lvlJc w:val="left"/>
      <w:rPr>
        <w:rFonts w:hint="eastAsia"/>
      </w:rPr>
    </w:lvl>
  </w:abstractNum>
  <w:abstractNum w:abstractNumId="1">
    <w:nsid w:val="C4CCEAC3"/>
    <w:multiLevelType w:val="singleLevel"/>
    <w:tmpl w:val="C4CCEAC3"/>
    <w:lvl w:ilvl="0" w:tentative="0">
      <w:start w:val="4"/>
      <w:numFmt w:val="decimal"/>
      <w:suff w:val="nothing"/>
      <w:lvlText w:val="（%1）"/>
      <w:lvlJc w:val="left"/>
    </w:lvl>
  </w:abstractNum>
  <w:abstractNum w:abstractNumId="2">
    <w:nsid w:val="172A94AE"/>
    <w:multiLevelType w:val="singleLevel"/>
    <w:tmpl w:val="172A94AE"/>
    <w:lvl w:ilvl="0" w:tentative="0">
      <w:start w:val="1"/>
      <w:numFmt w:val="chineseCounting"/>
      <w:suff w:val="nothing"/>
      <w:lvlText w:val="（%1）"/>
      <w:lvlJc w:val="left"/>
      <w:rPr>
        <w:rFonts w:hint="eastAsia"/>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MxZWZmMjcyYzE1M2I2ZDgxM2Q5MTkwZGZhYWY5NTAifQ=="/>
  </w:docVars>
  <w:rsids>
    <w:rsidRoot w:val="1F8F6AE9"/>
    <w:rsid w:val="001113BD"/>
    <w:rsid w:val="00501EE6"/>
    <w:rsid w:val="00DB20F7"/>
    <w:rsid w:val="011949CD"/>
    <w:rsid w:val="011952D6"/>
    <w:rsid w:val="01253372"/>
    <w:rsid w:val="017240DE"/>
    <w:rsid w:val="01B95887"/>
    <w:rsid w:val="01BE7323"/>
    <w:rsid w:val="01C012ED"/>
    <w:rsid w:val="01F66ABD"/>
    <w:rsid w:val="01FA47FF"/>
    <w:rsid w:val="01FB40D3"/>
    <w:rsid w:val="023C4E17"/>
    <w:rsid w:val="024C2B81"/>
    <w:rsid w:val="02515084"/>
    <w:rsid w:val="02A8425B"/>
    <w:rsid w:val="02B367FB"/>
    <w:rsid w:val="02B524D4"/>
    <w:rsid w:val="02DC3F04"/>
    <w:rsid w:val="02F5745D"/>
    <w:rsid w:val="030F6088"/>
    <w:rsid w:val="034877EC"/>
    <w:rsid w:val="03CA1FAF"/>
    <w:rsid w:val="042913CB"/>
    <w:rsid w:val="042C3856"/>
    <w:rsid w:val="04B70785"/>
    <w:rsid w:val="04D74983"/>
    <w:rsid w:val="04D756AF"/>
    <w:rsid w:val="05065269"/>
    <w:rsid w:val="05373674"/>
    <w:rsid w:val="059A3C03"/>
    <w:rsid w:val="05B9677F"/>
    <w:rsid w:val="05BD626F"/>
    <w:rsid w:val="05CA44E8"/>
    <w:rsid w:val="05EC445F"/>
    <w:rsid w:val="061F2A86"/>
    <w:rsid w:val="06297DD7"/>
    <w:rsid w:val="06361B7E"/>
    <w:rsid w:val="064F2C3F"/>
    <w:rsid w:val="065D710A"/>
    <w:rsid w:val="06832BC0"/>
    <w:rsid w:val="06915006"/>
    <w:rsid w:val="06A765D7"/>
    <w:rsid w:val="07097292"/>
    <w:rsid w:val="07133C6D"/>
    <w:rsid w:val="07D67651"/>
    <w:rsid w:val="07E15B19"/>
    <w:rsid w:val="084163BB"/>
    <w:rsid w:val="084F6F27"/>
    <w:rsid w:val="08EE7CFD"/>
    <w:rsid w:val="08F71A98"/>
    <w:rsid w:val="091C14FF"/>
    <w:rsid w:val="095E1B17"/>
    <w:rsid w:val="096E7880"/>
    <w:rsid w:val="099A447E"/>
    <w:rsid w:val="09A60DC8"/>
    <w:rsid w:val="09AB2883"/>
    <w:rsid w:val="09BA2AC6"/>
    <w:rsid w:val="0A204617"/>
    <w:rsid w:val="0A40746F"/>
    <w:rsid w:val="0A6642A7"/>
    <w:rsid w:val="0AC92FC0"/>
    <w:rsid w:val="0ACC0D02"/>
    <w:rsid w:val="0B680A2B"/>
    <w:rsid w:val="0BA852CC"/>
    <w:rsid w:val="0BD25035"/>
    <w:rsid w:val="0BD87233"/>
    <w:rsid w:val="0C0149DC"/>
    <w:rsid w:val="0C0B7609"/>
    <w:rsid w:val="0C474AE5"/>
    <w:rsid w:val="0C915D60"/>
    <w:rsid w:val="0CA37841"/>
    <w:rsid w:val="0CAA6E21"/>
    <w:rsid w:val="0CCA74C4"/>
    <w:rsid w:val="0CCF0636"/>
    <w:rsid w:val="0D5A1BF7"/>
    <w:rsid w:val="0D6C2329"/>
    <w:rsid w:val="0D927FE1"/>
    <w:rsid w:val="0DDB5C9E"/>
    <w:rsid w:val="0DFC7A6B"/>
    <w:rsid w:val="0E2D1AB8"/>
    <w:rsid w:val="0E770F85"/>
    <w:rsid w:val="0E925DBF"/>
    <w:rsid w:val="0EA22A1C"/>
    <w:rsid w:val="0EF820C6"/>
    <w:rsid w:val="0EF95E3E"/>
    <w:rsid w:val="0EFD76DC"/>
    <w:rsid w:val="0F3F1AA3"/>
    <w:rsid w:val="0FE10DAC"/>
    <w:rsid w:val="0FE8038D"/>
    <w:rsid w:val="0FF00FEF"/>
    <w:rsid w:val="10233173"/>
    <w:rsid w:val="1051199D"/>
    <w:rsid w:val="106A0DA2"/>
    <w:rsid w:val="10703EDE"/>
    <w:rsid w:val="11561326"/>
    <w:rsid w:val="11965BC6"/>
    <w:rsid w:val="125C155C"/>
    <w:rsid w:val="126805D2"/>
    <w:rsid w:val="127C4DBC"/>
    <w:rsid w:val="12C64289"/>
    <w:rsid w:val="12F901BB"/>
    <w:rsid w:val="1340228E"/>
    <w:rsid w:val="137B1518"/>
    <w:rsid w:val="139B3968"/>
    <w:rsid w:val="142E658A"/>
    <w:rsid w:val="14382F65"/>
    <w:rsid w:val="14BC5944"/>
    <w:rsid w:val="14CB5B87"/>
    <w:rsid w:val="15393438"/>
    <w:rsid w:val="153E0A4F"/>
    <w:rsid w:val="154F0566"/>
    <w:rsid w:val="1594066F"/>
    <w:rsid w:val="15BD5E17"/>
    <w:rsid w:val="16373352"/>
    <w:rsid w:val="16422B2F"/>
    <w:rsid w:val="169528F0"/>
    <w:rsid w:val="16E86EC4"/>
    <w:rsid w:val="170535D2"/>
    <w:rsid w:val="170D762D"/>
    <w:rsid w:val="17575DF8"/>
    <w:rsid w:val="17982698"/>
    <w:rsid w:val="17E4768B"/>
    <w:rsid w:val="18251A52"/>
    <w:rsid w:val="183F0D66"/>
    <w:rsid w:val="184C3483"/>
    <w:rsid w:val="185443E6"/>
    <w:rsid w:val="18A137CE"/>
    <w:rsid w:val="18E15979"/>
    <w:rsid w:val="196F7429"/>
    <w:rsid w:val="19744A3F"/>
    <w:rsid w:val="199E386A"/>
    <w:rsid w:val="19CA28B1"/>
    <w:rsid w:val="19D379B8"/>
    <w:rsid w:val="1A295829"/>
    <w:rsid w:val="1A4F6DA0"/>
    <w:rsid w:val="1A8F7335"/>
    <w:rsid w:val="1AFF3BF4"/>
    <w:rsid w:val="1B0A5FB8"/>
    <w:rsid w:val="1B285AE1"/>
    <w:rsid w:val="1B416BA3"/>
    <w:rsid w:val="1BFE2CE6"/>
    <w:rsid w:val="1C054074"/>
    <w:rsid w:val="1C524FBA"/>
    <w:rsid w:val="1C76287C"/>
    <w:rsid w:val="1C84177C"/>
    <w:rsid w:val="1C931680"/>
    <w:rsid w:val="1C984EE8"/>
    <w:rsid w:val="1CA613B3"/>
    <w:rsid w:val="1CCE090A"/>
    <w:rsid w:val="1CDA105D"/>
    <w:rsid w:val="1D047E88"/>
    <w:rsid w:val="1D1502E7"/>
    <w:rsid w:val="1D1D0F4A"/>
    <w:rsid w:val="1D28626C"/>
    <w:rsid w:val="1D5030CD"/>
    <w:rsid w:val="1DD65CC8"/>
    <w:rsid w:val="1E6D3D85"/>
    <w:rsid w:val="1E827BFE"/>
    <w:rsid w:val="1E956CB2"/>
    <w:rsid w:val="1E984D2C"/>
    <w:rsid w:val="1F2111C5"/>
    <w:rsid w:val="1F391124"/>
    <w:rsid w:val="1F5A0233"/>
    <w:rsid w:val="1F6C478C"/>
    <w:rsid w:val="1F8F6AE9"/>
    <w:rsid w:val="1FB45B95"/>
    <w:rsid w:val="1FC16504"/>
    <w:rsid w:val="1FFE1506"/>
    <w:rsid w:val="200A3A07"/>
    <w:rsid w:val="200F7270"/>
    <w:rsid w:val="208C266E"/>
    <w:rsid w:val="20983709"/>
    <w:rsid w:val="20A976C4"/>
    <w:rsid w:val="20C53DD2"/>
    <w:rsid w:val="21023EAF"/>
    <w:rsid w:val="214D1D7C"/>
    <w:rsid w:val="21506579"/>
    <w:rsid w:val="217429A0"/>
    <w:rsid w:val="219E6AFD"/>
    <w:rsid w:val="21D20555"/>
    <w:rsid w:val="21D544E9"/>
    <w:rsid w:val="21F52495"/>
    <w:rsid w:val="220E0FA3"/>
    <w:rsid w:val="22214AD2"/>
    <w:rsid w:val="22433200"/>
    <w:rsid w:val="22636E4D"/>
    <w:rsid w:val="22F7131D"/>
    <w:rsid w:val="234A05BF"/>
    <w:rsid w:val="234A635F"/>
    <w:rsid w:val="237B2F8F"/>
    <w:rsid w:val="23A423C5"/>
    <w:rsid w:val="23B048C6"/>
    <w:rsid w:val="23B4085A"/>
    <w:rsid w:val="23B73EA6"/>
    <w:rsid w:val="2432177F"/>
    <w:rsid w:val="24343749"/>
    <w:rsid w:val="243E0123"/>
    <w:rsid w:val="244A4D1A"/>
    <w:rsid w:val="244C65AD"/>
    <w:rsid w:val="2454722D"/>
    <w:rsid w:val="24E16D01"/>
    <w:rsid w:val="24F52F99"/>
    <w:rsid w:val="25B3069D"/>
    <w:rsid w:val="264834DB"/>
    <w:rsid w:val="26661BB3"/>
    <w:rsid w:val="26776E1F"/>
    <w:rsid w:val="26997893"/>
    <w:rsid w:val="26D94133"/>
    <w:rsid w:val="26DF25D8"/>
    <w:rsid w:val="275639D6"/>
    <w:rsid w:val="275A1718"/>
    <w:rsid w:val="278A123C"/>
    <w:rsid w:val="27DF1C1D"/>
    <w:rsid w:val="28033B5E"/>
    <w:rsid w:val="288822B5"/>
    <w:rsid w:val="28DE3C83"/>
    <w:rsid w:val="28EB63A0"/>
    <w:rsid w:val="28F90ABD"/>
    <w:rsid w:val="293D309F"/>
    <w:rsid w:val="296A19BB"/>
    <w:rsid w:val="298F1421"/>
    <w:rsid w:val="29910CF5"/>
    <w:rsid w:val="29B669AE"/>
    <w:rsid w:val="2A043BBD"/>
    <w:rsid w:val="2A143554"/>
    <w:rsid w:val="2A331DAD"/>
    <w:rsid w:val="2A4346E5"/>
    <w:rsid w:val="2A4915D0"/>
    <w:rsid w:val="2A7E3970"/>
    <w:rsid w:val="2AA53870"/>
    <w:rsid w:val="2AA809EC"/>
    <w:rsid w:val="2AAA6513"/>
    <w:rsid w:val="2AF92FF6"/>
    <w:rsid w:val="2B1E71B6"/>
    <w:rsid w:val="2B407B5F"/>
    <w:rsid w:val="2BA333F6"/>
    <w:rsid w:val="2BF81500"/>
    <w:rsid w:val="2C3F0EDD"/>
    <w:rsid w:val="2C695F59"/>
    <w:rsid w:val="2CF25F4F"/>
    <w:rsid w:val="2D095047"/>
    <w:rsid w:val="2D0D6AA8"/>
    <w:rsid w:val="2D2B1461"/>
    <w:rsid w:val="2DDB69E3"/>
    <w:rsid w:val="2E2D20F7"/>
    <w:rsid w:val="2E3D769E"/>
    <w:rsid w:val="2E5F5866"/>
    <w:rsid w:val="2EA25753"/>
    <w:rsid w:val="2ED578D6"/>
    <w:rsid w:val="2EEB0EA8"/>
    <w:rsid w:val="2F083808"/>
    <w:rsid w:val="2F0D52C2"/>
    <w:rsid w:val="2F283EAA"/>
    <w:rsid w:val="2F34284F"/>
    <w:rsid w:val="2F601896"/>
    <w:rsid w:val="2FE32CE6"/>
    <w:rsid w:val="30150A67"/>
    <w:rsid w:val="30474804"/>
    <w:rsid w:val="305A62E5"/>
    <w:rsid w:val="309A4933"/>
    <w:rsid w:val="31554CFE"/>
    <w:rsid w:val="31CC4FC0"/>
    <w:rsid w:val="32144BB9"/>
    <w:rsid w:val="327F2033"/>
    <w:rsid w:val="32963820"/>
    <w:rsid w:val="329A5489"/>
    <w:rsid w:val="32DA2B31"/>
    <w:rsid w:val="32E91BA2"/>
    <w:rsid w:val="33152997"/>
    <w:rsid w:val="334C4406"/>
    <w:rsid w:val="336E3E55"/>
    <w:rsid w:val="33B95A18"/>
    <w:rsid w:val="344C063B"/>
    <w:rsid w:val="34847DD4"/>
    <w:rsid w:val="349873DC"/>
    <w:rsid w:val="34AE30A3"/>
    <w:rsid w:val="354237EC"/>
    <w:rsid w:val="35472BB0"/>
    <w:rsid w:val="355A28E3"/>
    <w:rsid w:val="35AF70D3"/>
    <w:rsid w:val="367479D5"/>
    <w:rsid w:val="368D0A96"/>
    <w:rsid w:val="36A71B58"/>
    <w:rsid w:val="36C95F72"/>
    <w:rsid w:val="370D6223"/>
    <w:rsid w:val="372103C1"/>
    <w:rsid w:val="3757357E"/>
    <w:rsid w:val="37620175"/>
    <w:rsid w:val="37797999"/>
    <w:rsid w:val="378C2AA9"/>
    <w:rsid w:val="37C16C4A"/>
    <w:rsid w:val="37C87FD8"/>
    <w:rsid w:val="37E64902"/>
    <w:rsid w:val="37E666B0"/>
    <w:rsid w:val="37ED2E69"/>
    <w:rsid w:val="37F07337"/>
    <w:rsid w:val="383B45B7"/>
    <w:rsid w:val="386046B4"/>
    <w:rsid w:val="38AF2F46"/>
    <w:rsid w:val="38E726E0"/>
    <w:rsid w:val="39290F4A"/>
    <w:rsid w:val="392C27E9"/>
    <w:rsid w:val="394C69E7"/>
    <w:rsid w:val="3982065B"/>
    <w:rsid w:val="39FC040D"/>
    <w:rsid w:val="3A0F6392"/>
    <w:rsid w:val="3A2A31CC"/>
    <w:rsid w:val="3A3F654C"/>
    <w:rsid w:val="3A655FB2"/>
    <w:rsid w:val="3A922B1F"/>
    <w:rsid w:val="3AAA1C17"/>
    <w:rsid w:val="3AE16E59"/>
    <w:rsid w:val="3B441832"/>
    <w:rsid w:val="3B936B4F"/>
    <w:rsid w:val="3BE9676F"/>
    <w:rsid w:val="3BFE66BE"/>
    <w:rsid w:val="3C095063"/>
    <w:rsid w:val="3C2D6FA3"/>
    <w:rsid w:val="3C830972"/>
    <w:rsid w:val="3C97441D"/>
    <w:rsid w:val="3CA37266"/>
    <w:rsid w:val="3CD76F0F"/>
    <w:rsid w:val="3CF655E7"/>
    <w:rsid w:val="3CF67395"/>
    <w:rsid w:val="3D0719EB"/>
    <w:rsid w:val="3D2C725B"/>
    <w:rsid w:val="3D51281E"/>
    <w:rsid w:val="3D962926"/>
    <w:rsid w:val="3DD75419"/>
    <w:rsid w:val="3DFF227A"/>
    <w:rsid w:val="3E175815"/>
    <w:rsid w:val="3E2D62DB"/>
    <w:rsid w:val="3E4C7706"/>
    <w:rsid w:val="3E970704"/>
    <w:rsid w:val="3EBC460F"/>
    <w:rsid w:val="3ECA6D2C"/>
    <w:rsid w:val="3F11495A"/>
    <w:rsid w:val="3F422D66"/>
    <w:rsid w:val="3F5E1222"/>
    <w:rsid w:val="3F830C89"/>
    <w:rsid w:val="3FCE0156"/>
    <w:rsid w:val="3FD339BE"/>
    <w:rsid w:val="3FF35E0E"/>
    <w:rsid w:val="40307062"/>
    <w:rsid w:val="404D19C2"/>
    <w:rsid w:val="40BC08F6"/>
    <w:rsid w:val="40C652D1"/>
    <w:rsid w:val="40D272EC"/>
    <w:rsid w:val="411249BA"/>
    <w:rsid w:val="41265D6F"/>
    <w:rsid w:val="416A2100"/>
    <w:rsid w:val="41792343"/>
    <w:rsid w:val="41C77552"/>
    <w:rsid w:val="41D41C6F"/>
    <w:rsid w:val="421502BE"/>
    <w:rsid w:val="4230334A"/>
    <w:rsid w:val="42786A9F"/>
    <w:rsid w:val="42D53EF1"/>
    <w:rsid w:val="42F44377"/>
    <w:rsid w:val="43ED0DC6"/>
    <w:rsid w:val="43F6411F"/>
    <w:rsid w:val="446B551E"/>
    <w:rsid w:val="447357CF"/>
    <w:rsid w:val="44F85C75"/>
    <w:rsid w:val="452847AC"/>
    <w:rsid w:val="452D1DC2"/>
    <w:rsid w:val="45464C32"/>
    <w:rsid w:val="45481B03"/>
    <w:rsid w:val="45F428E0"/>
    <w:rsid w:val="463D4287"/>
    <w:rsid w:val="464C40B9"/>
    <w:rsid w:val="46674E60"/>
    <w:rsid w:val="46845A12"/>
    <w:rsid w:val="469D2F78"/>
    <w:rsid w:val="469F0A9E"/>
    <w:rsid w:val="47A44F19"/>
    <w:rsid w:val="47FE7B21"/>
    <w:rsid w:val="48166B3E"/>
    <w:rsid w:val="48952158"/>
    <w:rsid w:val="4896054D"/>
    <w:rsid w:val="48FF5824"/>
    <w:rsid w:val="49373210"/>
    <w:rsid w:val="49437E06"/>
    <w:rsid w:val="498D72D3"/>
    <w:rsid w:val="49E113CD"/>
    <w:rsid w:val="49E14F29"/>
    <w:rsid w:val="49FB423D"/>
    <w:rsid w:val="49FF7EF9"/>
    <w:rsid w:val="4A1C1F96"/>
    <w:rsid w:val="4A742241"/>
    <w:rsid w:val="4B315A3D"/>
    <w:rsid w:val="4B79502C"/>
    <w:rsid w:val="4B840262"/>
    <w:rsid w:val="4B86222C"/>
    <w:rsid w:val="4BC00812"/>
    <w:rsid w:val="4BED5E07"/>
    <w:rsid w:val="4BFC429C"/>
    <w:rsid w:val="4C6D0CF6"/>
    <w:rsid w:val="4C8449BE"/>
    <w:rsid w:val="4CB16E35"/>
    <w:rsid w:val="4CE76CFB"/>
    <w:rsid w:val="4D225F85"/>
    <w:rsid w:val="4D330192"/>
    <w:rsid w:val="4D7354EC"/>
    <w:rsid w:val="4D8E53C8"/>
    <w:rsid w:val="4D9C7768"/>
    <w:rsid w:val="4E1A4EAE"/>
    <w:rsid w:val="4E557C94"/>
    <w:rsid w:val="4EE03A01"/>
    <w:rsid w:val="4F1E5146"/>
    <w:rsid w:val="4F38383D"/>
    <w:rsid w:val="4F7B7D71"/>
    <w:rsid w:val="4F7D56F4"/>
    <w:rsid w:val="4FB76E58"/>
    <w:rsid w:val="4FBF5D0D"/>
    <w:rsid w:val="504A1A7A"/>
    <w:rsid w:val="50593A6B"/>
    <w:rsid w:val="50743E4F"/>
    <w:rsid w:val="50AB003F"/>
    <w:rsid w:val="50B05655"/>
    <w:rsid w:val="50CC6933"/>
    <w:rsid w:val="511F2F07"/>
    <w:rsid w:val="51621046"/>
    <w:rsid w:val="51703763"/>
    <w:rsid w:val="51AC0513"/>
    <w:rsid w:val="521A547C"/>
    <w:rsid w:val="524B0B5E"/>
    <w:rsid w:val="52662470"/>
    <w:rsid w:val="52923265"/>
    <w:rsid w:val="529E1C09"/>
    <w:rsid w:val="52B94C95"/>
    <w:rsid w:val="52FE08FA"/>
    <w:rsid w:val="530028C4"/>
    <w:rsid w:val="535F3A8F"/>
    <w:rsid w:val="54240834"/>
    <w:rsid w:val="54372316"/>
    <w:rsid w:val="547277F2"/>
    <w:rsid w:val="54DF3014"/>
    <w:rsid w:val="55913EB1"/>
    <w:rsid w:val="55CB540B"/>
    <w:rsid w:val="55DD0C9B"/>
    <w:rsid w:val="55EF36BB"/>
    <w:rsid w:val="561346BC"/>
    <w:rsid w:val="56877819"/>
    <w:rsid w:val="568C27AB"/>
    <w:rsid w:val="5697353F"/>
    <w:rsid w:val="56D8324A"/>
    <w:rsid w:val="56E30533"/>
    <w:rsid w:val="57D60097"/>
    <w:rsid w:val="57DE0CFA"/>
    <w:rsid w:val="58095793"/>
    <w:rsid w:val="581A4428"/>
    <w:rsid w:val="58720D2E"/>
    <w:rsid w:val="58913FBE"/>
    <w:rsid w:val="58937D37"/>
    <w:rsid w:val="589F0489"/>
    <w:rsid w:val="58B101BD"/>
    <w:rsid w:val="58E95BA9"/>
    <w:rsid w:val="58ED38EB"/>
    <w:rsid w:val="593037D7"/>
    <w:rsid w:val="59BB12F3"/>
    <w:rsid w:val="59C53F20"/>
    <w:rsid w:val="59F12F67"/>
    <w:rsid w:val="5A094754"/>
    <w:rsid w:val="5AC24903"/>
    <w:rsid w:val="5AFE743C"/>
    <w:rsid w:val="5B4672E2"/>
    <w:rsid w:val="5B595267"/>
    <w:rsid w:val="5B7B3430"/>
    <w:rsid w:val="5BDD7C46"/>
    <w:rsid w:val="5BE22519"/>
    <w:rsid w:val="5BEA2363"/>
    <w:rsid w:val="5C001B87"/>
    <w:rsid w:val="5C741C2D"/>
    <w:rsid w:val="5C761E49"/>
    <w:rsid w:val="5CE943C9"/>
    <w:rsid w:val="5CF27722"/>
    <w:rsid w:val="5D1A0A26"/>
    <w:rsid w:val="5D3C6BEF"/>
    <w:rsid w:val="5D423AD9"/>
    <w:rsid w:val="5D6A69E1"/>
    <w:rsid w:val="5D724D28"/>
    <w:rsid w:val="5DBC7D30"/>
    <w:rsid w:val="5E227B93"/>
    <w:rsid w:val="5E2A2EEB"/>
    <w:rsid w:val="5E3B2A02"/>
    <w:rsid w:val="5E72751F"/>
    <w:rsid w:val="5E9C3F32"/>
    <w:rsid w:val="5F0454EA"/>
    <w:rsid w:val="5F0C25F1"/>
    <w:rsid w:val="5F1C6CD8"/>
    <w:rsid w:val="5F3F4774"/>
    <w:rsid w:val="5F9E149B"/>
    <w:rsid w:val="5FA16A85"/>
    <w:rsid w:val="5FED5F7E"/>
    <w:rsid w:val="5FF94923"/>
    <w:rsid w:val="601B1EEB"/>
    <w:rsid w:val="60450EC2"/>
    <w:rsid w:val="606C77EB"/>
    <w:rsid w:val="606D5311"/>
    <w:rsid w:val="60864BFA"/>
    <w:rsid w:val="60A056E7"/>
    <w:rsid w:val="60AF1486"/>
    <w:rsid w:val="60BA67A8"/>
    <w:rsid w:val="60C50CA9"/>
    <w:rsid w:val="611A0FF5"/>
    <w:rsid w:val="611D0AE5"/>
    <w:rsid w:val="612E2CF2"/>
    <w:rsid w:val="613A3445"/>
    <w:rsid w:val="6183303E"/>
    <w:rsid w:val="61EF2482"/>
    <w:rsid w:val="622F287E"/>
    <w:rsid w:val="623954AB"/>
    <w:rsid w:val="62B114E5"/>
    <w:rsid w:val="62D82F16"/>
    <w:rsid w:val="62F87114"/>
    <w:rsid w:val="637C5F97"/>
    <w:rsid w:val="637D3ABD"/>
    <w:rsid w:val="638B7F88"/>
    <w:rsid w:val="63D63DC8"/>
    <w:rsid w:val="63E02C32"/>
    <w:rsid w:val="63E6385D"/>
    <w:rsid w:val="640112CF"/>
    <w:rsid w:val="640B10C9"/>
    <w:rsid w:val="64265F03"/>
    <w:rsid w:val="645C3243"/>
    <w:rsid w:val="64BC23C3"/>
    <w:rsid w:val="6518584B"/>
    <w:rsid w:val="65312DB1"/>
    <w:rsid w:val="653E102A"/>
    <w:rsid w:val="655D232E"/>
    <w:rsid w:val="65DC4ACB"/>
    <w:rsid w:val="662326FA"/>
    <w:rsid w:val="664663E8"/>
    <w:rsid w:val="66CD08B8"/>
    <w:rsid w:val="66CD4D5B"/>
    <w:rsid w:val="66D25ECE"/>
    <w:rsid w:val="66D32372"/>
    <w:rsid w:val="675863D3"/>
    <w:rsid w:val="675E7762"/>
    <w:rsid w:val="67B57CC9"/>
    <w:rsid w:val="67B72B89"/>
    <w:rsid w:val="67BD092C"/>
    <w:rsid w:val="67BE68F2"/>
    <w:rsid w:val="680227E3"/>
    <w:rsid w:val="681542C4"/>
    <w:rsid w:val="681568AC"/>
    <w:rsid w:val="68201BAA"/>
    <w:rsid w:val="68212C69"/>
    <w:rsid w:val="6881195A"/>
    <w:rsid w:val="689618A9"/>
    <w:rsid w:val="68ED29E7"/>
    <w:rsid w:val="68EF4B15"/>
    <w:rsid w:val="6953779A"/>
    <w:rsid w:val="69676DA1"/>
    <w:rsid w:val="697F233D"/>
    <w:rsid w:val="69B8584F"/>
    <w:rsid w:val="69E403F2"/>
    <w:rsid w:val="6A425119"/>
    <w:rsid w:val="6A5E431B"/>
    <w:rsid w:val="6A70612A"/>
    <w:rsid w:val="6A7C687C"/>
    <w:rsid w:val="6AB73D58"/>
    <w:rsid w:val="6AC16985"/>
    <w:rsid w:val="6ACF4E1A"/>
    <w:rsid w:val="6ADE3093"/>
    <w:rsid w:val="6B122D3D"/>
    <w:rsid w:val="6B6537B4"/>
    <w:rsid w:val="6B680BAF"/>
    <w:rsid w:val="6B721A2E"/>
    <w:rsid w:val="6BF6265F"/>
    <w:rsid w:val="6BFB1A23"/>
    <w:rsid w:val="6C496C32"/>
    <w:rsid w:val="6C5F1FB2"/>
    <w:rsid w:val="6C6121CE"/>
    <w:rsid w:val="6D176D30"/>
    <w:rsid w:val="6D1A237D"/>
    <w:rsid w:val="6D785A21"/>
    <w:rsid w:val="6DA34120"/>
    <w:rsid w:val="6DC20A4A"/>
    <w:rsid w:val="6E2E0BD4"/>
    <w:rsid w:val="6E3F653F"/>
    <w:rsid w:val="6E6C6C08"/>
    <w:rsid w:val="6E7C32EF"/>
    <w:rsid w:val="6E834752"/>
    <w:rsid w:val="6E9F6FDD"/>
    <w:rsid w:val="6F26325B"/>
    <w:rsid w:val="6F370FC4"/>
    <w:rsid w:val="6F5A4CB2"/>
    <w:rsid w:val="6F5B7B0B"/>
    <w:rsid w:val="6FC36CFC"/>
    <w:rsid w:val="6FE949B4"/>
    <w:rsid w:val="6FF15617"/>
    <w:rsid w:val="700C41FF"/>
    <w:rsid w:val="700D5DEC"/>
    <w:rsid w:val="70227EC6"/>
    <w:rsid w:val="704020FA"/>
    <w:rsid w:val="70A628A5"/>
    <w:rsid w:val="70F353BF"/>
    <w:rsid w:val="71614A1E"/>
    <w:rsid w:val="718524BB"/>
    <w:rsid w:val="71CA611F"/>
    <w:rsid w:val="71DE606F"/>
    <w:rsid w:val="71F4319C"/>
    <w:rsid w:val="723B659C"/>
    <w:rsid w:val="728C1627"/>
    <w:rsid w:val="729D55E2"/>
    <w:rsid w:val="72B1108D"/>
    <w:rsid w:val="72E43211"/>
    <w:rsid w:val="731A30D6"/>
    <w:rsid w:val="732D4BB8"/>
    <w:rsid w:val="733E5017"/>
    <w:rsid w:val="73722F12"/>
    <w:rsid w:val="739A5FC5"/>
    <w:rsid w:val="73CD1EF7"/>
    <w:rsid w:val="73DA21D9"/>
    <w:rsid w:val="73EF00BF"/>
    <w:rsid w:val="74340AEB"/>
    <w:rsid w:val="744228E5"/>
    <w:rsid w:val="746A38D8"/>
    <w:rsid w:val="747A5318"/>
    <w:rsid w:val="74940C67"/>
    <w:rsid w:val="74A72748"/>
    <w:rsid w:val="74AF5AA0"/>
    <w:rsid w:val="74C07CAE"/>
    <w:rsid w:val="74C71328"/>
    <w:rsid w:val="74D3178F"/>
    <w:rsid w:val="750B533F"/>
    <w:rsid w:val="75573869"/>
    <w:rsid w:val="75614FED"/>
    <w:rsid w:val="75907680"/>
    <w:rsid w:val="75D67789"/>
    <w:rsid w:val="75D752AF"/>
    <w:rsid w:val="75E63B2D"/>
    <w:rsid w:val="762A1882"/>
    <w:rsid w:val="762B1157"/>
    <w:rsid w:val="765468FF"/>
    <w:rsid w:val="768C7E47"/>
    <w:rsid w:val="769D2054"/>
    <w:rsid w:val="76D65566"/>
    <w:rsid w:val="77130569"/>
    <w:rsid w:val="7718792D"/>
    <w:rsid w:val="77274014"/>
    <w:rsid w:val="773A78A3"/>
    <w:rsid w:val="774150D6"/>
    <w:rsid w:val="776B5CAF"/>
    <w:rsid w:val="77925931"/>
    <w:rsid w:val="77A85155"/>
    <w:rsid w:val="77BF249E"/>
    <w:rsid w:val="77E872FF"/>
    <w:rsid w:val="787E5EB6"/>
    <w:rsid w:val="78872FBC"/>
    <w:rsid w:val="78E806A1"/>
    <w:rsid w:val="78F44C22"/>
    <w:rsid w:val="78F543CA"/>
    <w:rsid w:val="790A599B"/>
    <w:rsid w:val="798E61EC"/>
    <w:rsid w:val="79A25BD4"/>
    <w:rsid w:val="79AE6327"/>
    <w:rsid w:val="79B37DE1"/>
    <w:rsid w:val="79FD38D7"/>
    <w:rsid w:val="7A0A5C53"/>
    <w:rsid w:val="7A216C82"/>
    <w:rsid w:val="7A744676"/>
    <w:rsid w:val="7A7B08FF"/>
    <w:rsid w:val="7A884DCA"/>
    <w:rsid w:val="7AB047CC"/>
    <w:rsid w:val="7AEA0450"/>
    <w:rsid w:val="7AEA5A84"/>
    <w:rsid w:val="7B034450"/>
    <w:rsid w:val="7B304F7F"/>
    <w:rsid w:val="7B3F7B7E"/>
    <w:rsid w:val="7BE40725"/>
    <w:rsid w:val="7C301454"/>
    <w:rsid w:val="7CEF7382"/>
    <w:rsid w:val="7D0746CC"/>
    <w:rsid w:val="7D494CE4"/>
    <w:rsid w:val="7D67516A"/>
    <w:rsid w:val="7D6A6A08"/>
    <w:rsid w:val="7D781125"/>
    <w:rsid w:val="7D7B0C16"/>
    <w:rsid w:val="7D8B70AB"/>
    <w:rsid w:val="7DA95783"/>
    <w:rsid w:val="7DB54128"/>
    <w:rsid w:val="7DC9403A"/>
    <w:rsid w:val="7DC9459D"/>
    <w:rsid w:val="7DCB394B"/>
    <w:rsid w:val="7DDF6155"/>
    <w:rsid w:val="7DFD162B"/>
    <w:rsid w:val="7E161C6A"/>
    <w:rsid w:val="7E2D0162"/>
    <w:rsid w:val="7E582D05"/>
    <w:rsid w:val="7E631DD5"/>
    <w:rsid w:val="7E81304E"/>
    <w:rsid w:val="7EB73ECF"/>
    <w:rsid w:val="7EE8052D"/>
    <w:rsid w:val="7F0C1437"/>
    <w:rsid w:val="7F1B7FBA"/>
    <w:rsid w:val="7F390D88"/>
    <w:rsid w:val="7F4F5EB6"/>
    <w:rsid w:val="7F567244"/>
    <w:rsid w:val="7F6000C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autoRedefine/>
    <w:semiHidden/>
    <w:qFormat/>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footer"/>
    <w:basedOn w:val="1"/>
    <w:autoRedefine/>
    <w:qFormat/>
    <w:uiPriority w:val="0"/>
    <w:pPr>
      <w:tabs>
        <w:tab w:val="center" w:pos="4153"/>
        <w:tab w:val="right" w:pos="8306"/>
      </w:tabs>
      <w:snapToGrid w:val="0"/>
      <w:jc w:val="left"/>
    </w:pPr>
    <w:rPr>
      <w:sz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11</Pages>
  <Words>0</Words>
  <Characters>0</Characters>
  <Lines>0</Lines>
  <Paragraphs>0</Paragraphs>
  <TotalTime>350</TotalTime>
  <ScaleCrop>false</ScaleCrop>
  <LinksUpToDate>false</LinksUpToDate>
  <CharactersWithSpaces>0</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2024-04-26T03:23:00Z</dcterms:created>
  <dc:creator>周周</dc:creator>
  <cp:lastModifiedBy>周周</cp:lastModifiedBy>
  <dcterms:modified xsi:type="dcterms:W3CDTF">2024-05-08T08:14:37Z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A583791D67B245549086D6CE53E02437_11</vt:lpwstr>
  </property>
</Properties>
</file>