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eastAsia="zh-CN"/>
        </w:rPr>
        <w:t>202</w:t>
      </w:r>
      <w:r>
        <w:rPr>
          <w:rFonts w:hint="eastAsia" w:ascii="仿宋_GB2312" w:eastAsia="仿宋_GB2312"/>
          <w:sz w:val="32"/>
          <w:szCs w:val="32"/>
          <w:lang w:val="en-US" w:eastAsia="zh-CN"/>
        </w:rPr>
        <w:t>3</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泉溪</w:t>
      </w:r>
      <w:r>
        <w:rPr>
          <w:rFonts w:hint="eastAsia" w:ascii="仿宋_GB2312" w:eastAsia="仿宋_GB2312"/>
          <w:sz w:val="32"/>
          <w:szCs w:val="32"/>
          <w:lang w:eastAsia="zh-CN"/>
        </w:rPr>
        <w:t>镇</w:t>
      </w:r>
      <w:r>
        <w:rPr>
          <w:rFonts w:hint="eastAsia" w:ascii="仿宋_GB2312" w:eastAsia="仿宋_GB2312"/>
          <w:sz w:val="32"/>
          <w:szCs w:val="32"/>
        </w:rPr>
        <w:t xml:space="preserve">人民政府             </w:t>
      </w:r>
    </w:p>
    <w:p>
      <w:pPr>
        <w:ind w:firstLine="640" w:firstLineChars="200"/>
        <w:rPr>
          <w:rFonts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900087</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w:t>
      </w:r>
      <w:r>
        <w:rPr>
          <w:rFonts w:hint="eastAsia" w:ascii="仿宋_GB2312" w:eastAsia="仿宋_GB2312"/>
          <w:sz w:val="32"/>
          <w:szCs w:val="32"/>
          <w:lang w:val="en-US" w:eastAsia="zh-CN"/>
        </w:rPr>
        <w:t>4</w:t>
      </w:r>
      <w:r>
        <w:rPr>
          <w:rFonts w:hint="eastAsia" w:ascii="仿宋_GB2312" w:eastAsia="仿宋_GB2312"/>
          <w:sz w:val="32"/>
          <w:szCs w:val="32"/>
        </w:rPr>
        <w:t xml:space="preserve"> 年 </w:t>
      </w:r>
      <w:r>
        <w:rPr>
          <w:rFonts w:hint="eastAsia" w:ascii="仿宋_GB2312" w:eastAsia="仿宋_GB2312"/>
          <w:sz w:val="32"/>
          <w:szCs w:val="32"/>
          <w:lang w:val="en-US" w:eastAsia="zh-CN"/>
        </w:rPr>
        <w:t>5</w:t>
      </w:r>
      <w:r>
        <w:rPr>
          <w:rFonts w:hint="eastAsia" w:ascii="仿宋_GB2312" w:eastAsia="仿宋_GB2312"/>
          <w:sz w:val="32"/>
          <w:szCs w:val="32"/>
        </w:rPr>
        <w:t xml:space="preserve"> 月 </w:t>
      </w:r>
      <w:r>
        <w:rPr>
          <w:rFonts w:hint="eastAsia" w:ascii="仿宋_GB2312" w:eastAsia="仿宋_GB2312"/>
          <w:sz w:val="32"/>
          <w:szCs w:val="32"/>
          <w:lang w:val="en-US" w:eastAsia="zh-CN"/>
        </w:rPr>
        <w:t>09</w:t>
      </w:r>
      <w:r>
        <w:rPr>
          <w:rFonts w:hint="eastAsia" w:ascii="仿宋_GB2312" w:eastAsia="仿宋_GB2312"/>
          <w:sz w:val="32"/>
          <w:szCs w:val="32"/>
        </w:rPr>
        <w:t xml:space="preserve"> 日</w:t>
      </w:r>
    </w:p>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rPr>
          <w:rFonts w:ascii="仿宋_GB2312" w:hAnsi="仿宋_GB2312" w:eastAsia="仿宋_GB2312" w:cs="仿宋_GB2312"/>
          <w:sz w:val="32"/>
          <w:szCs w:val="32"/>
        </w:rPr>
      </w:pPr>
    </w:p>
    <w:p>
      <w:pPr>
        <w:rPr>
          <w:rFonts w:hint="eastAsia"/>
        </w:rPr>
      </w:pPr>
    </w:p>
    <w:p>
      <w:pPr>
        <w:jc w:val="center"/>
        <w:rPr>
          <w:rFonts w:hint="eastAsia" w:ascii="方正小标宋_GBK" w:eastAsia="方正小标宋_GBK"/>
          <w:sz w:val="44"/>
          <w:szCs w:val="44"/>
        </w:rPr>
      </w:pPr>
      <w:r>
        <w:rPr>
          <w:rFonts w:hint="eastAsia" w:ascii="方正小标宋_GBK" w:eastAsia="方正小标宋_GBK"/>
          <w:sz w:val="44"/>
          <w:szCs w:val="44"/>
        </w:rPr>
        <w:t>衡南县泉溪镇人民政府</w:t>
      </w:r>
      <w:r>
        <w:rPr>
          <w:rFonts w:hint="eastAsia" w:ascii="方正小标宋_GBK" w:eastAsia="方正小标宋_GBK"/>
          <w:sz w:val="44"/>
          <w:szCs w:val="44"/>
          <w:lang w:val="en-US" w:eastAsia="zh-CN"/>
        </w:rPr>
        <w:t>2023年</w:t>
      </w:r>
      <w:r>
        <w:rPr>
          <w:rFonts w:hint="eastAsia" w:ascii="方正小标宋_GBK" w:eastAsia="方正小标宋_GBK"/>
          <w:sz w:val="44"/>
          <w:szCs w:val="44"/>
        </w:rPr>
        <w:t>部门整体支出绩效自评报告</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w:t>
      </w:r>
      <w:r>
        <w:rPr>
          <w:rFonts w:hint="eastAsia" w:ascii="仿宋_GB2312" w:hAnsi="仿宋_GB2312" w:eastAsia="仿宋_GB2312" w:cs="仿宋_GB2312"/>
          <w:sz w:val="32"/>
          <w:szCs w:val="32"/>
        </w:rPr>
        <w:t>为加强财政预算资金管理，进一步规范预算资金使用，提高财政资金使用效益，根据《衡南县财政局关于开展202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年度财政资金绩效自评工作的通知》要求，我单位积极组织力量对202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年度本单位整体支出进行了绩效自评，本次评价遵循了“科学规范、公正公开、分类管理、绩效相关”的原则，运用较科学、合理的绩效评价指标、评价标准和评价方法，对本单位202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年度部门整体支出的绩效情况进行了客观、公正的评价。现将情况汇报如下：</w:t>
      </w:r>
    </w:p>
    <w:p>
      <w:pPr>
        <w:spacing w:line="600" w:lineRule="exact"/>
        <w:ind w:firstLine="640" w:firstLineChars="200"/>
        <w:rPr>
          <w:rFonts w:hint="eastAsia" w:ascii="黑体" w:eastAsia="黑体"/>
          <w:sz w:val="32"/>
          <w:szCs w:val="32"/>
        </w:rPr>
      </w:pPr>
      <w:r>
        <w:rPr>
          <w:rFonts w:hint="eastAsia" w:ascii="黑体" w:eastAsia="黑体"/>
          <w:sz w:val="32"/>
          <w:szCs w:val="32"/>
        </w:rPr>
        <w:t>一、部门基本情况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b/>
          <w:bCs w:val="0"/>
          <w:color w:val="383838"/>
          <w:sz w:val="32"/>
          <w:shd w:val="clear" w:color="auto" w:fill="FFFFFF"/>
        </w:rPr>
      </w:pPr>
      <w:r>
        <w:rPr>
          <w:rFonts w:hint="eastAsia" w:ascii="仿宋" w:hAnsi="仿宋" w:eastAsia="仿宋"/>
          <w:b/>
          <w:bCs w:val="0"/>
          <w:color w:val="383838"/>
          <w:sz w:val="32"/>
          <w:shd w:val="clear" w:color="auto" w:fill="FFFFFF"/>
          <w:lang w:val="en-US" w:eastAsia="zh-CN"/>
        </w:rPr>
        <w:t>1.</w:t>
      </w:r>
      <w:r>
        <w:rPr>
          <w:rFonts w:hint="eastAsia" w:ascii="仿宋" w:hAnsi="仿宋" w:eastAsia="仿宋"/>
          <w:b/>
          <w:bCs w:val="0"/>
          <w:color w:val="383838"/>
          <w:sz w:val="32"/>
          <w:shd w:val="clear" w:color="auto" w:fill="FFFFFF"/>
          <w:lang w:eastAsia="zh-CN"/>
        </w:rPr>
        <w:t>乡镇介绍及</w:t>
      </w:r>
      <w:r>
        <w:rPr>
          <w:rFonts w:hint="eastAsia" w:ascii="仿宋" w:hAnsi="仿宋" w:eastAsia="仿宋"/>
          <w:b/>
          <w:bCs w:val="0"/>
          <w:color w:val="383838"/>
          <w:sz w:val="32"/>
          <w:shd w:val="clear" w:color="auto" w:fill="FFFFFF"/>
        </w:rPr>
        <w:t>职能职责</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b w:val="0"/>
          <w:bCs/>
          <w:color w:val="383838"/>
          <w:sz w:val="32"/>
          <w:shd w:val="clear" w:color="auto" w:fill="FFFFFF"/>
          <w:lang w:eastAsia="zh-CN"/>
        </w:rPr>
        <w:t>乡镇</w:t>
      </w:r>
      <w:r>
        <w:rPr>
          <w:rFonts w:hint="eastAsia" w:ascii="仿宋" w:hAnsi="仿宋" w:eastAsia="仿宋" w:cs="仿宋"/>
          <w:sz w:val="32"/>
          <w:szCs w:val="32"/>
          <w:lang w:val="en-US" w:eastAsia="zh-CN"/>
        </w:rPr>
        <w:t>介绍：衡南县泉溪镇位于耒河下游东岸，与衡阳市珠晖区隔河相望。全镇面积约53.53平方千米，辖喇叭堰、泉溪、泉长、大安、浦兴、木蔸、三圆、白沙8个村，石狮、何家坪、剑山3个居委会。</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b w:val="0"/>
          <w:bCs/>
          <w:color w:val="383838"/>
          <w:sz w:val="32"/>
          <w:shd w:val="clear" w:color="auto" w:fill="FFFFFF"/>
          <w:lang w:eastAsia="zh-CN"/>
        </w:rPr>
        <w:t>部门职责</w:t>
      </w:r>
      <w:r>
        <w:rPr>
          <w:rFonts w:hint="eastAsia" w:ascii="仿宋" w:hAnsi="仿宋" w:eastAsia="仿宋" w:cs="仿宋"/>
          <w:sz w:val="32"/>
          <w:szCs w:val="32"/>
          <w:lang w:val="en-US" w:eastAsia="zh-CN"/>
        </w:rPr>
        <w:t>情况：1.贯彻执行党和国家的方针、政策和法律、法规，依法制定行政措施和实施方案。2.负责执行本级人民代表大会的决议和上级国家行政 机关的决定和命令，发布决定和命令；对本级人民代表大会和本级人民政府负责并报告工作。3.执行本行政区域内的经济和社会发展计划、预算，管理本行政区域内的经济、教育体育、科学、文化、卫生、乡村振兴事业和财政、民政、社会保障、村镇建设、生态环境保护、扶贫、公安、司法行政、计划生育等行政工作。4.负责辖区内行政执法工作，维护社会秩序，保障公民人身、民主、财产等合法权利，保护各种经济组织的合法权益。5.指导、支持和帮助村民委员会的工作。6.完成上级交办的其他工作。</w:t>
      </w:r>
    </w:p>
    <w:p>
      <w:pPr>
        <w:numPr>
          <w:ilvl w:val="0"/>
          <w:numId w:val="1"/>
        </w:num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机构设置情况。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本单位分镇本级及三中心一站一队</w:t>
      </w:r>
      <w:r>
        <w:rPr>
          <w:rFonts w:hint="eastAsia" w:ascii="仿宋" w:hAnsi="仿宋" w:eastAsia="仿宋"/>
          <w:b w:val="0"/>
          <w:bCs/>
          <w:color w:val="383838"/>
          <w:sz w:val="32"/>
          <w:shd w:val="clear" w:color="auto" w:fill="FFFFFF"/>
          <w:lang w:eastAsia="zh-CN"/>
        </w:rPr>
        <w:t>。</w:t>
      </w:r>
    </w:p>
    <w:p>
      <w:pPr>
        <w:numPr>
          <w:ilvl w:val="0"/>
          <w:numId w:val="1"/>
        </w:numPr>
        <w:spacing w:line="60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人员编制情况。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截止2023年底实际在编人数113人，其中镇本级</w:t>
      </w:r>
      <w:r>
        <w:rPr>
          <w:rFonts w:hint="eastAsia" w:ascii="仿宋" w:hAnsi="仿宋" w:eastAsia="仿宋"/>
          <w:b w:val="0"/>
          <w:bCs/>
          <w:color w:val="383838"/>
          <w:sz w:val="32"/>
          <w:shd w:val="clear" w:color="auto" w:fill="FFFFFF"/>
          <w:lang w:eastAsia="zh-CN"/>
        </w:rPr>
        <w:t>在编财政供养人员</w:t>
      </w:r>
      <w:r>
        <w:rPr>
          <w:rFonts w:hint="eastAsia" w:ascii="仿宋" w:hAnsi="仿宋" w:eastAsia="仿宋"/>
          <w:b w:val="0"/>
          <w:bCs/>
          <w:color w:val="383838"/>
          <w:sz w:val="32"/>
          <w:shd w:val="clear" w:color="auto" w:fill="FFFFFF"/>
          <w:lang w:val="en-US" w:eastAsia="zh-CN"/>
        </w:rPr>
        <w:t>30</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含工勤人员3人）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三中心一站一队在编人数83人</w:t>
      </w:r>
      <w:r>
        <w:rPr>
          <w:rFonts w:hint="eastAsia" w:ascii="仿宋" w:hAnsi="仿宋" w:eastAsia="仿宋"/>
          <w:b w:val="0"/>
          <w:bCs/>
          <w:color w:val="383838"/>
          <w:sz w:val="32"/>
          <w:shd w:val="clear" w:color="auto" w:fill="FFFFFF"/>
          <w:lang w:eastAsia="zh-CN"/>
        </w:rPr>
        <w:t>；享受遗</w:t>
      </w:r>
      <w:r>
        <w:rPr>
          <w:rFonts w:hint="eastAsia" w:ascii="仿宋" w:hAnsi="仿宋" w:eastAsia="仿宋"/>
          <w:b w:val="0"/>
          <w:bCs/>
          <w:color w:val="383838"/>
          <w:sz w:val="32"/>
          <w:shd w:val="clear" w:color="auto" w:fill="FFFFFF"/>
          <w:lang w:val="en-US" w:eastAsia="zh-CN"/>
        </w:rPr>
        <w:t>属</w:t>
      </w:r>
      <w:r>
        <w:rPr>
          <w:rFonts w:hint="eastAsia" w:ascii="仿宋" w:hAnsi="仿宋" w:eastAsia="仿宋"/>
          <w:b w:val="0"/>
          <w:bCs/>
          <w:color w:val="383838"/>
          <w:sz w:val="32"/>
          <w:shd w:val="clear" w:color="auto" w:fill="FFFFFF"/>
          <w:lang w:eastAsia="zh-CN"/>
        </w:rPr>
        <w:t>补助人员</w:t>
      </w:r>
      <w:r>
        <w:rPr>
          <w:rFonts w:hint="eastAsia" w:ascii="仿宋" w:hAnsi="仿宋" w:eastAsia="仿宋"/>
          <w:b w:val="0"/>
          <w:bCs/>
          <w:color w:val="383838"/>
          <w:sz w:val="32"/>
          <w:shd w:val="clear" w:color="auto" w:fill="FFFFFF"/>
          <w:lang w:val="en-US" w:eastAsia="zh-CN"/>
        </w:rPr>
        <w:t>15</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退休人员62人。</w:t>
      </w:r>
    </w:p>
    <w:p>
      <w:pPr>
        <w:numPr>
          <w:ilvl w:val="0"/>
          <w:numId w:val="1"/>
        </w:numPr>
        <w:spacing w:line="60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财政资金实行电子化、信息化规范管理，为确保专项实施而制定的制度和措施，如成立的专门管理机构、资金管理办法、项目管理办法、工作措施（方案、规划）等。规范乡镇资金支付行为，提高财政资金运行安全、高效、透明，搞好资产清查，实行软件化管理，实行网络实际操作。政府采购信息化、电子化管理规范，对所有预算单位进行预算、决算、绩效管理，财政资金优化配置，提高使用质量，优化资源配置，提高财政资金使用效益，提升政府执行力和公信力，财政资金健康使用，让人民群众满意度进一步提高。</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（一）部门预算</w:t>
      </w:r>
      <w:r>
        <w:rPr>
          <w:rFonts w:hint="eastAsia" w:ascii="仿宋_GB2312" w:eastAsia="仿宋_GB2312"/>
          <w:sz w:val="32"/>
          <w:szCs w:val="32"/>
          <w:lang w:val="en-US" w:eastAsia="zh-CN"/>
        </w:rPr>
        <w:t>与决算</w:t>
      </w:r>
      <w:r>
        <w:rPr>
          <w:rFonts w:hint="eastAsia" w:ascii="仿宋_GB2312" w:eastAsia="仿宋_GB2312"/>
          <w:sz w:val="32"/>
          <w:szCs w:val="32"/>
        </w:rPr>
        <w:t>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Times New Roman"/>
          <w:b w:val="0"/>
          <w:bCs/>
          <w:color w:val="383838"/>
          <w:sz w:val="32"/>
          <w:shd w:val="clear" w:color="auto" w:fill="FFFFFF"/>
          <w:lang w:val="en-US" w:eastAsia="zh-CN"/>
        </w:rPr>
        <w:t>年年初预算收入</w:t>
      </w:r>
      <w:r>
        <w:rPr>
          <w:rFonts w:hint="eastAsia" w:ascii="仿宋" w:hAnsi="仿宋" w:eastAsia="仿宋" w:cs="仿宋"/>
          <w:sz w:val="32"/>
          <w:szCs w:val="32"/>
          <w:lang w:val="en-US" w:eastAsia="zh-CN"/>
        </w:rPr>
        <w:t>1292.08</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908.11</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42.6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27.07万元，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314.3</w:t>
      </w:r>
      <w:r>
        <w:rPr>
          <w:rFonts w:hint="eastAsia" w:ascii="仿宋" w:hAnsi="仿宋" w:eastAsia="仿宋" w:cs="仿宋"/>
          <w:color w:val="333333"/>
          <w:sz w:val="32"/>
          <w:szCs w:val="32"/>
        </w:rPr>
        <w:t>万元。</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2023年追加预算收入2809.51万元，20</w:t>
      </w:r>
      <w:r>
        <w:rPr>
          <w:rFonts w:hint="eastAsia" w:ascii="仿宋" w:hAnsi="仿宋" w:eastAsia="仿宋" w:cs="仿宋"/>
          <w:b w:val="0"/>
          <w:i w:val="0"/>
          <w:caps w:val="0"/>
          <w:color w:val="333333"/>
          <w:spacing w:val="-2"/>
          <w:sz w:val="32"/>
          <w:szCs w:val="32"/>
          <w:lang w:val="en-US" w:eastAsia="zh-CN"/>
        </w:rPr>
        <w:t>23</w:t>
      </w:r>
      <w:bookmarkStart w:id="0" w:name="_GoBack"/>
      <w:bookmarkEnd w:id="0"/>
      <w:r>
        <w:rPr>
          <w:rFonts w:hint="eastAsia" w:ascii="仿宋" w:hAnsi="仿宋" w:eastAsia="仿宋" w:cs="Times New Roman"/>
          <w:b w:val="0"/>
          <w:bCs/>
          <w:color w:val="383838"/>
          <w:sz w:val="32"/>
          <w:shd w:val="clear" w:color="auto" w:fill="FFFFFF"/>
          <w:lang w:val="en-US" w:eastAsia="zh-CN"/>
        </w:rPr>
        <w:t>年决算收入4101.59万元。本年度总支出4101.59万元，其中：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1309.06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575.76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387.39万元，资本性</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1829.37</w:t>
      </w:r>
      <w:r>
        <w:rPr>
          <w:rFonts w:hint="eastAsia" w:ascii="仿宋" w:hAnsi="仿宋" w:eastAsia="仿宋" w:cs="仿宋"/>
          <w:color w:val="333333"/>
          <w:sz w:val="32"/>
          <w:szCs w:val="32"/>
        </w:rPr>
        <w:t>万元</w:t>
      </w:r>
      <w:r>
        <w:rPr>
          <w:rFonts w:hint="eastAsia" w:ascii="仿宋" w:hAnsi="仿宋" w:eastAsia="仿宋" w:cs="Times New Roman"/>
          <w:b w:val="0"/>
          <w:bCs/>
          <w:color w:val="383838"/>
          <w:sz w:val="32"/>
          <w:shd w:val="clear" w:color="auto" w:fill="FFFFFF"/>
          <w:lang w:val="en-US" w:eastAsia="zh-CN"/>
        </w:rPr>
        <w:t>。</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（二）支出分类情况。</w:t>
      </w:r>
    </w:p>
    <w:p>
      <w:pPr>
        <w:spacing w:line="600" w:lineRule="exact"/>
        <w:ind w:firstLine="640" w:firstLineChars="200"/>
        <w:rPr>
          <w:rFonts w:hint="default"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基本支出</w:t>
      </w:r>
    </w:p>
    <w:p>
      <w:pPr>
        <w:spacing w:line="600" w:lineRule="exact"/>
        <w:ind w:firstLine="640" w:firstLineChars="200"/>
        <w:rPr>
          <w:rFonts w:hint="eastAsia" w:ascii="仿宋_GB2312" w:eastAsia="仿宋_GB2312"/>
          <w:sz w:val="32"/>
          <w:szCs w:val="32"/>
          <w:highlight w:val="none"/>
          <w:lang w:val="en-US" w:eastAsia="zh-CN"/>
        </w:rPr>
      </w:pPr>
      <w:r>
        <w:rPr>
          <w:rFonts w:hint="eastAsia" w:ascii="仿宋" w:hAnsi="仿宋" w:eastAsia="仿宋" w:cs="仿宋"/>
          <w:color w:val="333333"/>
          <w:sz w:val="32"/>
          <w:szCs w:val="32"/>
          <w:lang w:val="en-US" w:eastAsia="zh-CN"/>
        </w:rPr>
        <w:t>基本支出为保障单位机构正常运转、完成日常工作任务而发生的各项支出，包括用于基本工资、津贴补贴等人员经费以及办公费、印刷费、水电费、行政执法等日常公用经费</w:t>
      </w:r>
      <w:r>
        <w:rPr>
          <w:rFonts w:hint="eastAsia" w:ascii="仿宋_GB2312" w:eastAsia="仿宋_GB2312"/>
          <w:sz w:val="32"/>
          <w:szCs w:val="32"/>
          <w:highlight w:val="none"/>
          <w:lang w:val="en-US" w:eastAsia="zh-CN"/>
        </w:rPr>
        <w:t>。</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2023年决算基本支出894.39万元，其中：工资及福利费用851.89万元，商品和服务费用30.88万元，对个人和家庭的补助11.62万元。</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“三公”经费情况</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2023年初批复预算的“三公”经费为20.27万元，其中公务接待12.61万元，因公出国费用0万元，公务用车7.66万元。</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全年决算支出“三公”经费9.45万元万元，其中公务接待6.17万元，因公出国费用0万元，公务用车3.28万元。</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2.项目支出</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仿宋"/>
          <w:color w:val="333333"/>
          <w:sz w:val="32"/>
          <w:szCs w:val="32"/>
          <w:lang w:val="en-US" w:eastAsia="zh-CN"/>
        </w:rPr>
        <w:t>2023年年初预算批复的项目支出为314.3万元，2023年</w:t>
      </w:r>
      <w:r>
        <w:rPr>
          <w:rFonts w:hint="eastAsia" w:ascii="仿宋" w:hAnsi="仿宋" w:eastAsia="仿宋" w:cs="Times New Roman"/>
          <w:b w:val="0"/>
          <w:bCs/>
          <w:color w:val="383838"/>
          <w:sz w:val="32"/>
          <w:shd w:val="clear" w:color="auto" w:fill="FFFFFF"/>
          <w:lang w:val="en-US" w:eastAsia="zh-CN"/>
        </w:rPr>
        <w:t>决算项目支出为3207.19万元。项目的开展主要根据县委县政府的安排，绩效总目标和阶段性目标都已按照计划完成，未逾期。所有开支均按照我单位财务管理制度执行，资金的使用严格把关。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hint="default" w:ascii="仿宋" w:hAnsi="仿宋" w:eastAsia="仿宋" w:cs="Times New Roman"/>
          <w:b w:val="0"/>
          <w:bCs/>
          <w:color w:val="383838"/>
          <w:sz w:val="32"/>
          <w:highlight w:val="none"/>
          <w:shd w:val="clear" w:color="auto" w:fill="FFFFFF"/>
          <w:lang w:val="en-US" w:eastAsia="zh-CN"/>
        </w:rPr>
      </w:pPr>
    </w:p>
    <w:p>
      <w:pPr>
        <w:numPr>
          <w:ilvl w:val="0"/>
          <w:numId w:val="0"/>
        </w:numPr>
        <w:spacing w:line="600" w:lineRule="exact"/>
        <w:ind w:left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部门专项组织实施情况</w:t>
      </w:r>
    </w:p>
    <w:p>
      <w:pPr>
        <w:pStyle w:val="4"/>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leftChars="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专项组织情况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专项资金实行使用部门提出支出申请报告，财务进行审核，主要领导同意后据实安排支出。涉及招标采购的项目严格执行项目招标和竣工验收，事前按照政府采购的规定申报采购计划，实施中对资金投向及年度资金调度进行详细规划，并及时将项目支出按预算科目编报财务决算。</w:t>
      </w:r>
    </w:p>
    <w:p>
      <w:pPr>
        <w:pStyle w:val="4"/>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leftChars="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专项管理情况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对专项资金加强预算管理，规范了资金审批和支付程序，在专项资金申报中，严格按要财政要求执行；在专项资金使用上，按轻重缓急保障安排，每一笔支出有依据、有凭证、有程序、有责任。建立专项资金使用自查制度和抽查制度，及时发现问题，提出整改意见，增强自纠能力，确保专项资金依法管理与使用。没有发生专项资金的挤占、挪用、截流等违规现象。</w:t>
      </w:r>
    </w:p>
    <w:p>
      <w:pPr>
        <w:spacing w:line="600" w:lineRule="exact"/>
        <w:ind w:firstLine="640" w:firstLineChars="200"/>
        <w:rPr>
          <w:rFonts w:hint="eastAsia" w:ascii="黑体" w:eastAsia="黑体"/>
          <w:sz w:val="32"/>
          <w:szCs w:val="32"/>
          <w:highlight w:val="none"/>
        </w:rPr>
      </w:pPr>
    </w:p>
    <w:p>
      <w:pPr>
        <w:spacing w:line="600" w:lineRule="exact"/>
        <w:ind w:firstLine="640" w:firstLineChars="200"/>
        <w:rPr>
          <w:rFonts w:hint="eastAsia" w:ascii="黑体" w:eastAsia="黑体"/>
          <w:sz w:val="32"/>
          <w:szCs w:val="32"/>
          <w:highlight w:val="none"/>
        </w:rPr>
      </w:pPr>
      <w:r>
        <w:rPr>
          <w:rFonts w:hint="eastAsia" w:ascii="黑体" w:eastAsia="黑体"/>
          <w:sz w:val="32"/>
          <w:szCs w:val="32"/>
          <w:highlight w:val="none"/>
        </w:rPr>
        <w:t>三、部门整体支出绩效评价情况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_GB2312" w:hAnsi="仿宋" w:eastAsia="仿宋_GB2312" w:cs="仿宋"/>
          <w:color w:val="000000"/>
          <w:kern w:val="2"/>
          <w:sz w:val="32"/>
          <w:szCs w:val="32"/>
          <w:highlight w:val="none"/>
          <w:lang w:val="en-US" w:eastAsia="zh-CN" w:bidi="ar-SA"/>
        </w:rPr>
        <w:t>2023</w:t>
      </w:r>
      <w:r>
        <w:rPr>
          <w:rFonts w:hint="default" w:ascii="仿宋" w:hAnsi="仿宋" w:eastAsia="仿宋" w:cs="Times New Roman"/>
          <w:b w:val="0"/>
          <w:bCs/>
          <w:color w:val="383838"/>
          <w:kern w:val="2"/>
          <w:sz w:val="32"/>
          <w:szCs w:val="24"/>
          <w:highlight w:val="none"/>
          <w:shd w:val="clear" w:color="auto" w:fill="FFFFFF"/>
          <w:lang w:val="en-US" w:eastAsia="zh-CN" w:bidi="ar-SA"/>
        </w:rPr>
        <w:t>年，</w:t>
      </w:r>
      <w:r>
        <w:rPr>
          <w:rFonts w:hint="eastAsia" w:ascii="仿宋" w:hAnsi="仿宋" w:eastAsia="仿宋" w:cs="Times New Roman"/>
          <w:b w:val="0"/>
          <w:bCs/>
          <w:color w:val="383838"/>
          <w:kern w:val="2"/>
          <w:sz w:val="32"/>
          <w:szCs w:val="24"/>
          <w:highlight w:val="none"/>
          <w:shd w:val="clear" w:color="auto" w:fill="FFFFFF"/>
          <w:lang w:val="en-US" w:eastAsia="zh-CN" w:bidi="ar-SA"/>
        </w:rPr>
        <w:t>根据年初工作规划和重点性工作，各项工作取得了较大成绩，较好的完成了年度工作目标。通过加强预算收支管理，不断建立健全内部管理制度，梳理内部管理流程，部门整体支出管理情况得到提升。部门整体支出绩效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（一）经济效益评价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1. 预算执行方面，支出总额控制在预算总额以内；2023年度“三公”经费财政拨款支出预算为20.27万元，支出决算为9.45万元。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2、预算管理方面，制度执行总体较为有效。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3、资产管理方面，建立了资产管理制度，定期进行了盘点和资产清理，总体执行较好。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（二）效率性评价和有效性评价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预算安排的基本支出保障了正常的工作运转，预算安排的项目支出是非常必要的，在执行上是严格遵守各项财经纪律的，在项目资金的使用上也是放的心的，严守法律底线、纪律底线、道德底线。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red"/>
          <w:shd w:val="clear" w:color="auto" w:fill="FFFFFF"/>
          <w:lang w:val="en-US" w:eastAsia="zh-CN" w:bidi="ar-SA"/>
        </w:rPr>
      </w:pPr>
    </w:p>
    <w:p>
      <w:pPr>
        <w:spacing w:line="600" w:lineRule="exact"/>
        <w:ind w:firstLine="640" w:firstLineChars="200"/>
        <w:rPr>
          <w:rFonts w:hint="eastAsia" w:ascii="黑体" w:eastAsia="黑体"/>
          <w:sz w:val="32"/>
          <w:szCs w:val="32"/>
        </w:rPr>
      </w:pPr>
      <w:r>
        <w:rPr>
          <w:rFonts w:hint="eastAsia" w:ascii="黑体" w:eastAsia="黑体"/>
          <w:sz w:val="32"/>
          <w:szCs w:val="32"/>
        </w:rPr>
        <w:t>四、绩效评价工作情况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Style w:val="7"/>
          <w:rFonts w:hint="eastAsia" w:ascii="仿宋" w:hAnsi="仿宋" w:eastAsia="仿宋" w:cs="仿宋"/>
          <w:i w:val="0"/>
          <w:caps w:val="0"/>
          <w:color w:val="000000"/>
          <w:spacing w:val="0"/>
          <w:sz w:val="32"/>
          <w:szCs w:val="32"/>
          <w:shd w:val="clear" w:color="auto" w:fill="FFFFFF"/>
        </w:rPr>
        <w:t>（一）绩效自评目的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绩效评价通过填写自评体系里面的相关评价指标，对部门项目实施的实现程度以及实现这些项目所安排预算的执行结果进行综合性评价。通过绩效自评，能单位更好的了解资金使用途径、资金支出进度等，同时，能更加合理的管理项目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Style w:val="7"/>
          <w:rFonts w:hint="eastAsia" w:ascii="仿宋" w:hAnsi="仿宋" w:eastAsia="仿宋" w:cs="仿宋"/>
          <w:i w:val="0"/>
          <w:caps w:val="0"/>
          <w:color w:val="000000"/>
          <w:spacing w:val="0"/>
          <w:sz w:val="32"/>
          <w:szCs w:val="32"/>
          <w:shd w:val="clear" w:color="auto" w:fill="FFFFFF"/>
        </w:rPr>
        <w:t>（二）自评指标体系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项目绩效指标完成分析：产出指标、效益指标、满意度指标；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项目成本性分析：项目是否有节支增效的改进措施；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项目时效指性分析：完成的及时性、验收的有效性；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部门绩效目标实现分析：项目绩效是否促进部门绩效目标的实现、项目绩效与规划和宏观政策的适应性、项目绩效体现部门职能职责及年度计划情况。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Style w:val="7"/>
          <w:rFonts w:hint="eastAsia" w:ascii="仿宋" w:hAnsi="仿宋" w:eastAsia="仿宋" w:cs="仿宋"/>
          <w:i w:val="0"/>
          <w:caps w:val="0"/>
          <w:color w:val="000000"/>
          <w:spacing w:val="0"/>
          <w:sz w:val="32"/>
          <w:szCs w:val="32"/>
          <w:shd w:val="clear" w:color="auto" w:fill="FFFFFF"/>
        </w:rPr>
        <w:t>（三）自评组织过程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1、前期准备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320" w:firstLineChars="10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设立考核机构：成立项目绩效考核领导小组，领导小组下设绩效考核办公室。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2、组织实施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right="0" w:firstLine="320" w:firstLineChars="10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组成工作组，指定专人组织开展绩效自评工作，认真梳理项目工作计划，对项目的程序、实施、效果进行了自查自评，最终形成评价。</w:t>
      </w:r>
    </w:p>
    <w:p>
      <w:pPr>
        <w:pStyle w:val="4"/>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Style w:val="7"/>
          <w:rFonts w:hint="eastAsia" w:ascii="仿宋" w:hAnsi="仿宋" w:eastAsia="仿宋" w:cs="仿宋"/>
          <w:b/>
          <w:i w:val="0"/>
          <w:caps w:val="0"/>
          <w:color w:val="000000"/>
          <w:spacing w:val="0"/>
          <w:sz w:val="32"/>
          <w:szCs w:val="32"/>
          <w:shd w:val="clear" w:color="auto" w:fill="FFFFFF"/>
        </w:rPr>
      </w:pPr>
      <w:r>
        <w:rPr>
          <w:rStyle w:val="7"/>
          <w:rFonts w:hint="eastAsia" w:ascii="仿宋" w:hAnsi="仿宋" w:eastAsia="仿宋" w:cs="仿宋"/>
          <w:b/>
          <w:i w:val="0"/>
          <w:caps w:val="0"/>
          <w:color w:val="000000"/>
          <w:spacing w:val="0"/>
          <w:sz w:val="32"/>
          <w:szCs w:val="32"/>
          <w:shd w:val="clear" w:color="auto" w:fill="FFFFFF"/>
        </w:rPr>
        <w:t>自评组织过程</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right="0" w:rightChars="0" w:firstLine="320" w:firstLineChars="100"/>
        <w:rPr>
          <w:rStyle w:val="7"/>
          <w:rFonts w:hint="eastAsia" w:ascii="仿宋" w:hAnsi="仿宋" w:eastAsia="仿宋" w:cs="仿宋"/>
          <w:b/>
          <w:i w:val="0"/>
          <w:caps w:val="0"/>
          <w:color w:val="000000"/>
          <w:spacing w:val="0"/>
          <w:sz w:val="32"/>
          <w:szCs w:val="32"/>
          <w:shd w:val="clear" w:color="auto" w:fill="FFFFFF"/>
        </w:rPr>
      </w:pPr>
      <w:r>
        <w:rPr>
          <w:rFonts w:hint="eastAsia" w:ascii="仿宋_GB2312" w:hAnsi="仿宋" w:eastAsia="仿宋_GB2312" w:cs="仿宋"/>
          <w:bCs/>
          <w:kern w:val="2"/>
          <w:sz w:val="32"/>
          <w:szCs w:val="32"/>
          <w:highlight w:val="none"/>
          <w:lang w:val="en-US" w:eastAsia="zh-CN" w:bidi="ar-SA"/>
        </w:rPr>
        <w:t>根据我单位制定的《部门整体支出绩效评价自评分值表》评分，得分98.3分，财政支出绩效为“优”。</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eastAsia" w:ascii="仿宋_GB2312" w:hAnsi="仿宋_GB2312" w:eastAsia="仿宋_GB2312" w:cs="仿宋_GB2312"/>
          <w:b w:val="0"/>
          <w:i w:val="0"/>
          <w:kern w:val="2"/>
          <w:sz w:val="32"/>
          <w:szCs w:val="32"/>
          <w:lang w:val="en-US" w:eastAsia="zh-CN" w:bidi="ar-SA"/>
        </w:rPr>
      </w:pPr>
      <w:r>
        <w:rPr>
          <w:rFonts w:hint="default" w:ascii="仿宋_GB2312" w:hAnsi="仿宋_GB2312" w:eastAsia="仿宋_GB2312" w:cs="仿宋_GB2312"/>
          <w:b w:val="0"/>
          <w:i w:val="0"/>
          <w:kern w:val="2"/>
          <w:sz w:val="32"/>
          <w:szCs w:val="32"/>
          <w:lang w:val="en-US" w:eastAsia="zh-CN" w:bidi="ar-SA"/>
        </w:rPr>
        <w:t>（1）相关人员对于绩效评价的认识不到位，部分部门对绩效不理解，缺乏绩效评价专业人才。</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eastAsia" w:ascii="仿宋_GB2312" w:hAnsi="仿宋_GB2312" w:eastAsia="仿宋_GB2312" w:cs="仿宋_GB2312"/>
          <w:b w:val="0"/>
          <w:i w:val="0"/>
          <w:kern w:val="2"/>
          <w:sz w:val="32"/>
          <w:szCs w:val="32"/>
          <w:lang w:val="en-US" w:eastAsia="zh-CN" w:bidi="ar-SA"/>
        </w:rPr>
      </w:pPr>
      <w:r>
        <w:rPr>
          <w:rFonts w:hint="default" w:ascii="仿宋_GB2312" w:hAnsi="仿宋_GB2312" w:eastAsia="仿宋_GB2312" w:cs="仿宋_GB2312"/>
          <w:b w:val="0"/>
          <w:i w:val="0"/>
          <w:kern w:val="2"/>
          <w:sz w:val="32"/>
          <w:szCs w:val="32"/>
          <w:lang w:val="en-US" w:eastAsia="zh-CN" w:bidi="ar-SA"/>
        </w:rPr>
        <w:t>（2）绩效目标和指标往往根据项目实际完成情况制定，对项目执行过程有效约束不够，存在偏差。</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eastAsia" w:ascii="仿宋_GB2312" w:hAnsi="仿宋_GB2312" w:eastAsia="仿宋_GB2312" w:cs="仿宋_GB2312"/>
          <w:b w:val="0"/>
          <w:i w:val="0"/>
          <w:kern w:val="2"/>
          <w:sz w:val="32"/>
          <w:szCs w:val="32"/>
          <w:lang w:val="en-US" w:eastAsia="zh-CN" w:bidi="ar-SA"/>
        </w:rPr>
      </w:pPr>
      <w:r>
        <w:rPr>
          <w:rFonts w:hint="default" w:ascii="仿宋_GB2312" w:hAnsi="仿宋_GB2312" w:eastAsia="仿宋_GB2312" w:cs="仿宋_GB2312"/>
          <w:b w:val="0"/>
          <w:i w:val="0"/>
          <w:kern w:val="2"/>
          <w:sz w:val="32"/>
          <w:szCs w:val="32"/>
          <w:lang w:val="en-US" w:eastAsia="zh-CN" w:bidi="ar-SA"/>
        </w:rPr>
        <w:t>（3）在绩效考评指标的设计上，部分特色指标缺乏数据支持和可行的分析测评，绩效指标体系有待完善。</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2、加强财务管理，严格财务审核。加强单位财务管理，健全单位财务管理制度体系，规范单位财务行为。在费用报账支付时，按照预算规定的费用项目和用途进行资金使用审核、列报支付、财务核算，杜绝超支现象的发生。</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3、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300" w:beforeAutospacing="0" w:after="0" w:afterAutospacing="0" w:line="360" w:lineRule="auto"/>
        <w:ind w:left="0" w:right="0" w:firstLine="480"/>
        <w:jc w:val="both"/>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4、对相关人员加强培训，特别是针对《预算法》、《行政事业单位会计制度》等学习培训，规范部门预算收支核算，切实提高部门预算收支管理水平。</w:t>
      </w:r>
    </w:p>
    <w:p>
      <w:pPr>
        <w:rPr>
          <w:rFonts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CCA86E2-4B7F-44C1-924F-5B983A786AD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B035EEFE-482B-4206-9311-396528C90417}"/>
  </w:font>
  <w:font w:name="方正小标宋_GBK">
    <w:panose1 w:val="02000000000000000000"/>
    <w:charset w:val="86"/>
    <w:family w:val="script"/>
    <w:pitch w:val="default"/>
    <w:sig w:usb0="A00002BF" w:usb1="38CF7CFA" w:usb2="00082016" w:usb3="00000000" w:csb0="00040001" w:csb1="00000000"/>
    <w:embedRegular r:id="rId3" w:fontKey="{E99C18CE-09F2-46CF-A9EF-93EA82A90A7C}"/>
  </w:font>
  <w:font w:name="仿宋_GB2312">
    <w:panose1 w:val="02010609030101010101"/>
    <w:charset w:val="86"/>
    <w:family w:val="auto"/>
    <w:pitch w:val="default"/>
    <w:sig w:usb0="00000001" w:usb1="080E0000" w:usb2="00000000" w:usb3="00000000" w:csb0="00040000" w:csb1="00000000"/>
    <w:embedRegular r:id="rId4" w:fontKey="{2AFC65BD-88BF-4DD3-B433-120A3631A544}"/>
  </w:font>
  <w:font w:name="仿宋">
    <w:panose1 w:val="02010609060101010101"/>
    <w:charset w:val="86"/>
    <w:family w:val="auto"/>
    <w:pitch w:val="default"/>
    <w:sig w:usb0="800002BF" w:usb1="38CF7CFA" w:usb2="00000016" w:usb3="00000000" w:csb0="00040001" w:csb1="00000000"/>
    <w:embedRegular r:id="rId5" w:fontKey="{F14361FD-E466-4482-AA06-3DBF7AF6FA6D}"/>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547B86"/>
    <w:multiLevelType w:val="singleLevel"/>
    <w:tmpl w:val="4D547B86"/>
    <w:lvl w:ilvl="0" w:tentative="0">
      <w:start w:val="4"/>
      <w:numFmt w:val="chineseCounting"/>
      <w:suff w:val="nothing"/>
      <w:lvlText w:val="（%1）"/>
      <w:lvlJc w:val="left"/>
      <w:rPr>
        <w:rFonts w:hint="eastAsia"/>
      </w:rPr>
    </w:lvl>
  </w:abstractNum>
  <w:abstractNum w:abstractNumId="1">
    <w:nsid w:val="631371EC"/>
    <w:multiLevelType w:val="singleLevel"/>
    <w:tmpl w:val="631371EC"/>
    <w:lvl w:ilvl="0" w:tentative="0">
      <w:start w:val="1"/>
      <w:numFmt w:val="decimalEnclosedCircleChinese"/>
      <w:suff w:val="nothing"/>
      <w:lvlText w:val="%1　"/>
      <w:lvlJc w:val="left"/>
      <w:pPr>
        <w:ind w:left="0" w:firstLine="400"/>
      </w:pPr>
      <w:rPr>
        <w:rFonts w:hint="eastAsia"/>
      </w:rPr>
    </w:lvl>
  </w:abstractNum>
  <w:abstractNum w:abstractNumId="2">
    <w:nsid w:val="6D5645BE"/>
    <w:multiLevelType w:val="singleLevel"/>
    <w:tmpl w:val="6D5645BE"/>
    <w:lvl w:ilvl="0" w:tentative="0">
      <w:start w:val="2"/>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mYjRiM2Q1YTY4ZTc2NjRlMGZlNmNhODM5NjRlMTEifQ=="/>
  </w:docVars>
  <w:rsids>
    <w:rsidRoot w:val="1A903110"/>
    <w:rsid w:val="000F441A"/>
    <w:rsid w:val="001641D5"/>
    <w:rsid w:val="00301E41"/>
    <w:rsid w:val="00351468"/>
    <w:rsid w:val="003A4D58"/>
    <w:rsid w:val="003F177B"/>
    <w:rsid w:val="004E0D1B"/>
    <w:rsid w:val="00522D10"/>
    <w:rsid w:val="00645905"/>
    <w:rsid w:val="00673BF9"/>
    <w:rsid w:val="006B151F"/>
    <w:rsid w:val="006D1D60"/>
    <w:rsid w:val="006E0807"/>
    <w:rsid w:val="00815264"/>
    <w:rsid w:val="00851C38"/>
    <w:rsid w:val="008550E8"/>
    <w:rsid w:val="008B058E"/>
    <w:rsid w:val="008C04D9"/>
    <w:rsid w:val="00910176"/>
    <w:rsid w:val="00AB22FB"/>
    <w:rsid w:val="00AC4145"/>
    <w:rsid w:val="00AF5AF7"/>
    <w:rsid w:val="00B02712"/>
    <w:rsid w:val="00B3407C"/>
    <w:rsid w:val="00B345A9"/>
    <w:rsid w:val="00B76409"/>
    <w:rsid w:val="00B94A96"/>
    <w:rsid w:val="00BD763C"/>
    <w:rsid w:val="00C51662"/>
    <w:rsid w:val="00C80663"/>
    <w:rsid w:val="00DB3D0E"/>
    <w:rsid w:val="00DD1AC7"/>
    <w:rsid w:val="00E05D05"/>
    <w:rsid w:val="00E12BA2"/>
    <w:rsid w:val="00E27E1E"/>
    <w:rsid w:val="00E50C5A"/>
    <w:rsid w:val="00E9323E"/>
    <w:rsid w:val="00E9693A"/>
    <w:rsid w:val="00EA75AF"/>
    <w:rsid w:val="00F31AD6"/>
    <w:rsid w:val="00F418AA"/>
    <w:rsid w:val="059F450A"/>
    <w:rsid w:val="151E34D0"/>
    <w:rsid w:val="15547FDE"/>
    <w:rsid w:val="15EB1BB7"/>
    <w:rsid w:val="17A532DC"/>
    <w:rsid w:val="1A903110"/>
    <w:rsid w:val="1C5603AD"/>
    <w:rsid w:val="1D495F9C"/>
    <w:rsid w:val="1DF35D02"/>
    <w:rsid w:val="1E8A6AB3"/>
    <w:rsid w:val="20352698"/>
    <w:rsid w:val="226B3522"/>
    <w:rsid w:val="236F566F"/>
    <w:rsid w:val="23C833EA"/>
    <w:rsid w:val="296861E4"/>
    <w:rsid w:val="30E76373"/>
    <w:rsid w:val="331422B0"/>
    <w:rsid w:val="36C27676"/>
    <w:rsid w:val="376F41E6"/>
    <w:rsid w:val="393365B3"/>
    <w:rsid w:val="40D94D51"/>
    <w:rsid w:val="413249EE"/>
    <w:rsid w:val="424930D2"/>
    <w:rsid w:val="4EEF73A9"/>
    <w:rsid w:val="51FC5EA4"/>
    <w:rsid w:val="52772921"/>
    <w:rsid w:val="57416589"/>
    <w:rsid w:val="579E445A"/>
    <w:rsid w:val="57B3601A"/>
    <w:rsid w:val="580A4430"/>
    <w:rsid w:val="618C0884"/>
    <w:rsid w:val="618C6CC0"/>
    <w:rsid w:val="653615AC"/>
    <w:rsid w:val="6791160E"/>
    <w:rsid w:val="68E2157A"/>
    <w:rsid w:val="72D62454"/>
    <w:rsid w:val="745D29B5"/>
    <w:rsid w:val="7C172457"/>
    <w:rsid w:val="7F972B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10"/>
    <w:autoRedefine/>
    <w:qFormat/>
    <w:uiPriority w:val="0"/>
    <w:pPr>
      <w:tabs>
        <w:tab w:val="center" w:pos="4153"/>
        <w:tab w:val="right" w:pos="8306"/>
      </w:tabs>
      <w:snapToGrid w:val="0"/>
      <w:jc w:val="left"/>
    </w:pPr>
    <w:rPr>
      <w:sz w:val="18"/>
      <w:szCs w:val="18"/>
    </w:rPr>
  </w:style>
  <w:style w:type="paragraph" w:styleId="3">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autoRedefine/>
    <w:qFormat/>
    <w:uiPriority w:val="0"/>
    <w:rPr>
      <w:sz w:val="24"/>
    </w:rPr>
  </w:style>
  <w:style w:type="character" w:styleId="7">
    <w:name w:val="Strong"/>
    <w:basedOn w:val="6"/>
    <w:autoRedefine/>
    <w:qFormat/>
    <w:uiPriority w:val="0"/>
    <w:rPr>
      <w:b/>
    </w:rPr>
  </w:style>
  <w:style w:type="character" w:customStyle="1" w:styleId="8">
    <w:name w:val="hj-easyread-speakerprocesser-position-action-icon"/>
    <w:basedOn w:val="6"/>
    <w:autoRedefine/>
    <w:qFormat/>
    <w:uiPriority w:val="0"/>
  </w:style>
  <w:style w:type="character" w:customStyle="1" w:styleId="9">
    <w:name w:val="页眉 Char"/>
    <w:basedOn w:val="6"/>
    <w:link w:val="3"/>
    <w:autoRedefine/>
    <w:qFormat/>
    <w:uiPriority w:val="0"/>
    <w:rPr>
      <w:rFonts w:asciiTheme="minorHAnsi" w:hAnsiTheme="minorHAnsi" w:eastAsiaTheme="minorEastAsia" w:cstheme="minorBidi"/>
      <w:kern w:val="2"/>
      <w:sz w:val="18"/>
      <w:szCs w:val="18"/>
    </w:rPr>
  </w:style>
  <w:style w:type="character" w:customStyle="1" w:styleId="10">
    <w:name w:val="页脚 Char"/>
    <w:basedOn w:val="6"/>
    <w:link w:val="2"/>
    <w:autoRedefine/>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Windows 10</Company>
  <Pages>10</Pages>
  <Words>3393</Words>
  <Characters>3608</Characters>
  <Lines>20</Lines>
  <Paragraphs>5</Paragraphs>
  <TotalTime>309</TotalTime>
  <ScaleCrop>false</ScaleCrop>
  <LinksUpToDate>false</LinksUpToDate>
  <CharactersWithSpaces>3657</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2018-01-08T05:38:00Z</dcterms:created>
  <dc:creator>Administrator</dc:creator>
  <cp:lastModifiedBy>（●＾o＾●）</cp:lastModifiedBy>
  <cp:lastPrinted>2023-04-26T03:46:00Z</cp:lastPrinted>
  <dcterms:modified xsi:type="dcterms:W3CDTF">2024-05-11T00:26:19Z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0F68082D1DAE44C8968F2A29D9571E38_13</vt:lpwstr>
  </property>
</Properties>
</file>