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w:t>
      </w:r>
      <w:r>
        <w:rPr>
          <w:rFonts w:hint="eastAsia" w:ascii="方正小标宋_GBK" w:eastAsia="方正小标宋_GBK"/>
          <w:sz w:val="44"/>
          <w:szCs w:val="44"/>
          <w:lang w:val="en-US" w:eastAsia="zh-CN"/>
        </w:rPr>
        <w:t>硫市镇</w:t>
      </w:r>
      <w:r>
        <w:rPr>
          <w:rFonts w:hint="eastAsia" w:ascii="方正小标宋_GBK" w:eastAsia="方正小标宋_GBK"/>
          <w:sz w:val="44"/>
          <w:szCs w:val="44"/>
        </w:rPr>
        <w:t>整体支出绩效自评报告</w:t>
      </w:r>
    </w:p>
    <w:p/>
    <w:p>
      <w:pPr>
        <w:jc w:val="center"/>
        <w:rPr>
          <w:rFonts w:hint="eastAsia"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32"/>
          <w:szCs w:val="32"/>
          <w:u w:val="single"/>
          <w:lang w:val="en-US" w:eastAsia="zh-CN"/>
        </w:rPr>
        <w:t>2023</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硫市</w:t>
      </w:r>
      <w:r>
        <w:rPr>
          <w:rFonts w:hint="eastAsia" w:ascii="仿宋_GB2312" w:eastAsia="仿宋_GB2312"/>
          <w:sz w:val="32"/>
          <w:szCs w:val="32"/>
        </w:rPr>
        <w:t xml:space="preserve">镇人民政府             </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 </w:t>
      </w:r>
      <w:r>
        <w:rPr>
          <w:rFonts w:hint="eastAsia" w:ascii="仿宋_GB2312" w:eastAsia="仿宋_GB2312"/>
          <w:sz w:val="32"/>
          <w:szCs w:val="32"/>
          <w:lang w:val="en-US" w:eastAsia="zh-CN"/>
        </w:rPr>
        <w:t>912001</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2024</w:t>
      </w:r>
      <w:r>
        <w:rPr>
          <w:rFonts w:hint="eastAsia" w:ascii="仿宋_GB2312" w:eastAsia="仿宋_GB2312"/>
          <w:sz w:val="32"/>
          <w:szCs w:val="32"/>
        </w:rPr>
        <w:t xml:space="preserve">年 </w:t>
      </w:r>
      <w:r>
        <w:rPr>
          <w:rFonts w:hint="eastAsia" w:ascii="仿宋_GB2312" w:eastAsia="仿宋_GB2312"/>
          <w:sz w:val="32"/>
          <w:szCs w:val="32"/>
          <w:lang w:val="en-US" w:eastAsia="zh-CN"/>
        </w:rPr>
        <w:t>04</w:t>
      </w:r>
      <w:r>
        <w:rPr>
          <w:rFonts w:hint="eastAsia" w:ascii="仿宋_GB2312" w:eastAsia="仿宋_GB2312"/>
          <w:sz w:val="32"/>
          <w:szCs w:val="32"/>
        </w:rPr>
        <w:t xml:space="preserve"> 月 </w:t>
      </w:r>
      <w:r>
        <w:rPr>
          <w:rFonts w:hint="eastAsia" w:ascii="仿宋_GB2312" w:eastAsia="仿宋_GB2312"/>
          <w:sz w:val="32"/>
          <w:szCs w:val="32"/>
          <w:lang w:val="en-US" w:eastAsia="zh-CN"/>
        </w:rPr>
        <w:t>25</w:t>
      </w:r>
      <w:r>
        <w:rPr>
          <w:rFonts w:hint="eastAsia" w:ascii="仿宋_GB2312" w:eastAsia="仿宋_GB2312"/>
          <w:sz w:val="32"/>
          <w:szCs w:val="32"/>
        </w:rPr>
        <w:t xml:space="preserve"> 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宋体" w:hAnsi="宋体" w:eastAsia="宋体" w:cs="宋体"/>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sz w:val="36"/>
          <w:szCs w:val="36"/>
        </w:rPr>
      </w:pPr>
      <w:r>
        <w:rPr>
          <w:rFonts w:hint="eastAsia" w:ascii="仿宋" w:hAnsi="仿宋" w:eastAsia="仿宋" w:cs="仿宋"/>
          <w:b/>
          <w:bCs/>
          <w:i w:val="0"/>
          <w:caps w:val="0"/>
          <w:color w:val="000000"/>
          <w:spacing w:val="0"/>
          <w:kern w:val="0"/>
          <w:sz w:val="36"/>
          <w:szCs w:val="36"/>
          <w:lang w:val="en-US" w:eastAsia="zh-CN"/>
        </w:rPr>
        <w:t>硫市镇2023年部门整体支出绩效自评报告</w:t>
      </w:r>
    </w:p>
    <w:p>
      <w:pPr>
        <w:keepNext w:val="0"/>
        <w:keepLines w:val="0"/>
        <w:pageBreakBefore w:val="0"/>
        <w:widowControl w:val="0"/>
        <w:kinsoku/>
        <w:wordWrap/>
        <w:overflowPunct/>
        <w:topLinePunct w:val="0"/>
        <w:autoSpaceDE/>
        <w:autoSpaceDN/>
        <w:bidi w:val="0"/>
        <w:adjustRightInd/>
        <w:snapToGrid/>
        <w:spacing w:afterAutospacing="0" w:line="600" w:lineRule="exact"/>
        <w:ind w:firstLine="632" w:firstLineChars="200"/>
        <w:jc w:val="left"/>
        <w:textAlignment w:val="auto"/>
        <w:rPr>
          <w:rFonts w:hint="eastAsia" w:ascii="仿宋" w:hAnsi="仿宋" w:eastAsia="仿宋" w:cs="仿宋"/>
          <w:b w:val="0"/>
          <w:bCs/>
          <w:color w:val="383838"/>
          <w:sz w:val="32"/>
          <w:szCs w:val="32"/>
          <w:shd w:val="clear" w:color="auto" w:fill="FFFFFF"/>
          <w:lang w:val="en-US" w:eastAsia="zh-CN"/>
        </w:rPr>
      </w:pPr>
      <w:r>
        <w:rPr>
          <w:rFonts w:hint="eastAsia" w:ascii="仿宋" w:hAnsi="仿宋" w:eastAsia="仿宋" w:cs="仿宋"/>
          <w:b w:val="0"/>
          <w:i w:val="0"/>
          <w:caps w:val="0"/>
          <w:color w:val="333333"/>
          <w:spacing w:val="-2"/>
          <w:sz w:val="32"/>
          <w:szCs w:val="32"/>
        </w:rPr>
        <w:t>为加强财政预算资金管理，进一步规范预算资金使用，提高财政资金使用效益，根据《衡南县财政局关于开展</w:t>
      </w:r>
      <w:r>
        <w:rPr>
          <w:rFonts w:hint="eastAsia" w:ascii="仿宋" w:hAnsi="仿宋" w:eastAsia="仿宋" w:cs="仿宋"/>
          <w:b w:val="0"/>
          <w:i w:val="0"/>
          <w:caps w:val="0"/>
          <w:color w:val="333333"/>
          <w:spacing w:val="-2"/>
          <w:sz w:val="32"/>
          <w:szCs w:val="32"/>
          <w:lang w:eastAsia="zh-CN"/>
        </w:rPr>
        <w:t>202</w:t>
      </w:r>
      <w:r>
        <w:rPr>
          <w:rFonts w:hint="eastAsia" w:ascii="仿宋" w:hAnsi="仿宋" w:eastAsia="仿宋" w:cs="仿宋"/>
          <w:b w:val="0"/>
          <w:i w:val="0"/>
          <w:caps w:val="0"/>
          <w:color w:val="333333"/>
          <w:spacing w:val="-2"/>
          <w:sz w:val="32"/>
          <w:szCs w:val="32"/>
          <w:lang w:val="en-US" w:eastAsia="zh-CN"/>
        </w:rPr>
        <w:t>3</w:t>
      </w:r>
      <w:r>
        <w:rPr>
          <w:rFonts w:hint="eastAsia" w:ascii="仿宋" w:hAnsi="仿宋" w:eastAsia="仿宋" w:cs="仿宋"/>
          <w:b w:val="0"/>
          <w:i w:val="0"/>
          <w:caps w:val="0"/>
          <w:color w:val="333333"/>
          <w:spacing w:val="-2"/>
          <w:sz w:val="32"/>
          <w:szCs w:val="32"/>
        </w:rPr>
        <w:t>年度财政资金绩效自评工作的通知》要求，</w:t>
      </w:r>
      <w:r>
        <w:rPr>
          <w:rFonts w:hint="eastAsia" w:ascii="仿宋" w:hAnsi="仿宋" w:eastAsia="仿宋" w:cs="仿宋"/>
          <w:b w:val="0"/>
          <w:i w:val="0"/>
          <w:caps w:val="0"/>
          <w:color w:val="333333"/>
          <w:spacing w:val="-2"/>
          <w:sz w:val="32"/>
          <w:szCs w:val="32"/>
          <w:lang w:val="en-US" w:eastAsia="zh-CN"/>
        </w:rPr>
        <w:t>本单位</w:t>
      </w:r>
      <w:r>
        <w:rPr>
          <w:rFonts w:hint="eastAsia" w:ascii="仿宋" w:hAnsi="仿宋" w:eastAsia="仿宋" w:cs="仿宋"/>
          <w:b w:val="0"/>
          <w:i w:val="0"/>
          <w:caps w:val="0"/>
          <w:color w:val="333333"/>
          <w:spacing w:val="-2"/>
          <w:sz w:val="32"/>
          <w:szCs w:val="32"/>
        </w:rPr>
        <w:t>对</w:t>
      </w:r>
      <w:r>
        <w:rPr>
          <w:rFonts w:hint="eastAsia" w:ascii="仿宋" w:hAnsi="仿宋" w:eastAsia="仿宋" w:cs="仿宋"/>
          <w:b w:val="0"/>
          <w:i w:val="0"/>
          <w:caps w:val="0"/>
          <w:color w:val="333333"/>
          <w:spacing w:val="-2"/>
          <w:sz w:val="32"/>
          <w:szCs w:val="32"/>
          <w:lang w:eastAsia="zh-CN"/>
        </w:rPr>
        <w:t>20</w:t>
      </w:r>
      <w:r>
        <w:rPr>
          <w:rFonts w:hint="eastAsia" w:ascii="仿宋" w:hAnsi="仿宋" w:eastAsia="仿宋" w:cs="仿宋"/>
          <w:b w:val="0"/>
          <w:i w:val="0"/>
          <w:caps w:val="0"/>
          <w:color w:val="333333"/>
          <w:spacing w:val="-2"/>
          <w:sz w:val="32"/>
          <w:szCs w:val="32"/>
          <w:lang w:val="en-US" w:eastAsia="zh-CN"/>
        </w:rPr>
        <w:t>23</w:t>
      </w:r>
      <w:r>
        <w:rPr>
          <w:rFonts w:hint="eastAsia" w:ascii="仿宋" w:hAnsi="仿宋" w:eastAsia="仿宋" w:cs="仿宋"/>
          <w:b w:val="0"/>
          <w:i w:val="0"/>
          <w:caps w:val="0"/>
          <w:color w:val="333333"/>
          <w:spacing w:val="-2"/>
          <w:sz w:val="32"/>
          <w:szCs w:val="32"/>
        </w:rPr>
        <w:t>年度本单位</w:t>
      </w:r>
      <w:r>
        <w:rPr>
          <w:rFonts w:hint="eastAsia" w:ascii="仿宋" w:hAnsi="仿宋" w:eastAsia="仿宋" w:cs="仿宋"/>
          <w:b w:val="0"/>
          <w:i w:val="0"/>
          <w:caps w:val="0"/>
          <w:color w:val="333333"/>
          <w:spacing w:val="-2"/>
          <w:sz w:val="32"/>
          <w:szCs w:val="32"/>
          <w:lang w:val="en-US" w:eastAsia="zh-CN"/>
        </w:rPr>
        <w:t>财政性资金</w:t>
      </w:r>
      <w:r>
        <w:rPr>
          <w:rFonts w:hint="eastAsia" w:ascii="仿宋" w:hAnsi="仿宋" w:eastAsia="仿宋" w:cs="仿宋"/>
          <w:b w:val="0"/>
          <w:i w:val="0"/>
          <w:caps w:val="0"/>
          <w:color w:val="333333"/>
          <w:spacing w:val="-2"/>
          <w:sz w:val="32"/>
          <w:szCs w:val="32"/>
        </w:rPr>
        <w:t>整体</w:t>
      </w:r>
      <w:r>
        <w:rPr>
          <w:rFonts w:hint="eastAsia" w:ascii="仿宋" w:hAnsi="仿宋" w:eastAsia="仿宋" w:cs="仿宋"/>
          <w:b w:val="0"/>
          <w:i w:val="0"/>
          <w:caps w:val="0"/>
          <w:color w:val="333333"/>
          <w:spacing w:val="-2"/>
          <w:sz w:val="32"/>
          <w:szCs w:val="32"/>
          <w:lang w:val="en-US" w:eastAsia="zh-CN"/>
        </w:rPr>
        <w:t>使用情况</w:t>
      </w:r>
      <w:r>
        <w:rPr>
          <w:rFonts w:hint="eastAsia" w:ascii="仿宋" w:hAnsi="仿宋" w:eastAsia="仿宋" w:cs="仿宋"/>
          <w:b w:val="0"/>
          <w:i w:val="0"/>
          <w:caps w:val="0"/>
          <w:color w:val="333333"/>
          <w:spacing w:val="-2"/>
          <w:sz w:val="32"/>
          <w:szCs w:val="32"/>
        </w:rPr>
        <w:t>进行了绩效自评，现将具体绩效评价情况报告如下：</w:t>
      </w:r>
    </w:p>
    <w:p>
      <w:pPr>
        <w:keepNext w:val="0"/>
        <w:keepLines w:val="0"/>
        <w:pageBreakBefore w:val="0"/>
        <w:numPr>
          <w:ilvl w:val="0"/>
          <w:numId w:val="1"/>
        </w:numPr>
        <w:kinsoku/>
        <w:wordWrap/>
        <w:overflowPunct/>
        <w:topLinePunct w:val="0"/>
        <w:autoSpaceDE/>
        <w:bidi w:val="0"/>
        <w:adjustRightInd/>
        <w:spacing w:beforeAutospacing="0" w:afterAutospacing="0" w:line="600" w:lineRule="exact"/>
        <w:ind w:left="0" w:leftChars="0" w:firstLine="640" w:firstLineChars="200"/>
        <w:textAlignment w:val="auto"/>
        <w:rPr>
          <w:rFonts w:hint="eastAsia" w:ascii="黑体" w:eastAsia="黑体"/>
          <w:sz w:val="32"/>
          <w:szCs w:val="32"/>
        </w:rPr>
      </w:pPr>
      <w:r>
        <w:rPr>
          <w:rFonts w:hint="eastAsia" w:ascii="黑体" w:eastAsia="黑体"/>
          <w:sz w:val="32"/>
          <w:szCs w:val="32"/>
          <w:lang w:val="en-US" w:eastAsia="zh-CN"/>
        </w:rPr>
        <w:t>单位</w:t>
      </w:r>
      <w:r>
        <w:rPr>
          <w:rFonts w:hint="eastAsia" w:ascii="黑体" w:eastAsia="黑体"/>
          <w:sz w:val="32"/>
          <w:szCs w:val="32"/>
        </w:rPr>
        <w:t>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beforeAutospacing="0" w:line="600" w:lineRule="exact"/>
        <w:ind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硫市镇人民政府</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keepNext w:val="0"/>
        <w:keepLines w:val="0"/>
        <w:pageBreakBefore w:val="0"/>
        <w:numPr>
          <w:ilvl w:val="0"/>
          <w:numId w:val="2"/>
        </w:numPr>
        <w:kinsoku/>
        <w:wordWrap/>
        <w:overflowPunct/>
        <w:topLinePunct w:val="0"/>
        <w:autoSpaceDE/>
        <w:bidi w:val="0"/>
        <w:adjustRightInd/>
        <w:spacing w:line="600" w:lineRule="exact"/>
        <w:ind w:left="638" w:leftChars="304" w:firstLine="0" w:firstLineChars="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auto"/>
          <w:sz w:val="32"/>
          <w:shd w:val="clear" w:color="auto" w:fill="FFFFFF"/>
          <w:lang w:val="zh-CN"/>
        </w:rPr>
      </w:pPr>
      <w:r>
        <w:rPr>
          <w:rFonts w:hint="eastAsia" w:ascii="仿宋" w:hAnsi="仿宋" w:eastAsia="仿宋"/>
          <w:b w:val="0"/>
          <w:bCs/>
          <w:color w:val="383838"/>
          <w:sz w:val="32"/>
          <w:shd w:val="clear" w:color="auto" w:fill="FFFFFF"/>
          <w:lang w:val="en-US"/>
        </w:rPr>
        <w:t>1、</w:t>
      </w:r>
      <w:r>
        <w:rPr>
          <w:rFonts w:hint="eastAsia" w:ascii="仿宋" w:hAnsi="仿宋" w:eastAsia="仿宋"/>
          <w:b w:val="0"/>
          <w:bCs/>
          <w:color w:val="383838"/>
          <w:sz w:val="32"/>
          <w:shd w:val="clear" w:color="auto" w:fill="FFFFFF"/>
          <w:lang w:val="zh-CN"/>
        </w:rPr>
        <w:t>负责党的路线、方针、政策和国家法律、法规在本行政区域内的宣传、贯彻、落实。加强基层党组织和政权建设，为</w:t>
      </w:r>
      <w:r>
        <w:rPr>
          <w:rFonts w:hint="eastAsia" w:ascii="仿宋" w:hAnsi="仿宋" w:eastAsia="仿宋"/>
          <w:b w:val="0"/>
          <w:bCs/>
          <w:color w:val="auto"/>
          <w:sz w:val="32"/>
          <w:shd w:val="clear" w:color="auto" w:fill="FFFFFF"/>
          <w:lang w:val="zh-CN"/>
        </w:rPr>
        <w:t>本地区经济的发展和社会稳定提供政治、社会环境和组织保证。</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auto"/>
          <w:sz w:val="32"/>
          <w:shd w:val="clear" w:color="auto" w:fill="FFFFFF"/>
          <w:lang w:val="zh-CN"/>
        </w:rPr>
      </w:pPr>
      <w:r>
        <w:rPr>
          <w:rFonts w:hint="eastAsia" w:ascii="仿宋" w:hAnsi="仿宋" w:eastAsia="仿宋"/>
          <w:b w:val="0"/>
          <w:bCs/>
          <w:color w:val="auto"/>
          <w:sz w:val="32"/>
          <w:shd w:val="clear" w:color="auto" w:fill="FFFFFF"/>
          <w:lang w:val="en-US"/>
        </w:rPr>
        <w:t>2、</w:t>
      </w:r>
      <w:r>
        <w:rPr>
          <w:rFonts w:hint="eastAsia" w:ascii="仿宋" w:hAnsi="仿宋" w:eastAsia="仿宋"/>
          <w:b w:val="0"/>
          <w:bCs/>
          <w:color w:val="auto"/>
          <w:sz w:val="32"/>
          <w:shd w:val="clear" w:color="auto" w:fill="FFFFFF"/>
          <w:lang w:val="zh-CN"/>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eastAsia" w:ascii="仿宋" w:hAnsi="仿宋" w:eastAsia="仿宋"/>
          <w:b w:val="0"/>
          <w:bCs/>
          <w:color w:val="auto"/>
          <w:sz w:val="32"/>
          <w:shd w:val="clear" w:color="auto" w:fill="FFFFFF"/>
          <w:lang w:val="zh-CN"/>
        </w:rPr>
      </w:pPr>
      <w:r>
        <w:rPr>
          <w:rFonts w:hint="eastAsia" w:ascii="仿宋" w:hAnsi="仿宋" w:eastAsia="仿宋"/>
          <w:b w:val="0"/>
          <w:bCs/>
          <w:color w:val="auto"/>
          <w:sz w:val="32"/>
          <w:shd w:val="clear" w:color="auto" w:fill="FFFFFF"/>
          <w:lang w:val="en-US"/>
        </w:rPr>
        <w:t>3、</w:t>
      </w:r>
      <w:r>
        <w:rPr>
          <w:rFonts w:hint="eastAsia" w:ascii="仿宋" w:hAnsi="仿宋" w:eastAsia="仿宋"/>
          <w:b w:val="0"/>
          <w:bCs/>
          <w:color w:val="auto"/>
          <w:sz w:val="32"/>
          <w:shd w:val="clear" w:color="auto" w:fill="FFFFFF"/>
          <w:lang w:val="zh-CN"/>
        </w:rPr>
        <w:t>负责硫市镇党委、人大、政府、政协联络工委、纪律委员会、人民武装及共青团、妇联等群团组织的日常工作。</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default" w:ascii="仿宋" w:hAnsi="仿宋" w:eastAsia="仿宋"/>
          <w:b/>
          <w:bCs w:val="0"/>
          <w:color w:val="auto"/>
          <w:sz w:val="32"/>
          <w:shd w:val="clear" w:color="auto" w:fill="FFFFFF"/>
          <w:lang w:val="en-US" w:eastAsia="zh-CN"/>
        </w:rPr>
      </w:pPr>
      <w:r>
        <w:rPr>
          <w:rFonts w:hint="eastAsia" w:ascii="仿宋" w:hAnsi="仿宋" w:eastAsia="仿宋"/>
          <w:b w:val="0"/>
          <w:bCs/>
          <w:color w:val="auto"/>
          <w:sz w:val="32"/>
          <w:shd w:val="clear" w:color="auto" w:fill="FFFFFF"/>
          <w:lang w:val="en-US"/>
        </w:rPr>
        <w:t>4、</w:t>
      </w:r>
      <w:r>
        <w:rPr>
          <w:rFonts w:hint="eastAsia" w:ascii="仿宋" w:hAnsi="仿宋" w:eastAsia="仿宋"/>
          <w:b w:val="0"/>
          <w:bCs/>
          <w:color w:val="auto"/>
          <w:sz w:val="32"/>
          <w:shd w:val="clear" w:color="auto" w:fill="FFFFFF"/>
          <w:lang w:val="zh-CN"/>
        </w:rPr>
        <w:t>负责完成上级机关交办的其他工作任务。</w:t>
      </w:r>
    </w:p>
    <w:p>
      <w:pPr>
        <w:keepNext w:val="0"/>
        <w:keepLines w:val="0"/>
        <w:pageBreakBefore w:val="0"/>
        <w:widowControl w:val="0"/>
        <w:numPr>
          <w:ilvl w:val="0"/>
          <w:numId w:val="0"/>
        </w:numPr>
        <w:kinsoku/>
        <w:wordWrap/>
        <w:overflowPunct/>
        <w:topLinePunct w:val="0"/>
        <w:autoSpaceDE/>
        <w:bidi w:val="0"/>
        <w:adjustRightInd/>
        <w:snapToGrid/>
        <w:spacing w:line="600" w:lineRule="exact"/>
        <w:ind w:firstLine="321" w:firstLineChars="100"/>
        <w:textAlignment w:val="auto"/>
        <w:rPr>
          <w:rFonts w:hint="eastAsia" w:ascii="仿宋" w:hAnsi="仿宋" w:eastAsia="仿宋"/>
          <w:b/>
          <w:bCs w:val="0"/>
          <w:color w:val="auto"/>
          <w:sz w:val="32"/>
          <w:shd w:val="clear" w:color="auto" w:fill="FFFFFF"/>
          <w:lang w:val="en-US" w:eastAsia="zh-CN"/>
        </w:rPr>
      </w:pPr>
      <w:r>
        <w:rPr>
          <w:rFonts w:hint="eastAsia" w:ascii="仿宋" w:hAnsi="仿宋" w:eastAsia="仿宋"/>
          <w:b/>
          <w:bCs w:val="0"/>
          <w:color w:val="auto"/>
          <w:sz w:val="32"/>
          <w:shd w:val="clear" w:color="auto" w:fill="FFFFFF"/>
          <w:lang w:val="en-US" w:eastAsia="zh-CN"/>
        </w:rPr>
        <w:t>（二）基本情况。</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afterAutospacing="0" w:line="600" w:lineRule="exact"/>
        <w:ind w:firstLine="640" w:firstLineChars="200"/>
        <w:textAlignment w:val="auto"/>
        <w:rPr>
          <w:rFonts w:hint="eastAsia"/>
          <w:color w:val="auto"/>
          <w:lang w:val="en-US" w:eastAsia="zh-CN"/>
        </w:rPr>
      </w:pPr>
      <w:r>
        <w:rPr>
          <w:rFonts w:hint="eastAsia" w:ascii="仿宋" w:hAnsi="仿宋" w:eastAsia="仿宋"/>
          <w:b w:val="0"/>
          <w:bCs/>
          <w:color w:val="auto"/>
          <w:sz w:val="32"/>
          <w:shd w:val="clear" w:color="auto" w:fill="FFFFFF"/>
          <w:lang w:val="en-US" w:eastAsia="zh-CN"/>
        </w:rPr>
        <w:t>本镇共</w:t>
      </w:r>
      <w:r>
        <w:rPr>
          <w:rFonts w:hint="eastAsia" w:ascii="仿宋" w:hAnsi="仿宋" w:eastAsia="仿宋"/>
          <w:b w:val="0"/>
          <w:bCs/>
          <w:color w:val="auto"/>
          <w:sz w:val="32"/>
          <w:shd w:val="clear" w:color="auto" w:fill="FFFFFF"/>
          <w:lang w:eastAsia="zh-CN"/>
        </w:rPr>
        <w:t>辖有</w:t>
      </w:r>
      <w:r>
        <w:rPr>
          <w:rFonts w:hint="eastAsia" w:ascii="仿宋" w:hAnsi="仿宋" w:eastAsia="仿宋"/>
          <w:b w:val="0"/>
          <w:bCs/>
          <w:color w:val="auto"/>
          <w:sz w:val="32"/>
          <w:shd w:val="clear" w:color="auto" w:fill="FFFFFF"/>
          <w:lang w:val="en-US" w:eastAsia="zh-CN"/>
        </w:rPr>
        <w:t>20</w:t>
      </w:r>
      <w:r>
        <w:rPr>
          <w:rFonts w:hint="eastAsia" w:ascii="仿宋" w:hAnsi="仿宋" w:eastAsia="仿宋"/>
          <w:b w:val="0"/>
          <w:bCs/>
          <w:color w:val="auto"/>
          <w:sz w:val="32"/>
          <w:shd w:val="clear" w:color="auto" w:fill="FFFFFF"/>
          <w:lang w:eastAsia="zh-CN"/>
        </w:rPr>
        <w:t>个村，2个</w:t>
      </w:r>
      <w:r>
        <w:rPr>
          <w:rFonts w:hint="eastAsia" w:ascii="仿宋" w:hAnsi="仿宋" w:eastAsia="仿宋"/>
          <w:b w:val="0"/>
          <w:bCs/>
          <w:color w:val="auto"/>
          <w:sz w:val="32"/>
          <w:shd w:val="clear" w:color="auto" w:fill="FFFFFF"/>
          <w:lang w:val="en-US" w:eastAsia="zh-CN"/>
        </w:rPr>
        <w:t>社区</w:t>
      </w:r>
      <w:r>
        <w:rPr>
          <w:rFonts w:hint="eastAsia" w:ascii="仿宋" w:hAnsi="仿宋" w:eastAsia="仿宋"/>
          <w:b w:val="0"/>
          <w:bCs/>
          <w:color w:val="auto"/>
          <w:sz w:val="32"/>
          <w:shd w:val="clear" w:color="auto" w:fill="FFFFFF"/>
          <w:lang w:eastAsia="zh-CN"/>
        </w:rPr>
        <w:t>居委会，</w:t>
      </w:r>
      <w:r>
        <w:rPr>
          <w:rFonts w:hint="eastAsia" w:ascii="仿宋" w:hAnsi="仿宋" w:eastAsia="仿宋"/>
          <w:b w:val="0"/>
          <w:bCs/>
          <w:color w:val="auto"/>
          <w:sz w:val="32"/>
          <w:shd w:val="clear" w:color="auto" w:fill="FFFFFF"/>
          <w:lang w:val="en-US" w:eastAsia="zh-CN"/>
        </w:rPr>
        <w:t>2023年底</w:t>
      </w:r>
      <w:r>
        <w:rPr>
          <w:rFonts w:hint="eastAsia" w:ascii="仿宋" w:hAnsi="仿宋" w:eastAsia="仿宋"/>
          <w:b w:val="0"/>
          <w:bCs/>
          <w:color w:val="auto"/>
          <w:sz w:val="32"/>
          <w:shd w:val="clear" w:color="auto" w:fill="FFFFFF"/>
          <w:lang w:eastAsia="zh-CN"/>
        </w:rPr>
        <w:t>政府机关现有在编财政供养人员</w:t>
      </w:r>
      <w:r>
        <w:rPr>
          <w:rFonts w:hint="eastAsia" w:ascii="仿宋" w:hAnsi="仿宋" w:eastAsia="仿宋"/>
          <w:b w:val="0"/>
          <w:bCs/>
          <w:color w:val="auto"/>
          <w:sz w:val="32"/>
          <w:shd w:val="clear" w:color="auto" w:fill="FFFFFF"/>
          <w:lang w:val="en-US" w:eastAsia="zh-CN"/>
        </w:rPr>
        <w:t>101人，其中行政人员30人，事业人员71人</w:t>
      </w:r>
      <w:r>
        <w:rPr>
          <w:rFonts w:hint="eastAsia" w:ascii="仿宋" w:hAnsi="仿宋" w:eastAsia="仿宋"/>
          <w:b w:val="0"/>
          <w:bCs/>
          <w:color w:val="auto"/>
          <w:sz w:val="32"/>
          <w:shd w:val="clear" w:color="auto" w:fill="FFFFFF"/>
          <w:lang w:eastAsia="zh-CN"/>
        </w:rPr>
        <w:t>。</w:t>
      </w:r>
      <w:r>
        <w:rPr>
          <w:rFonts w:hint="eastAsia" w:ascii="仿宋" w:hAnsi="仿宋" w:eastAsia="仿宋"/>
          <w:b w:val="0"/>
          <w:bCs/>
          <w:color w:val="auto"/>
          <w:sz w:val="32"/>
          <w:shd w:val="clear" w:color="auto" w:fill="FFFFFF"/>
          <w:lang w:val="en-US" w:eastAsia="zh-CN"/>
        </w:rPr>
        <w:t>本单位分硫市镇人民政府本级，下设硫市镇行政综合执法大队、硫市镇农业综合服务中心、硫市镇社会事务中心、硫市镇政务服务中心、硫市镇退役军人服务站等5个二级机构。</w:t>
      </w:r>
    </w:p>
    <w:p>
      <w:pPr>
        <w:keepNext w:val="0"/>
        <w:keepLines w:val="0"/>
        <w:pageBreakBefore w:val="0"/>
        <w:numPr>
          <w:ilvl w:val="0"/>
          <w:numId w:val="0"/>
        </w:numPr>
        <w:kinsoku/>
        <w:wordWrap/>
        <w:overflowPunct/>
        <w:topLinePunct w:val="0"/>
        <w:autoSpaceDE/>
        <w:bidi w:val="0"/>
        <w:adjustRightInd/>
        <w:spacing w:beforeAutospacing="0" w:after="210" w:afterLines="67" w:afterAutospacing="0" w:line="600" w:lineRule="exact"/>
        <w:ind w:firstLine="640" w:firstLineChars="200"/>
        <w:textAlignment w:val="auto"/>
        <w:rPr>
          <w:rFonts w:hint="eastAsia"/>
          <w:color w:val="auto"/>
          <w:sz w:val="32"/>
          <w:szCs w:val="32"/>
        </w:rPr>
      </w:pPr>
      <w:r>
        <w:rPr>
          <w:rFonts w:hint="eastAsia" w:ascii="黑体" w:eastAsia="黑体"/>
          <w:color w:val="auto"/>
          <w:sz w:val="32"/>
          <w:szCs w:val="32"/>
          <w:lang w:val="en-US" w:eastAsia="zh-CN"/>
        </w:rPr>
        <w:t>二、</w:t>
      </w:r>
      <w:r>
        <w:rPr>
          <w:rFonts w:hint="eastAsia" w:ascii="黑体" w:eastAsia="黑体"/>
          <w:color w:val="auto"/>
          <w:sz w:val="32"/>
          <w:szCs w:val="32"/>
        </w:rPr>
        <w:t>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beforeAutospacing="0" w:line="600" w:lineRule="exact"/>
        <w:ind w:firstLine="643" w:firstLineChars="200"/>
        <w:textAlignment w:val="auto"/>
        <w:rPr>
          <w:rFonts w:hint="eastAsia" w:ascii="仿宋" w:hAnsi="仿宋" w:eastAsia="仿宋" w:cs="Times New Roman"/>
          <w:b/>
          <w:bCs w:val="0"/>
          <w:color w:val="auto"/>
          <w:sz w:val="32"/>
          <w:shd w:val="clear" w:color="auto" w:fill="FFFFFF"/>
          <w:lang w:val="en-US" w:eastAsia="zh-CN"/>
        </w:rPr>
      </w:pPr>
      <w:r>
        <w:rPr>
          <w:rFonts w:hint="eastAsia" w:ascii="仿宋" w:hAnsi="仿宋" w:eastAsia="仿宋" w:cs="Times New Roman"/>
          <w:b/>
          <w:bCs w:val="0"/>
          <w:color w:val="auto"/>
          <w:sz w:val="32"/>
          <w:shd w:val="clear" w:color="auto" w:fill="FFFFFF"/>
          <w:lang w:val="en-US" w:eastAsia="zh-CN"/>
        </w:rPr>
        <w:t>（一）部门预算内资金预算决算收支情况</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eastAsia" w:eastAsia="仿宋"/>
          <w:lang w:val="en-US" w:eastAsia="zh-CN"/>
        </w:rPr>
      </w:pPr>
      <w:r>
        <w:rPr>
          <w:rFonts w:hint="eastAsia" w:ascii="仿宋" w:hAnsi="仿宋" w:eastAsia="仿宋" w:cs="Times New Roman"/>
          <w:b w:val="0"/>
          <w:bCs/>
          <w:color w:val="auto"/>
          <w:sz w:val="32"/>
          <w:shd w:val="clear" w:color="auto" w:fill="FFFFFF"/>
          <w:lang w:val="en-US" w:eastAsia="zh-CN"/>
        </w:rPr>
        <w:t>2023年年初预算收入1509.98万元，</w:t>
      </w:r>
      <w:r>
        <w:rPr>
          <w:rFonts w:hint="eastAsia" w:ascii="仿宋" w:hAnsi="仿宋" w:eastAsia="仿宋" w:cs="仿宋"/>
          <w:color w:val="auto"/>
          <w:sz w:val="32"/>
          <w:szCs w:val="32"/>
          <w:lang w:val="en-US" w:eastAsia="zh-CN"/>
        </w:rPr>
        <w:t>按部门预算经济分类，基本支出939.65万元，其中：</w:t>
      </w:r>
      <w:r>
        <w:rPr>
          <w:rFonts w:hint="eastAsia" w:ascii="仿宋" w:hAnsi="仿宋" w:eastAsia="仿宋" w:cs="仿宋"/>
          <w:color w:val="auto"/>
          <w:sz w:val="32"/>
          <w:szCs w:val="32"/>
        </w:rPr>
        <w:t>工资福利支出</w:t>
      </w:r>
      <w:r>
        <w:rPr>
          <w:rFonts w:hint="eastAsia" w:ascii="仿宋" w:hAnsi="仿宋" w:eastAsia="仿宋" w:cs="仿宋"/>
          <w:color w:val="auto"/>
          <w:sz w:val="32"/>
          <w:szCs w:val="32"/>
          <w:lang w:val="en-US" w:eastAsia="zh-CN"/>
        </w:rPr>
        <w:t>854.45</w:t>
      </w:r>
      <w:r>
        <w:rPr>
          <w:rFonts w:hint="eastAsia" w:ascii="仿宋" w:hAnsi="仿宋" w:eastAsia="仿宋" w:cs="仿宋"/>
          <w:color w:val="auto"/>
          <w:sz w:val="32"/>
          <w:szCs w:val="32"/>
        </w:rPr>
        <w:t>万元</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lang w:eastAsia="zh-CN"/>
        </w:rPr>
        <w:t>对个人和家庭的补助</w:t>
      </w:r>
      <w:r>
        <w:rPr>
          <w:rFonts w:hint="eastAsia" w:ascii="仿宋" w:hAnsi="仿宋" w:eastAsia="仿宋" w:cs="仿宋"/>
          <w:color w:val="auto"/>
          <w:sz w:val="32"/>
          <w:szCs w:val="32"/>
          <w:lang w:val="en-US" w:eastAsia="zh-CN"/>
        </w:rPr>
        <w:t>44.81万元，商品和服务支出40.4万元；</w:t>
      </w:r>
      <w:r>
        <w:rPr>
          <w:rFonts w:hint="eastAsia" w:ascii="仿宋" w:hAnsi="仿宋" w:eastAsia="仿宋" w:cs="仿宋"/>
          <w:color w:val="auto"/>
          <w:sz w:val="32"/>
          <w:szCs w:val="32"/>
        </w:rPr>
        <w:t>项目支出</w:t>
      </w:r>
      <w:r>
        <w:rPr>
          <w:rFonts w:hint="eastAsia" w:ascii="仿宋" w:hAnsi="仿宋" w:eastAsia="仿宋" w:cs="仿宋"/>
          <w:color w:val="auto"/>
          <w:sz w:val="32"/>
          <w:szCs w:val="32"/>
          <w:lang w:val="en-US" w:eastAsia="zh-CN"/>
        </w:rPr>
        <w:t>570.33</w:t>
      </w:r>
      <w:r>
        <w:rPr>
          <w:rFonts w:hint="eastAsia" w:ascii="仿宋" w:hAnsi="仿宋" w:eastAsia="仿宋" w:cs="仿宋"/>
          <w:color w:val="auto"/>
          <w:sz w:val="32"/>
          <w:szCs w:val="32"/>
        </w:rPr>
        <w:t>万元</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村级转移支付457.93万元</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。按功能分类，一般公共服务支出803.2万元，社会保障和就业支出185.14万元，卫生健康支出33.95万元，农林水支出457.93万元，住房保障支出29.76万元</w:t>
      </w:r>
      <w:r>
        <w:rPr>
          <w:rFonts w:hint="eastAsia" w:ascii="仿宋" w:hAnsi="仿宋" w:eastAsia="仿宋" w:cs="仿宋"/>
          <w:color w:val="auto"/>
          <w:sz w:val="32"/>
          <w:szCs w:val="32"/>
        </w:rPr>
        <w:t>。</w:t>
      </w:r>
    </w:p>
    <w:p>
      <w:pPr>
        <w:keepNext w:val="0"/>
        <w:keepLines w:val="0"/>
        <w:pageBreakBefore w:val="0"/>
        <w:kinsoku/>
        <w:wordWrap/>
        <w:overflowPunct/>
        <w:topLinePunct w:val="0"/>
        <w:autoSpaceDE/>
        <w:bidi w:val="0"/>
        <w:adjustRightInd/>
        <w:spacing w:line="600" w:lineRule="exact"/>
        <w:ind w:firstLine="640" w:firstLineChars="200"/>
        <w:textAlignment w:val="auto"/>
        <w:rPr>
          <w:rFonts w:hint="default" w:ascii="仿宋" w:hAnsi="仿宋" w:eastAsia="仿宋" w:cs="仿宋"/>
          <w:color w:val="auto"/>
          <w:sz w:val="32"/>
          <w:szCs w:val="36"/>
          <w:highlight w:val="none"/>
          <w:lang w:val="en-US" w:eastAsia="zh-CN"/>
        </w:rPr>
      </w:pPr>
      <w:r>
        <w:rPr>
          <w:rFonts w:hint="eastAsia" w:ascii="仿宋" w:hAnsi="仿宋" w:eastAsia="仿宋" w:cs="仿宋"/>
          <w:color w:val="auto"/>
          <w:sz w:val="32"/>
          <w:szCs w:val="32"/>
          <w:lang w:val="en-US" w:eastAsia="zh-CN"/>
        </w:rPr>
        <w:t>2023年决算收入7802.37元，其中：一般公共预算财政拨款2138.72万元；政府性基金拨款20万元；其他资金5643.65万元。</w:t>
      </w:r>
      <w:r>
        <w:rPr>
          <w:rFonts w:hint="eastAsia" w:ascii="仿宋" w:hAnsi="仿宋" w:eastAsia="仿宋" w:cs="Times New Roman"/>
          <w:b w:val="0"/>
          <w:bCs/>
          <w:color w:val="auto"/>
          <w:sz w:val="32"/>
          <w:highlight w:val="none"/>
          <w:shd w:val="clear" w:color="auto" w:fill="FFFFFF"/>
          <w:lang w:val="en-US" w:eastAsia="zh-CN"/>
        </w:rPr>
        <w:t>本年度决算总支出为7802.37万元，其中一般公共预算财政拨款2138.72万元。按支出性质分类,基本支出947.29万元，项目支出</w:t>
      </w:r>
      <w:r>
        <w:rPr>
          <w:rFonts w:hint="eastAsia" w:ascii="仿宋" w:hAnsi="仿宋" w:eastAsia="仿宋" w:cs="仿宋"/>
          <w:color w:val="auto"/>
          <w:sz w:val="32"/>
          <w:szCs w:val="32"/>
          <w:highlight w:val="none"/>
          <w:lang w:val="en-US" w:eastAsia="zh-CN"/>
        </w:rPr>
        <w:t>1191.43万元。</w:t>
      </w:r>
      <w:r>
        <w:rPr>
          <w:rFonts w:hint="eastAsia" w:ascii="仿宋" w:hAnsi="仿宋" w:eastAsia="仿宋" w:cs="Times New Roman"/>
          <w:b w:val="0"/>
          <w:bCs/>
          <w:color w:val="auto"/>
          <w:sz w:val="32"/>
          <w:highlight w:val="none"/>
          <w:shd w:val="clear" w:color="auto" w:fill="FFFFFF"/>
          <w:lang w:val="en-US" w:eastAsia="zh-CN"/>
        </w:rPr>
        <w:t>其中：</w:t>
      </w:r>
      <w:r>
        <w:rPr>
          <w:rFonts w:hint="eastAsia" w:ascii="仿宋" w:hAnsi="仿宋" w:eastAsia="仿宋" w:cs="仿宋"/>
          <w:color w:val="auto"/>
          <w:sz w:val="32"/>
          <w:szCs w:val="32"/>
          <w:highlight w:val="none"/>
        </w:rPr>
        <w:t>工资福利支出</w:t>
      </w:r>
      <w:r>
        <w:rPr>
          <w:rFonts w:hint="eastAsia" w:ascii="仿宋" w:hAnsi="仿宋" w:eastAsia="仿宋" w:cs="仿宋"/>
          <w:color w:val="auto"/>
          <w:sz w:val="32"/>
          <w:szCs w:val="32"/>
          <w:highlight w:val="none"/>
          <w:lang w:val="en-US" w:eastAsia="zh-CN"/>
        </w:rPr>
        <w:t>952.96</w:t>
      </w:r>
      <w:r>
        <w:rPr>
          <w:rFonts w:hint="eastAsia" w:ascii="仿宋" w:hAnsi="仿宋" w:eastAsia="仿宋" w:cs="仿宋"/>
          <w:color w:val="auto"/>
          <w:sz w:val="32"/>
          <w:szCs w:val="32"/>
          <w:highlight w:val="none"/>
        </w:rPr>
        <w:t>万元</w:t>
      </w:r>
      <w:r>
        <w:rPr>
          <w:rFonts w:hint="eastAsia" w:ascii="仿宋" w:hAnsi="仿宋" w:eastAsia="仿宋" w:cs="仿宋"/>
          <w:color w:val="auto"/>
          <w:sz w:val="32"/>
          <w:szCs w:val="32"/>
          <w:highlight w:val="none"/>
          <w:lang w:val="en-US" w:eastAsia="zh-CN"/>
        </w:rPr>
        <w:t>，商品和服务</w:t>
      </w:r>
      <w:r>
        <w:rPr>
          <w:rFonts w:hint="eastAsia" w:ascii="仿宋" w:hAnsi="仿宋" w:eastAsia="仿宋" w:cs="仿宋"/>
          <w:color w:val="auto"/>
          <w:sz w:val="32"/>
          <w:szCs w:val="32"/>
          <w:highlight w:val="none"/>
        </w:rPr>
        <w:t>支出</w:t>
      </w:r>
      <w:r>
        <w:rPr>
          <w:rFonts w:hint="eastAsia" w:ascii="仿宋" w:hAnsi="仿宋" w:eastAsia="仿宋" w:cs="仿宋"/>
          <w:color w:val="auto"/>
          <w:sz w:val="32"/>
          <w:szCs w:val="32"/>
          <w:highlight w:val="none"/>
          <w:lang w:val="en-US" w:eastAsia="zh-CN"/>
        </w:rPr>
        <w:t>240.69</w:t>
      </w:r>
      <w:r>
        <w:rPr>
          <w:rFonts w:hint="eastAsia" w:ascii="仿宋" w:hAnsi="仿宋" w:eastAsia="仿宋" w:cs="仿宋"/>
          <w:color w:val="auto"/>
          <w:sz w:val="32"/>
          <w:szCs w:val="32"/>
          <w:highlight w:val="none"/>
        </w:rPr>
        <w:t>万元，</w:t>
      </w:r>
      <w:r>
        <w:rPr>
          <w:rFonts w:hint="eastAsia" w:ascii="仿宋" w:hAnsi="仿宋" w:eastAsia="仿宋" w:cs="仿宋"/>
          <w:color w:val="auto"/>
          <w:sz w:val="32"/>
          <w:szCs w:val="32"/>
          <w:highlight w:val="none"/>
          <w:lang w:eastAsia="zh-CN"/>
        </w:rPr>
        <w:t>对个人和家庭的补助</w:t>
      </w:r>
      <w:r>
        <w:rPr>
          <w:rFonts w:hint="eastAsia" w:ascii="仿宋" w:hAnsi="仿宋" w:eastAsia="仿宋" w:cs="仿宋"/>
          <w:color w:val="auto"/>
          <w:sz w:val="32"/>
          <w:szCs w:val="32"/>
          <w:highlight w:val="none"/>
          <w:lang w:val="en-US" w:eastAsia="zh-CN"/>
        </w:rPr>
        <w:t>340.28万元，资本性支出604.79。按支出功能分类，一般公共服务支出1074.23万元，城乡社区支出29万元，社会保障和就业支出205.77万元，卫生健康支出146.71万元，农林水支出708.65万元；住房保障支出34.69万元。</w:t>
      </w:r>
      <w:r>
        <w:rPr>
          <w:rFonts w:hint="eastAsia" w:ascii="仿宋" w:hAnsi="仿宋" w:eastAsia="仿宋" w:cs="仿宋"/>
          <w:color w:val="auto"/>
          <w:sz w:val="32"/>
          <w:szCs w:val="36"/>
          <w:highlight w:val="none"/>
          <w:lang w:val="en-US" w:eastAsia="zh-CN"/>
        </w:rPr>
        <w:t>2023年决算政府性基金财政拨款收入20万元，2023年决算政府性基金财政拨款支出20万元，主要用于体育事业彩票公益金支出。</w:t>
      </w:r>
      <w:r>
        <w:rPr>
          <w:rFonts w:hint="eastAsia" w:ascii="仿宋" w:hAnsi="仿宋" w:eastAsia="仿宋" w:cs="仿宋"/>
          <w:color w:val="auto"/>
          <w:kern w:val="2"/>
          <w:sz w:val="32"/>
          <w:szCs w:val="36"/>
          <w:highlight w:val="none"/>
          <w:lang w:val="en-US" w:eastAsia="zh-CN" w:bidi="ar-SA"/>
        </w:rPr>
        <w:t>其他资金支出5643.65万元，主要用于其他政府办公厅（室）及相关机构事务支出。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before="159" w:beforeLines="50" w:beforeAutospacing="0" w:afterAutospacing="0" w:line="600" w:lineRule="exact"/>
        <w:ind w:firstLine="643" w:firstLineChars="200"/>
        <w:textAlignment w:val="auto"/>
        <w:rPr>
          <w:rFonts w:hint="eastAsia" w:ascii="仿宋" w:hAnsi="仿宋" w:eastAsia="仿宋" w:cs="Times New Roman"/>
          <w:b/>
          <w:bCs w:val="0"/>
          <w:color w:val="auto"/>
          <w:sz w:val="32"/>
          <w:highlight w:val="none"/>
          <w:shd w:val="clear" w:color="auto" w:fill="FFFFFF"/>
          <w:lang w:val="en-US" w:eastAsia="zh-CN"/>
        </w:rPr>
      </w:pPr>
      <w:r>
        <w:rPr>
          <w:rFonts w:hint="eastAsia" w:ascii="仿宋" w:hAnsi="仿宋" w:eastAsia="仿宋" w:cs="Times New Roman"/>
          <w:b/>
          <w:bCs w:val="0"/>
          <w:color w:val="auto"/>
          <w:sz w:val="32"/>
          <w:highlight w:val="none"/>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beforeAutospacing="0" w:line="600" w:lineRule="exact"/>
        <w:ind w:firstLine="643" w:firstLineChars="200"/>
        <w:textAlignment w:val="auto"/>
        <w:rPr>
          <w:rFonts w:hint="eastAsia" w:ascii="仿宋" w:hAnsi="仿宋" w:eastAsia="仿宋" w:cs="Times New Roman"/>
          <w:b/>
          <w:bCs w:val="0"/>
          <w:color w:val="auto"/>
          <w:sz w:val="32"/>
          <w:highlight w:val="none"/>
          <w:shd w:val="clear" w:color="auto" w:fill="FFFFFF"/>
          <w:lang w:val="en-US" w:eastAsia="zh-CN"/>
        </w:rPr>
      </w:pPr>
      <w:r>
        <w:rPr>
          <w:rFonts w:hint="eastAsia" w:ascii="仿宋" w:hAnsi="仿宋" w:eastAsia="仿宋" w:cs="Times New Roman"/>
          <w:b/>
          <w:bCs w:val="0"/>
          <w:color w:val="auto"/>
          <w:sz w:val="32"/>
          <w:highlight w:val="none"/>
          <w:shd w:val="clear" w:color="auto" w:fill="FFFFFF"/>
          <w:lang w:val="en-US" w:eastAsia="zh-CN"/>
        </w:rPr>
        <w:t>1.支出总体情况</w:t>
      </w:r>
    </w:p>
    <w:p>
      <w:pPr>
        <w:pStyle w:val="2"/>
        <w:keepNext w:val="0"/>
        <w:keepLines w:val="0"/>
        <w:pageBreakBefore w:val="0"/>
        <w:widowControl/>
        <w:kinsoku/>
        <w:wordWrap/>
        <w:overflowPunct/>
        <w:topLinePunct w:val="0"/>
        <w:autoSpaceDE/>
        <w:autoSpaceDN/>
        <w:bidi w:val="0"/>
        <w:adjustRightInd/>
        <w:snapToGrid w:val="0"/>
        <w:spacing w:line="600" w:lineRule="exact"/>
        <w:ind w:firstLine="640" w:firstLineChars="200"/>
        <w:textAlignment w:val="auto"/>
        <w:rPr>
          <w:rFonts w:hint="default" w:ascii="仿宋" w:hAnsi="仿宋" w:eastAsia="仿宋" w:cs="仿宋"/>
          <w:color w:val="auto"/>
          <w:sz w:val="32"/>
          <w:szCs w:val="32"/>
          <w:highlight w:val="none"/>
          <w:lang w:val="en-US" w:eastAsia="zh-CN"/>
        </w:rPr>
      </w:pPr>
      <w:r>
        <w:rPr>
          <w:rFonts w:hint="eastAsia" w:ascii="仿宋" w:hAnsi="仿宋" w:eastAsia="仿宋" w:cs="Times New Roman"/>
          <w:b w:val="0"/>
          <w:bCs/>
          <w:color w:val="auto"/>
          <w:sz w:val="32"/>
          <w:highlight w:val="none"/>
          <w:shd w:val="clear" w:color="auto" w:fill="FFFFFF"/>
          <w:lang w:val="en-US" w:eastAsia="zh-CN"/>
        </w:rPr>
        <w:t>2023年硫市镇</w:t>
      </w:r>
      <w:r>
        <w:rPr>
          <w:rFonts w:hint="eastAsia" w:ascii="仿宋" w:hAnsi="仿宋" w:eastAsia="仿宋" w:cs="仿宋"/>
          <w:color w:val="auto"/>
          <w:sz w:val="32"/>
          <w:szCs w:val="32"/>
          <w:lang w:val="en-US" w:eastAsia="zh-CN"/>
        </w:rPr>
        <w:t>一般公共预算财政拨款</w:t>
      </w:r>
      <w:r>
        <w:rPr>
          <w:rFonts w:hint="eastAsia" w:ascii="仿宋" w:hAnsi="仿宋" w:eastAsia="仿宋" w:cs="Times New Roman"/>
          <w:b w:val="0"/>
          <w:bCs/>
          <w:color w:val="auto"/>
          <w:sz w:val="32"/>
          <w:highlight w:val="none"/>
          <w:shd w:val="clear" w:color="auto" w:fill="FFFFFF"/>
          <w:lang w:val="en-US" w:eastAsia="zh-CN"/>
        </w:rPr>
        <w:t>总支出2137.72万元，基本支出947.29万元，项目支出</w:t>
      </w:r>
      <w:r>
        <w:rPr>
          <w:rFonts w:hint="eastAsia" w:ascii="仿宋" w:hAnsi="仿宋" w:eastAsia="仿宋" w:cs="仿宋"/>
          <w:color w:val="auto"/>
          <w:sz w:val="32"/>
          <w:szCs w:val="32"/>
          <w:highlight w:val="none"/>
          <w:lang w:val="en-US" w:eastAsia="zh-CN"/>
        </w:rPr>
        <w:t>1191.43万元。其中：一般公共服务支出1194.45万元，社会保障和就业支出154.51万元，卫生健康支出56.95万元，城乡社区支出30万元，农林水支出663.05万元，资源勘探工业信息等支出10万元，住房保障支出29.76万元。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600" w:lineRule="exact"/>
        <w:ind w:firstLine="640" w:firstLineChars="200"/>
        <w:textAlignment w:val="auto"/>
        <w:rPr>
          <w:rFonts w:hint="default" w:ascii="仿宋" w:hAnsi="仿宋" w:eastAsia="仿宋" w:cs="Times New Roman"/>
          <w:b w:val="0"/>
          <w:bCs/>
          <w:color w:val="auto"/>
          <w:sz w:val="32"/>
          <w:shd w:val="clear" w:color="auto" w:fill="FFFFFF"/>
          <w:lang w:val="en-US" w:eastAsia="zh-CN"/>
        </w:rPr>
      </w:pPr>
      <w:r>
        <w:rPr>
          <w:rFonts w:hint="eastAsia" w:ascii="仿宋" w:hAnsi="仿宋" w:eastAsia="仿宋" w:cs="Times New Roman"/>
          <w:b w:val="0"/>
          <w:bCs/>
          <w:color w:val="auto"/>
          <w:sz w:val="32"/>
          <w:shd w:val="clear" w:color="auto" w:fill="FFFFFF"/>
          <w:lang w:val="en-US" w:eastAsia="zh-CN"/>
        </w:rPr>
        <w:t>其中基本支出为保障单位机构正常运转、完成日常工作任务而发生的各项支出，包括用于基本工资、津贴补贴等人员经费以及办公费、印刷费、水电费等日常公用经费。项目支出主要为各项村级转移支付、农林水支出、城乡环境同治支出。其中项目的开展主要根据县委县政府的安排。</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640" w:lineRule="exact"/>
        <w:ind w:firstLine="643" w:firstLineChars="200"/>
        <w:textAlignment w:val="auto"/>
        <w:rPr>
          <w:rFonts w:hint="eastAsia" w:ascii="仿宋" w:hAnsi="仿宋" w:eastAsia="仿宋" w:cs="Times New Roman"/>
          <w:b/>
          <w:bCs w:val="0"/>
          <w:color w:val="auto"/>
          <w:sz w:val="32"/>
          <w:shd w:val="clear" w:color="auto" w:fill="FFFFFF"/>
          <w:lang w:val="en-US" w:eastAsia="zh-CN"/>
        </w:rPr>
      </w:pPr>
      <w:r>
        <w:rPr>
          <w:rFonts w:hint="eastAsia" w:ascii="仿宋" w:hAnsi="仿宋" w:eastAsia="仿宋" w:cs="Times New Roman"/>
          <w:b/>
          <w:bCs w:val="0"/>
          <w:color w:val="auto"/>
          <w:sz w:val="32"/>
          <w:shd w:val="clear" w:color="auto" w:fill="FFFFFF"/>
          <w:lang w:val="en-US" w:eastAsia="zh-CN"/>
        </w:rPr>
        <w:t>2.“三公”经费情况</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640" w:lineRule="exact"/>
        <w:ind w:firstLine="640" w:firstLineChars="200"/>
        <w:textAlignment w:val="auto"/>
        <w:rPr>
          <w:rFonts w:hint="default" w:ascii="仿宋" w:hAnsi="仿宋" w:eastAsia="仿宋" w:cs="Times New Roman"/>
          <w:b w:val="0"/>
          <w:bCs/>
          <w:color w:val="auto"/>
          <w:sz w:val="32"/>
          <w:shd w:val="clear" w:color="auto" w:fill="FFFFFF"/>
          <w:lang w:val="en-US" w:eastAsia="zh-CN"/>
        </w:rPr>
      </w:pPr>
      <w:r>
        <w:rPr>
          <w:rFonts w:hint="eastAsia" w:ascii="仿宋" w:hAnsi="仿宋" w:eastAsia="仿宋" w:cs="Times New Roman"/>
          <w:b w:val="0"/>
          <w:bCs/>
          <w:color w:val="auto"/>
          <w:sz w:val="32"/>
          <w:shd w:val="clear" w:color="auto" w:fill="FFFFFF"/>
          <w:lang w:val="en-US" w:eastAsia="zh-CN"/>
        </w:rPr>
        <w:t>2023年本部门“三公”经费预算数为</w:t>
      </w:r>
      <w:bookmarkStart w:id="0" w:name="THERR_FUNDS_AMT"/>
      <w:r>
        <w:rPr>
          <w:rFonts w:hint="eastAsia" w:ascii="仿宋" w:hAnsi="仿宋" w:eastAsia="仿宋" w:cs="Times New Roman"/>
          <w:b w:val="0"/>
          <w:bCs/>
          <w:color w:val="auto"/>
          <w:sz w:val="32"/>
          <w:shd w:val="clear" w:color="auto" w:fill="FFFFFF"/>
          <w:lang w:val="en-US" w:eastAsia="zh-CN"/>
        </w:rPr>
        <w:t>10.9</w:t>
      </w:r>
      <w:bookmarkEnd w:id="0"/>
      <w:r>
        <w:rPr>
          <w:rFonts w:hint="eastAsia" w:ascii="仿宋" w:hAnsi="仿宋" w:eastAsia="仿宋" w:cs="Times New Roman"/>
          <w:b w:val="0"/>
          <w:bCs/>
          <w:color w:val="auto"/>
          <w:sz w:val="32"/>
          <w:shd w:val="clear" w:color="auto" w:fill="FFFFFF"/>
          <w:lang w:val="en-US" w:eastAsia="zh-CN"/>
        </w:rPr>
        <w:t>万元，其中，公务接待费</w:t>
      </w:r>
      <w:bookmarkStart w:id="1" w:name="THERR_AMT_30217"/>
      <w:r>
        <w:rPr>
          <w:rFonts w:hint="eastAsia" w:ascii="仿宋" w:hAnsi="仿宋" w:eastAsia="仿宋" w:cs="Times New Roman"/>
          <w:b w:val="0"/>
          <w:bCs/>
          <w:color w:val="auto"/>
          <w:sz w:val="32"/>
          <w:shd w:val="clear" w:color="auto" w:fill="FFFFFF"/>
          <w:lang w:val="en-US" w:eastAsia="zh-CN"/>
        </w:rPr>
        <w:t>8.2</w:t>
      </w:r>
      <w:bookmarkEnd w:id="1"/>
      <w:r>
        <w:rPr>
          <w:rFonts w:hint="eastAsia" w:ascii="仿宋" w:hAnsi="仿宋" w:eastAsia="仿宋" w:cs="Times New Roman"/>
          <w:b w:val="0"/>
          <w:bCs/>
          <w:color w:val="auto"/>
          <w:sz w:val="32"/>
          <w:shd w:val="clear" w:color="auto" w:fill="FFFFFF"/>
          <w:lang w:val="en-US" w:eastAsia="zh-CN"/>
        </w:rPr>
        <w:t>万元，公务用车购置及运行费</w:t>
      </w:r>
      <w:bookmarkStart w:id="2" w:name="THERR_AMT_30913_31013_30231"/>
      <w:r>
        <w:rPr>
          <w:rFonts w:hint="eastAsia" w:ascii="仿宋" w:hAnsi="仿宋" w:eastAsia="仿宋" w:cs="Times New Roman"/>
          <w:b w:val="0"/>
          <w:bCs/>
          <w:color w:val="auto"/>
          <w:sz w:val="32"/>
          <w:shd w:val="clear" w:color="auto" w:fill="FFFFFF"/>
          <w:lang w:val="en-US" w:eastAsia="zh-CN"/>
        </w:rPr>
        <w:t>2.7</w:t>
      </w:r>
      <w:bookmarkEnd w:id="2"/>
      <w:r>
        <w:rPr>
          <w:rFonts w:hint="eastAsia" w:ascii="仿宋" w:hAnsi="仿宋" w:eastAsia="仿宋" w:cs="Times New Roman"/>
          <w:b w:val="0"/>
          <w:bCs/>
          <w:color w:val="auto"/>
          <w:sz w:val="32"/>
          <w:shd w:val="clear" w:color="auto" w:fill="FFFFFF"/>
          <w:lang w:val="en-US" w:eastAsia="zh-CN"/>
        </w:rPr>
        <w:t>万元，</w:t>
      </w:r>
      <w:bookmarkStart w:id="3" w:name="END_IS_ZERO_06_2"/>
      <w:bookmarkEnd w:id="3"/>
      <w:bookmarkStart w:id="4" w:name="END_IS_ZERO_06_1"/>
      <w:bookmarkEnd w:id="4"/>
      <w:bookmarkStart w:id="5" w:name="START_IS_ZERO_06_2"/>
      <w:bookmarkEnd w:id="5"/>
      <w:bookmarkStart w:id="6" w:name="DIS_MARK_IS_ZERO_06_2"/>
      <w:bookmarkEnd w:id="6"/>
      <w:bookmarkStart w:id="7" w:name="DIS_MARK_IS_ZERO_06_1"/>
      <w:r>
        <w:rPr>
          <w:rFonts w:hint="eastAsia" w:ascii="仿宋" w:hAnsi="仿宋" w:eastAsia="仿宋" w:cs="Times New Roman"/>
          <w:b w:val="0"/>
          <w:bCs/>
          <w:color w:val="auto"/>
          <w:sz w:val="32"/>
          <w:shd w:val="clear" w:color="auto" w:fill="FFFFFF"/>
          <w:lang w:val="en-US" w:eastAsia="zh-CN"/>
        </w:rPr>
        <w:t>2023年“三公”经费预算较</w:t>
      </w:r>
      <w:bookmarkStart w:id="9" w:name="_GoBack"/>
      <w:bookmarkEnd w:id="9"/>
      <w:r>
        <w:rPr>
          <w:rFonts w:hint="eastAsia" w:ascii="仿宋" w:hAnsi="仿宋" w:eastAsia="仿宋" w:cs="Times New Roman"/>
          <w:b w:val="0"/>
          <w:bCs/>
          <w:color w:val="auto"/>
          <w:sz w:val="32"/>
          <w:shd w:val="clear" w:color="auto" w:fill="FFFFFF"/>
          <w:lang w:val="en-US" w:eastAsia="zh-CN"/>
        </w:rPr>
        <w:t>2022年</w:t>
      </w:r>
      <w:bookmarkStart w:id="8" w:name="THERR_FUNDS_BD_AMT"/>
      <w:r>
        <w:rPr>
          <w:rFonts w:hint="eastAsia" w:ascii="仿宋" w:hAnsi="仿宋" w:eastAsia="仿宋" w:cs="Times New Roman"/>
          <w:b w:val="0"/>
          <w:bCs/>
          <w:color w:val="auto"/>
          <w:sz w:val="32"/>
          <w:shd w:val="clear" w:color="auto" w:fill="FFFFFF"/>
          <w:lang w:val="en-US" w:eastAsia="zh-CN"/>
        </w:rPr>
        <w:t>减少1.6</w:t>
      </w:r>
      <w:bookmarkEnd w:id="8"/>
      <w:r>
        <w:rPr>
          <w:rFonts w:hint="eastAsia" w:ascii="仿宋" w:hAnsi="仿宋" w:eastAsia="仿宋" w:cs="Times New Roman"/>
          <w:b w:val="0"/>
          <w:bCs/>
          <w:color w:val="auto"/>
          <w:sz w:val="32"/>
          <w:shd w:val="clear" w:color="auto" w:fill="FFFFFF"/>
          <w:lang w:val="en-US" w:eastAsia="zh-CN"/>
        </w:rPr>
        <w:t>万元</w:t>
      </w:r>
      <w:bookmarkEnd w:id="7"/>
      <w:r>
        <w:rPr>
          <w:rFonts w:hint="eastAsia" w:ascii="仿宋" w:hAnsi="仿宋" w:eastAsia="仿宋" w:cs="Times New Roman"/>
          <w:b w:val="0"/>
          <w:bCs/>
          <w:color w:val="auto"/>
          <w:sz w:val="32"/>
          <w:shd w:val="clear" w:color="auto" w:fill="FFFFFF"/>
          <w:lang w:val="en-US" w:eastAsia="zh-CN"/>
        </w:rPr>
        <w:t>。2023年“三公”经费实际支出8.23万元，其中公务接待8.23万元，公务用车购置及运行费0万元。</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640" w:lineRule="exact"/>
        <w:ind w:firstLine="640" w:firstLineChars="200"/>
        <w:textAlignment w:val="auto"/>
        <w:rPr>
          <w:rFonts w:hint="eastAsia"/>
          <w:color w:val="auto"/>
          <w:lang w:val="en-US" w:eastAsia="zh-CN"/>
        </w:rPr>
      </w:pPr>
      <w:r>
        <w:rPr>
          <w:rFonts w:hint="eastAsia" w:ascii="仿宋" w:hAnsi="仿宋" w:eastAsia="仿宋" w:cs="Times New Roman"/>
          <w:b w:val="0"/>
          <w:bCs/>
          <w:color w:val="auto"/>
          <w:sz w:val="32"/>
          <w:shd w:val="clear" w:color="auto" w:fill="FFFFFF"/>
          <w:lang w:val="en-US" w:eastAsia="zh-CN"/>
        </w:rPr>
        <w:t xml:space="preserve">我镇三公经费严格按照年初预算以及各级部门相关要求，严把支出关，强化制度执行。切实做好厉行节约工作，全面落实各项管理制度要求，努力降低行政成本。严格公务接待费、差旅费、会议费和培训费审核审批程序，加强公务用车管理，实行限额把关、各项费用报账支出严格履行报账单“一单五签”程序，重大事项严格遵守“三重一大”制度。                                                                                                                                                                                                                                                                                                                                                                                                                                                                                                                                                                     </w:t>
      </w:r>
    </w:p>
    <w:p>
      <w:pPr>
        <w:keepNext w:val="0"/>
        <w:keepLines w:val="0"/>
        <w:pageBreakBefore w:val="0"/>
        <w:numPr>
          <w:ilvl w:val="0"/>
          <w:numId w:val="0"/>
        </w:numPr>
        <w:kinsoku/>
        <w:wordWrap/>
        <w:overflowPunct/>
        <w:topLinePunct w:val="0"/>
        <w:autoSpaceDE/>
        <w:bidi w:val="0"/>
        <w:adjustRightInd/>
        <w:spacing w:before="315" w:beforeLines="100" w:beforeAutospacing="0" w:afterAutospacing="0" w:line="600" w:lineRule="exact"/>
        <w:ind w:left="0" w:leftChars="0" w:firstLine="640" w:firstLineChars="200"/>
        <w:textAlignment w:val="auto"/>
        <w:rPr>
          <w:rFonts w:hint="eastAsia" w:ascii="黑体" w:eastAsia="黑体"/>
          <w:color w:val="auto"/>
          <w:sz w:val="32"/>
          <w:szCs w:val="32"/>
        </w:rPr>
      </w:pPr>
      <w:r>
        <w:rPr>
          <w:rFonts w:hint="eastAsia" w:ascii="黑体" w:eastAsia="黑体"/>
          <w:color w:val="auto"/>
          <w:sz w:val="32"/>
          <w:szCs w:val="32"/>
          <w:lang w:val="en-US" w:eastAsia="zh-CN"/>
        </w:rPr>
        <w:t>三、</w:t>
      </w:r>
      <w:r>
        <w:rPr>
          <w:rFonts w:hint="eastAsia" w:ascii="黑体" w:eastAsia="黑体"/>
          <w:color w:val="auto"/>
          <w:sz w:val="32"/>
          <w:szCs w:val="32"/>
        </w:rPr>
        <w:t>绩效评价</w:t>
      </w:r>
      <w:r>
        <w:rPr>
          <w:rFonts w:hint="eastAsia" w:ascii="黑体" w:eastAsia="黑体"/>
          <w:color w:val="auto"/>
          <w:sz w:val="32"/>
          <w:szCs w:val="32"/>
          <w:lang w:val="en-US" w:eastAsia="zh-CN"/>
        </w:rPr>
        <w:t>工作</w:t>
      </w:r>
      <w:r>
        <w:rPr>
          <w:rFonts w:hint="eastAsia" w:ascii="黑体" w:eastAsia="黑体"/>
          <w:color w:val="auto"/>
          <w:sz w:val="32"/>
          <w:szCs w:val="32"/>
        </w:rPr>
        <w:t>情况</w:t>
      </w:r>
    </w:p>
    <w:p>
      <w:pPr>
        <w:keepNext w:val="0"/>
        <w:keepLines w:val="0"/>
        <w:pageBreakBefore w:val="0"/>
        <w:widowControl w:val="0"/>
        <w:kinsoku/>
        <w:wordWrap/>
        <w:overflowPunct/>
        <w:topLinePunct w:val="0"/>
        <w:autoSpaceDE/>
        <w:autoSpaceDN/>
        <w:bidi w:val="0"/>
        <w:adjustRightInd/>
        <w:snapToGrid/>
        <w:spacing w:beforeAutospacing="0" w:line="580" w:lineRule="exact"/>
        <w:ind w:firstLine="640" w:firstLineChars="200"/>
        <w:textAlignment w:val="auto"/>
        <w:rPr>
          <w:rFonts w:hint="eastAsia" w:ascii="仿宋" w:hAnsi="仿宋" w:eastAsia="仿宋" w:cs="Times New Roman"/>
          <w:b w:val="0"/>
          <w:bCs/>
          <w:color w:val="auto"/>
          <w:kern w:val="2"/>
          <w:sz w:val="32"/>
          <w:szCs w:val="24"/>
          <w:shd w:val="clear" w:color="auto" w:fill="FFFFFF"/>
          <w:lang w:val="en-US" w:eastAsia="zh-CN" w:bidi="ar-SA"/>
        </w:rPr>
      </w:pPr>
      <w:r>
        <w:rPr>
          <w:rFonts w:hint="eastAsia" w:ascii="仿宋" w:hAnsi="仿宋" w:eastAsia="仿宋" w:cs="Times New Roman"/>
          <w:b w:val="0"/>
          <w:bCs/>
          <w:color w:val="auto"/>
          <w:kern w:val="2"/>
          <w:sz w:val="32"/>
          <w:szCs w:val="24"/>
          <w:shd w:val="clear" w:color="auto" w:fill="FFFFFF"/>
          <w:lang w:val="en-US" w:eastAsia="zh-CN" w:bidi="ar-SA"/>
        </w:rPr>
        <w:t>（一）评价目的</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auto"/>
          <w:kern w:val="2"/>
          <w:sz w:val="32"/>
          <w:szCs w:val="24"/>
          <w:shd w:val="clear" w:color="auto" w:fill="FFFFFF"/>
          <w:lang w:val="en-US" w:eastAsia="zh-CN" w:bidi="ar-SA"/>
        </w:rPr>
      </w:pPr>
      <w:r>
        <w:rPr>
          <w:rFonts w:hint="eastAsia" w:ascii="仿宋" w:hAnsi="仿宋" w:eastAsia="仿宋" w:cs="Times New Roman"/>
          <w:b w:val="0"/>
          <w:bCs/>
          <w:color w:val="auto"/>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2023年各项工作的开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auto"/>
          <w:kern w:val="2"/>
          <w:sz w:val="32"/>
          <w:szCs w:val="24"/>
          <w:shd w:val="clear" w:color="auto" w:fill="FFFFFF"/>
          <w:lang w:val="en-US" w:eastAsia="zh-CN" w:bidi="ar-SA"/>
        </w:rPr>
      </w:pPr>
      <w:r>
        <w:rPr>
          <w:rFonts w:hint="eastAsia" w:ascii="仿宋" w:hAnsi="仿宋" w:eastAsia="仿宋" w:cs="Times New Roman"/>
          <w:b w:val="0"/>
          <w:bCs/>
          <w:color w:val="auto"/>
          <w:kern w:val="2"/>
          <w:sz w:val="32"/>
          <w:szCs w:val="24"/>
          <w:shd w:val="clear" w:color="auto" w:fill="FFFFFF"/>
          <w:lang w:val="en-US" w:eastAsia="zh-CN" w:bidi="ar-SA"/>
        </w:rPr>
        <w:t>（二）评价方法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auto"/>
          <w:kern w:val="2"/>
          <w:sz w:val="32"/>
          <w:szCs w:val="24"/>
          <w:shd w:val="clear" w:color="auto" w:fill="FFFFFF"/>
          <w:lang w:val="en-US" w:eastAsia="zh-CN" w:bidi="ar-SA"/>
        </w:rPr>
      </w:pPr>
      <w:r>
        <w:rPr>
          <w:rFonts w:hint="eastAsia" w:ascii="仿宋" w:hAnsi="仿宋" w:eastAsia="仿宋" w:cs="Times New Roman"/>
          <w:b w:val="0"/>
          <w:bCs/>
          <w:color w:val="auto"/>
          <w:kern w:val="2"/>
          <w:sz w:val="32"/>
          <w:szCs w:val="24"/>
          <w:shd w:val="clear" w:color="auto" w:fill="FFFFFF"/>
          <w:lang w:val="en-US" w:eastAsia="zh-CN" w:bidi="ar-SA"/>
        </w:rPr>
        <w:t>根据衡南县财政局《衡南县预算绩效管理工作考核办法》（南财预[2015]174号）及县财政局会议精神，我镇成立了绩效评价工作组，于2023年10月中旬起开展了部门整体支出绩效评价工作，具体工作方法包括：</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auto"/>
          <w:kern w:val="2"/>
          <w:sz w:val="32"/>
          <w:szCs w:val="24"/>
          <w:shd w:val="clear" w:color="auto" w:fill="FFFFFF"/>
          <w:lang w:val="en-US" w:eastAsia="zh-CN" w:bidi="ar-SA"/>
        </w:rPr>
      </w:pPr>
      <w:r>
        <w:rPr>
          <w:rFonts w:hint="eastAsia" w:ascii="仿宋" w:hAnsi="仿宋" w:eastAsia="仿宋" w:cs="Times New Roman"/>
          <w:b w:val="0"/>
          <w:bCs/>
          <w:color w:val="auto"/>
          <w:kern w:val="2"/>
          <w:sz w:val="32"/>
          <w:szCs w:val="24"/>
          <w:shd w:val="clear" w:color="auto" w:fill="FFFFFF"/>
          <w:lang w:val="en-US" w:eastAsia="zh-CN" w:bidi="ar-SA"/>
        </w:rPr>
        <w:t>1、查阅资料。查阅2023年度预算安排、预算追加、经费支出、资金管理、资产管理等相关文件资料和财务凭证。</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auto"/>
          <w:kern w:val="2"/>
          <w:sz w:val="32"/>
          <w:szCs w:val="24"/>
          <w:shd w:val="clear" w:color="auto" w:fill="FFFFFF"/>
          <w:lang w:val="en-US" w:eastAsia="zh-CN" w:bidi="ar-SA"/>
        </w:rPr>
      </w:pPr>
      <w:r>
        <w:rPr>
          <w:rFonts w:hint="eastAsia" w:ascii="仿宋" w:hAnsi="仿宋" w:eastAsia="仿宋" w:cs="Times New Roman"/>
          <w:b w:val="0"/>
          <w:bCs/>
          <w:color w:val="auto"/>
          <w:kern w:val="2"/>
          <w:sz w:val="32"/>
          <w:szCs w:val="24"/>
          <w:shd w:val="clear" w:color="auto" w:fill="FFFFFF"/>
          <w:lang w:val="en-US" w:eastAsia="zh-CN" w:bidi="ar-SA"/>
        </w:rPr>
        <w:t>2、核实数据。对2023年度部门整体支出数据的准确性、真实性进行核实，将2023年度部门整体支出情况与2023年度预算情况、2023年度部门整体支出情况进行比较分析。</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auto"/>
          <w:kern w:val="2"/>
          <w:sz w:val="32"/>
          <w:szCs w:val="24"/>
          <w:shd w:val="clear" w:color="auto" w:fill="FFFFFF"/>
          <w:lang w:val="en-US" w:eastAsia="zh-CN" w:bidi="ar-SA"/>
        </w:rPr>
      </w:pPr>
      <w:r>
        <w:rPr>
          <w:rFonts w:hint="eastAsia" w:ascii="仿宋" w:hAnsi="仿宋" w:eastAsia="仿宋" w:cs="Times New Roman"/>
          <w:b w:val="0"/>
          <w:bCs/>
          <w:color w:val="auto"/>
          <w:kern w:val="2"/>
          <w:sz w:val="32"/>
          <w:szCs w:val="24"/>
          <w:shd w:val="clear" w:color="auto" w:fill="FFFFFF"/>
          <w:lang w:val="en-US" w:eastAsia="zh-CN" w:bidi="ar-SA"/>
        </w:rPr>
        <w:t>3、实地查看。现场查看各类实物资产。</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auto"/>
          <w:kern w:val="2"/>
          <w:sz w:val="32"/>
          <w:szCs w:val="24"/>
          <w:shd w:val="clear" w:color="auto" w:fill="FFFFFF"/>
          <w:lang w:val="en-US" w:eastAsia="zh-CN" w:bidi="ar-SA"/>
        </w:rPr>
      </w:pPr>
      <w:r>
        <w:rPr>
          <w:rFonts w:hint="eastAsia" w:ascii="仿宋" w:hAnsi="仿宋" w:eastAsia="仿宋" w:cs="Times New Roman"/>
          <w:b w:val="0"/>
          <w:bCs/>
          <w:color w:val="auto"/>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Times New Roman"/>
          <w:b w:val="0"/>
          <w:bCs/>
          <w:color w:val="auto"/>
          <w:kern w:val="2"/>
          <w:sz w:val="32"/>
          <w:szCs w:val="24"/>
          <w:shd w:val="clear" w:color="auto" w:fill="FFFFFF"/>
          <w:lang w:val="en-US" w:eastAsia="zh-CN" w:bidi="ar-SA"/>
        </w:rPr>
      </w:pPr>
      <w:r>
        <w:rPr>
          <w:rFonts w:hint="eastAsia" w:ascii="仿宋" w:hAnsi="仿宋" w:eastAsia="仿宋" w:cs="Times New Roman"/>
          <w:b w:val="0"/>
          <w:bCs/>
          <w:color w:val="auto"/>
          <w:kern w:val="2"/>
          <w:sz w:val="32"/>
          <w:szCs w:val="24"/>
          <w:shd w:val="clear" w:color="auto" w:fill="FFFFFF"/>
          <w:lang w:val="en-US" w:eastAsia="zh-CN" w:bidi="ar-SA"/>
        </w:rPr>
        <w:t>5、形成绩效评价报告。</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auto"/>
          <w:sz w:val="32"/>
          <w:shd w:val="clear" w:color="auto" w:fill="FFFFFF"/>
          <w:lang w:val="en-US" w:eastAsia="zh-CN"/>
        </w:rPr>
      </w:pPr>
      <w:r>
        <w:rPr>
          <w:rFonts w:hint="eastAsia" w:ascii="黑体" w:eastAsia="黑体"/>
          <w:color w:val="auto"/>
          <w:sz w:val="32"/>
          <w:szCs w:val="32"/>
          <w:lang w:val="en-US" w:eastAsia="zh-CN"/>
        </w:rPr>
        <w:t>四</w:t>
      </w:r>
      <w:r>
        <w:rPr>
          <w:rFonts w:hint="eastAsia" w:ascii="黑体" w:eastAsia="黑体"/>
          <w:color w:val="auto"/>
          <w:sz w:val="32"/>
          <w:szCs w:val="32"/>
        </w:rPr>
        <w:t>、</w:t>
      </w:r>
      <w:r>
        <w:rPr>
          <w:rFonts w:hint="eastAsia" w:ascii="黑体" w:eastAsia="黑体"/>
          <w:color w:val="auto"/>
          <w:sz w:val="32"/>
          <w:szCs w:val="32"/>
          <w:lang w:val="en-US" w:eastAsia="zh-CN"/>
        </w:rPr>
        <w:t>部门总体支出</w:t>
      </w:r>
      <w:r>
        <w:rPr>
          <w:rFonts w:hint="eastAsia" w:ascii="黑体" w:eastAsia="黑体"/>
          <w:color w:val="auto"/>
          <w:sz w:val="32"/>
          <w:szCs w:val="32"/>
        </w:rPr>
        <w:t>绩效评价</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auto"/>
          <w:sz w:val="32"/>
          <w:shd w:val="clear" w:color="auto" w:fill="FFFFFF"/>
          <w:lang w:val="en-US" w:eastAsia="zh-CN"/>
        </w:rPr>
      </w:pPr>
      <w:r>
        <w:rPr>
          <w:rFonts w:hint="eastAsia" w:ascii="仿宋" w:hAnsi="仿宋" w:eastAsia="仿宋" w:cs="Times New Roman"/>
          <w:b w:val="0"/>
          <w:bCs/>
          <w:color w:val="auto"/>
          <w:sz w:val="32"/>
          <w:shd w:val="clear" w:color="auto" w:fill="FFFFFF"/>
          <w:lang w:val="en-US" w:eastAsia="zh-CN"/>
        </w:rPr>
        <w:t>2023年我镇根据年初工作规划及财政预算计划，积极履职、强化管理，较好的完成了年度工作目标。通过加强预算收支管理、不断建立健全内部管理制度、梳理内部管理流程，部门整体支出管理情况得到提升。我镇2023年度部门整体支出绩效评价自评得分为95分。具体工作主要体现在以下几个方面：</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auto"/>
          <w:sz w:val="32"/>
          <w:shd w:val="clear" w:color="auto" w:fill="FFFFFF"/>
          <w:lang w:val="en-US" w:eastAsia="zh-CN"/>
        </w:rPr>
      </w:pPr>
      <w:r>
        <w:rPr>
          <w:rFonts w:hint="eastAsia" w:ascii="仿宋" w:hAnsi="仿宋" w:eastAsia="仿宋" w:cs="Times New Roman"/>
          <w:b w:val="0"/>
          <w:bCs/>
          <w:color w:val="auto"/>
          <w:sz w:val="32"/>
          <w:shd w:val="clear" w:color="auto" w:fill="FFFFFF"/>
          <w:lang w:val="en-US" w:eastAsia="zh-CN"/>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auto"/>
          <w:sz w:val="32"/>
          <w:shd w:val="clear" w:color="auto" w:fill="FFFFFF"/>
          <w:lang w:val="en-US" w:eastAsia="zh-CN"/>
        </w:rPr>
      </w:pPr>
      <w:r>
        <w:rPr>
          <w:rFonts w:hint="eastAsia" w:ascii="仿宋" w:hAnsi="仿宋" w:eastAsia="仿宋" w:cs="Times New Roman"/>
          <w:b w:val="0"/>
          <w:bCs/>
          <w:color w:val="auto"/>
          <w:sz w:val="32"/>
          <w:shd w:val="clear" w:color="auto" w:fill="FFFFFF"/>
          <w:lang w:val="en-US" w:eastAsia="zh-CN"/>
        </w:rPr>
        <w:t>二是依法依规公开部门预决算。根据全县部门预决算公开工作统一安排部署，我部公开了2023年部门预算和“三公”经费预算，社会反响良好，圆满完成了“三公”经费预算公开工作。</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auto"/>
          <w:sz w:val="32"/>
          <w:shd w:val="clear" w:color="auto" w:fill="FFFFFF"/>
          <w:lang w:val="en-US" w:eastAsia="zh-CN"/>
        </w:rPr>
      </w:pPr>
      <w:r>
        <w:rPr>
          <w:rFonts w:hint="eastAsia" w:ascii="仿宋" w:hAnsi="仿宋" w:eastAsia="仿宋" w:cs="Times New Roman"/>
          <w:b w:val="0"/>
          <w:bCs/>
          <w:color w:val="auto"/>
          <w:sz w:val="32"/>
          <w:shd w:val="clear" w:color="auto" w:fill="FFFFFF"/>
          <w:lang w:val="en-US" w:eastAsia="zh-CN"/>
        </w:rPr>
        <w:t>三是加强资产管理。建立了资产管理制度，固定资产利用率高于90%，定期进行了资产盘点和资产清理，总体执行情况良好。</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Times New Roman"/>
          <w:b w:val="0"/>
          <w:bCs/>
          <w:color w:val="auto"/>
          <w:sz w:val="32"/>
          <w:shd w:val="clear" w:color="auto" w:fill="FFFFFF"/>
          <w:lang w:val="en-US" w:eastAsia="zh-CN"/>
        </w:rPr>
      </w:pPr>
      <w:r>
        <w:rPr>
          <w:rFonts w:hint="eastAsia" w:ascii="仿宋" w:hAnsi="仿宋" w:eastAsia="仿宋" w:cs="Times New Roman"/>
          <w:b w:val="0"/>
          <w:bCs/>
          <w:color w:val="auto"/>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九十八分。</w:t>
      </w:r>
    </w:p>
    <w:p>
      <w:pPr>
        <w:keepNext w:val="0"/>
        <w:keepLines w:val="0"/>
        <w:pageBreakBefore w:val="0"/>
        <w:widowControl w:val="0"/>
        <w:kinsoku/>
        <w:wordWrap/>
        <w:overflowPunct/>
        <w:topLinePunct w:val="0"/>
        <w:autoSpaceDE/>
        <w:autoSpaceDN/>
        <w:bidi w:val="0"/>
        <w:adjustRightInd/>
        <w:snapToGrid/>
        <w:spacing w:afterAutospacing="0" w:line="640" w:lineRule="exact"/>
        <w:ind w:firstLine="640" w:firstLineChars="200"/>
        <w:textAlignment w:val="auto"/>
        <w:rPr>
          <w:rFonts w:hint="default" w:ascii="仿宋" w:hAnsi="仿宋" w:eastAsia="仿宋" w:cs="Times New Roman"/>
          <w:b w:val="0"/>
          <w:bCs/>
          <w:color w:val="auto"/>
          <w:sz w:val="32"/>
          <w:shd w:val="clear" w:color="auto" w:fill="FFFFFF"/>
          <w:lang w:val="en-US" w:eastAsia="zh-CN"/>
        </w:rPr>
      </w:pPr>
      <w:r>
        <w:rPr>
          <w:rFonts w:hint="eastAsia" w:ascii="仿宋" w:hAnsi="仿宋" w:eastAsia="仿宋" w:cs="Times New Roman"/>
          <w:b w:val="0"/>
          <w:bCs/>
          <w:color w:val="auto"/>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2023年村级转移支付项目支付到达村账村均金额超过县级下达拨付的最低标准，及时、达标的完成了支付，充分保障了村干办公、村委的正常合理支出，得到村干部及民众的好评。新农村建设资金主要用于村组道路修建、维修、硬化，塘坝扩容、硬化、河道清淤、硬化等农村基础设施建设，方便群众出行，改善饮水、加强灌溉，得到了民众的高度认可。</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黑体" w:eastAsia="黑体"/>
          <w:color w:val="auto"/>
          <w:sz w:val="32"/>
          <w:szCs w:val="32"/>
          <w:lang w:val="en-US" w:eastAsia="zh-CN"/>
        </w:rPr>
      </w:pPr>
      <w:r>
        <w:rPr>
          <w:rFonts w:hint="eastAsia" w:ascii="黑体" w:eastAsia="黑体"/>
          <w:color w:val="auto"/>
          <w:sz w:val="32"/>
          <w:szCs w:val="32"/>
          <w:lang w:val="en-US" w:eastAsia="zh-CN"/>
        </w:rPr>
        <w:t>五、存在的主要问题</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0" w:afterAutospacing="0" w:line="600" w:lineRule="exact"/>
        <w:ind w:right="0" w:firstLine="640" w:firstLineChars="200"/>
        <w:jc w:val="both"/>
        <w:textAlignment w:val="auto"/>
        <w:rPr>
          <w:rFonts w:hint="eastAsia" w:ascii="仿宋" w:hAnsi="仿宋" w:eastAsia="仿宋" w:cs="Times New Roman"/>
          <w:b w:val="0"/>
          <w:bCs/>
          <w:color w:val="auto"/>
          <w:kern w:val="2"/>
          <w:sz w:val="32"/>
          <w:szCs w:val="24"/>
          <w:shd w:val="clear" w:color="auto" w:fill="FFFFFF"/>
          <w:lang w:val="en-US" w:eastAsia="zh-CN" w:bidi="ar-SA"/>
        </w:rPr>
      </w:pPr>
      <w:r>
        <w:rPr>
          <w:rFonts w:hint="eastAsia" w:ascii="仿宋" w:hAnsi="仿宋" w:eastAsia="仿宋" w:cs="Times New Roman"/>
          <w:b w:val="0"/>
          <w:bCs/>
          <w:color w:val="auto"/>
          <w:kern w:val="2"/>
          <w:sz w:val="32"/>
          <w:szCs w:val="24"/>
          <w:shd w:val="clear" w:color="auto" w:fill="FFFFFF"/>
          <w:lang w:val="en-US" w:eastAsia="zh-CN" w:bidi="ar-SA"/>
        </w:rPr>
        <w:t>1.预决算项目支出编制需进一步明确、精细化。同时项目执行率需进一步提高。</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Autospacing="0" w:line="600" w:lineRule="exact"/>
        <w:ind w:right="0" w:firstLine="640" w:firstLineChars="200"/>
        <w:jc w:val="both"/>
        <w:textAlignment w:val="auto"/>
        <w:rPr>
          <w:rFonts w:hint="eastAsia" w:ascii="仿宋" w:hAnsi="仿宋" w:eastAsia="仿宋" w:cs="Times New Roman"/>
          <w:b w:val="0"/>
          <w:bCs/>
          <w:color w:val="auto"/>
          <w:kern w:val="2"/>
          <w:sz w:val="32"/>
          <w:szCs w:val="24"/>
          <w:shd w:val="clear" w:color="auto" w:fill="FFFFFF"/>
          <w:lang w:val="en-US" w:eastAsia="zh-CN" w:bidi="ar-SA"/>
        </w:rPr>
      </w:pPr>
      <w:r>
        <w:rPr>
          <w:rFonts w:hint="eastAsia" w:ascii="仿宋" w:hAnsi="仿宋" w:eastAsia="仿宋" w:cs="Times New Roman"/>
          <w:b w:val="0"/>
          <w:bCs/>
          <w:color w:val="auto"/>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rPr>
          <w:rFonts w:hint="eastAsia" w:ascii="黑体" w:eastAsia="黑体"/>
          <w:color w:val="auto"/>
          <w:sz w:val="32"/>
          <w:szCs w:val="32"/>
          <w:lang w:val="en-US" w:eastAsia="zh-CN"/>
        </w:rPr>
      </w:pPr>
      <w:r>
        <w:rPr>
          <w:rFonts w:hint="eastAsia" w:ascii="黑体" w:eastAsia="黑体"/>
          <w:color w:val="auto"/>
          <w:sz w:val="32"/>
          <w:szCs w:val="32"/>
          <w:lang w:val="en-US" w:eastAsia="zh-CN"/>
        </w:rPr>
        <w:t>七、改进措施及建议</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0" w:afterAutospacing="0" w:line="600" w:lineRule="exact"/>
        <w:ind w:right="0" w:firstLine="640" w:firstLineChars="200"/>
        <w:jc w:val="both"/>
        <w:textAlignment w:val="auto"/>
        <w:rPr>
          <w:rFonts w:hint="eastAsia" w:ascii="仿宋" w:hAnsi="仿宋" w:eastAsia="仿宋" w:cs="Times New Roman"/>
          <w:b w:val="0"/>
          <w:bCs/>
          <w:color w:val="auto"/>
          <w:kern w:val="2"/>
          <w:sz w:val="32"/>
          <w:szCs w:val="24"/>
          <w:shd w:val="clear" w:color="auto" w:fill="FFFFFF"/>
          <w:lang w:val="en-US" w:eastAsia="zh-CN" w:bidi="ar-SA"/>
        </w:rPr>
      </w:pPr>
      <w:r>
        <w:rPr>
          <w:rFonts w:hint="eastAsia" w:ascii="仿宋" w:hAnsi="仿宋" w:eastAsia="仿宋" w:cs="Times New Roman"/>
          <w:b w:val="0"/>
          <w:bCs/>
          <w:color w:val="auto"/>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仿宋" w:hAnsi="仿宋" w:eastAsia="仿宋" w:cs="Times New Roman"/>
          <w:b w:val="0"/>
          <w:bCs/>
          <w:color w:val="auto"/>
          <w:kern w:val="2"/>
          <w:sz w:val="32"/>
          <w:szCs w:val="24"/>
          <w:shd w:val="clear" w:color="auto" w:fill="FFFFFF"/>
          <w:lang w:val="en-US" w:eastAsia="zh-CN" w:bidi="ar-SA"/>
        </w:rPr>
      </w:pPr>
      <w:r>
        <w:rPr>
          <w:rFonts w:hint="eastAsia" w:ascii="仿宋" w:hAnsi="仿宋" w:eastAsia="仿宋" w:cs="Times New Roman"/>
          <w:b w:val="0"/>
          <w:bCs/>
          <w:color w:val="auto"/>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auto"/>
          <w:kern w:val="2"/>
          <w:sz w:val="32"/>
          <w:szCs w:val="24"/>
          <w:shd w:val="clear" w:color="auto" w:fill="FFFFFF"/>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jc w:val="right"/>
        <w:rPr>
          <w:rFonts w:hint="eastAsia" w:ascii="仿宋" w:hAnsi="仿宋" w:eastAsia="仿宋" w:cs="Times New Roman"/>
          <w:b w:val="0"/>
          <w:bCs/>
          <w:color w:val="auto"/>
          <w:kern w:val="2"/>
          <w:sz w:val="32"/>
          <w:szCs w:val="24"/>
          <w:shd w:val="clear" w:color="auto" w:fill="FFFFFF"/>
          <w:lang w:val="en-US" w:eastAsia="zh-CN" w:bidi="ar-SA"/>
        </w:rPr>
      </w:pPr>
      <w:r>
        <w:rPr>
          <w:rFonts w:hint="eastAsia" w:ascii="仿宋" w:hAnsi="仿宋" w:eastAsia="仿宋" w:cs="Times New Roman"/>
          <w:b w:val="0"/>
          <w:bCs/>
          <w:color w:val="auto"/>
          <w:kern w:val="2"/>
          <w:sz w:val="32"/>
          <w:szCs w:val="24"/>
          <w:shd w:val="clear" w:color="auto" w:fill="FFFFFF"/>
          <w:lang w:val="en-US" w:eastAsia="zh-CN" w:bidi="ar-SA"/>
        </w:rPr>
        <w:t xml:space="preserve"> 衡南县硫市镇人民政府</w:t>
      </w:r>
    </w:p>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right"/>
      </w:pPr>
      <w:r>
        <w:rPr>
          <w:rFonts w:hint="eastAsia" w:ascii="仿宋" w:hAnsi="仿宋" w:eastAsia="仿宋" w:cs="Times New Roman"/>
          <w:b w:val="0"/>
          <w:bCs/>
          <w:color w:val="383838"/>
          <w:kern w:val="2"/>
          <w:sz w:val="32"/>
          <w:szCs w:val="24"/>
          <w:shd w:val="clear" w:color="auto" w:fill="FFFFFF"/>
          <w:lang w:val="en-US" w:eastAsia="zh-CN" w:bidi="ar-SA"/>
        </w:rPr>
        <w:t xml:space="preserve">2024年4月25日 </w:t>
      </w:r>
    </w:p>
    <w:sectPr>
      <w:pgSz w:w="11906" w:h="16838"/>
      <w:pgMar w:top="1440" w:right="1800" w:bottom="1738"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0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pPr>
        <w:ind w:left="1050" w:leftChars="0" w:firstLine="0" w:firstLineChars="0"/>
      </w:pPr>
      <w:rPr>
        <w:rFonts w:hint="eastAsia"/>
      </w:rPr>
    </w:lvl>
  </w:abstractNum>
  <w:abstractNum w:abstractNumId="1">
    <w:nsid w:val="55EFAA59"/>
    <w:multiLevelType w:val="singleLevel"/>
    <w:tmpl w:val="55EFAA59"/>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VmOWQ1MGM0MGJiMDAwNjA2MjRkYTkxZWJlYTZmZDAifQ=="/>
  </w:docVars>
  <w:rsids>
    <w:rsidRoot w:val="00000000"/>
    <w:rsid w:val="033D32D9"/>
    <w:rsid w:val="040D0022"/>
    <w:rsid w:val="08976C04"/>
    <w:rsid w:val="0F0D4910"/>
    <w:rsid w:val="0F4C51BE"/>
    <w:rsid w:val="10C16731"/>
    <w:rsid w:val="1FE2357F"/>
    <w:rsid w:val="200D5D99"/>
    <w:rsid w:val="231D268B"/>
    <w:rsid w:val="2EEA4BF6"/>
    <w:rsid w:val="30D469FD"/>
    <w:rsid w:val="311E57A3"/>
    <w:rsid w:val="325B7058"/>
    <w:rsid w:val="39685936"/>
    <w:rsid w:val="39695622"/>
    <w:rsid w:val="3ED66130"/>
    <w:rsid w:val="419F6468"/>
    <w:rsid w:val="41F06D62"/>
    <w:rsid w:val="461079B5"/>
    <w:rsid w:val="49D07917"/>
    <w:rsid w:val="4EB43471"/>
    <w:rsid w:val="4F24177D"/>
    <w:rsid w:val="54BF0616"/>
    <w:rsid w:val="56045A83"/>
    <w:rsid w:val="592D7DC1"/>
    <w:rsid w:val="61C51262"/>
    <w:rsid w:val="6925087C"/>
    <w:rsid w:val="6B280A98"/>
    <w:rsid w:val="6C094F40"/>
    <w:rsid w:val="72CF1B9D"/>
    <w:rsid w:val="77E134D4"/>
    <w:rsid w:val="7B0F3D1D"/>
    <w:rsid w:val="7E296A06"/>
    <w:rsid w:val="7EFF09D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7">
    <w:name w:val="Default Paragraph Font"/>
    <w:qFormat/>
    <w:uiPriority w:val="0"/>
  </w:style>
  <w:style w:type="table" w:default="1" w:styleId="6">
    <w:name w:val="Normal Table"/>
    <w:qFormat/>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4">
    <w:name w:val="Normal Indent"/>
    <w:basedOn w:val="1"/>
    <w:unhideWhenUsed/>
    <w:qFormat/>
    <w:uiPriority w:val="0"/>
    <w:pPr>
      <w:ind w:firstLine="420" w:firstLineChars="200"/>
    </w:pPr>
  </w:style>
  <w:style w:type="paragraph" w:styleId="5">
    <w:name w:val="Normal (Web)"/>
    <w:basedOn w:val="1"/>
    <w:qFormat/>
    <w:uiPriority w:val="0"/>
    <w:pPr>
      <w:jc w:val="left"/>
    </w:pPr>
    <w:rPr>
      <w:kern w:val="0"/>
      <w:sz w:val="18"/>
      <w:szCs w:val="18"/>
    </w:rPr>
  </w:style>
  <w:style w:type="character" w:styleId="8">
    <w:name w:val="Strong"/>
    <w:qFormat/>
    <w:uiPriority w:val="22"/>
    <w:rPr>
      <w:b/>
      <w:bCs/>
    </w:rPr>
  </w:style>
  <w:style w:type="character" w:styleId="9">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3424</Words>
  <Characters>3746</Characters>
  <Paragraphs>74</Paragraphs>
  <TotalTime>2</TotalTime>
  <ScaleCrop>false</ScaleCrop>
  <LinksUpToDate>false</LinksUpToDate>
  <CharactersWithSpaces>4353</CharactersWithSpaces>
  <Application>WPS Office_12.1.0.16910_F1E327BC-269C-435d-A152-05C5408002CA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Amy阿磬</cp:lastModifiedBy>
  <dcterms:modified xsi:type="dcterms:W3CDTF">2024-05-10T04:00:03Z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2052-12.1.0.16910</vt:lpwstr>
  </property>
  <property fmtid="{D5CDD505-2E9C-101B-9397-08002B2CF9AE}" pid="3" name="ICV">
    <vt:lpwstr>9EF286505B0B48AC866FCB67204AF78B_13</vt:lpwstr>
  </property>
</Properties>
</file>