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p>
    <w:p>
      <w:pPr>
        <w:jc w:val="center"/>
        <w:rPr>
          <w:rFonts w:hint="eastAsia" w:ascii="方正小标宋_GBK" w:eastAsia="方正小标宋_GBK"/>
          <w:sz w:val="44"/>
          <w:szCs w:val="44"/>
        </w:rPr>
      </w:pPr>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23</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泉湖</w:t>
      </w:r>
      <w:r>
        <w:rPr>
          <w:rFonts w:hint="eastAsia" w:ascii="仿宋_GB2312" w:eastAsia="仿宋_GB2312"/>
          <w:sz w:val="32"/>
          <w:szCs w:val="32"/>
        </w:rPr>
        <w:t xml:space="preserve">镇人民政府             </w:t>
      </w:r>
    </w:p>
    <w:p>
      <w:pPr>
        <w:ind w:firstLine="640" w:firstLineChars="200"/>
        <w:rPr>
          <w:rFonts w:hint="eastAsia" w:ascii="仿宋_GB2312" w:eastAsia="仿宋_GB2312"/>
          <w:sz w:val="32"/>
          <w:szCs w:val="32"/>
        </w:rPr>
      </w:pPr>
      <w:r>
        <w:rPr>
          <w:rFonts w:hint="eastAsia" w:ascii="仿宋_GB2312" w:eastAsia="仿宋_GB2312"/>
          <w:sz w:val="32"/>
          <w:szCs w:val="32"/>
        </w:rPr>
        <w:t>预算编码：</w:t>
      </w:r>
      <w:r>
        <w:rPr>
          <w:rFonts w:hint="eastAsia" w:ascii="仿宋_GB2312" w:eastAsia="仿宋_GB2312"/>
          <w:sz w:val="32"/>
          <w:szCs w:val="32"/>
          <w:lang w:val="en-US" w:eastAsia="zh-CN"/>
        </w:rPr>
        <w:t>916001</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2024</w:t>
      </w:r>
      <w:r>
        <w:rPr>
          <w:rFonts w:hint="eastAsia" w:ascii="仿宋_GB2312" w:eastAsia="仿宋_GB2312"/>
          <w:sz w:val="32"/>
          <w:szCs w:val="32"/>
        </w:rPr>
        <w:t xml:space="preserve"> 年 </w:t>
      </w:r>
      <w:r>
        <w:rPr>
          <w:rFonts w:hint="eastAsia" w:ascii="仿宋_GB2312" w:eastAsia="仿宋_GB2312"/>
          <w:sz w:val="32"/>
          <w:szCs w:val="32"/>
          <w:lang w:val="en-US" w:eastAsia="zh-CN"/>
        </w:rPr>
        <w:t>04</w:t>
      </w:r>
      <w:r>
        <w:rPr>
          <w:rFonts w:hint="eastAsia" w:ascii="仿宋_GB2312" w:eastAsia="仿宋_GB2312"/>
          <w:sz w:val="32"/>
          <w:szCs w:val="32"/>
        </w:rPr>
        <w:t xml:space="preserve"> 月 </w:t>
      </w:r>
      <w:r>
        <w:rPr>
          <w:rFonts w:hint="eastAsia" w:ascii="仿宋_GB2312" w:eastAsia="仿宋_GB2312"/>
          <w:sz w:val="32"/>
          <w:szCs w:val="32"/>
          <w:lang w:val="en-US" w:eastAsia="zh-CN"/>
        </w:rPr>
        <w:t>25</w:t>
      </w:r>
      <w:r>
        <w:rPr>
          <w:rFonts w:hint="eastAsia" w:ascii="仿宋_GB2312" w:eastAsia="仿宋_GB2312"/>
          <w:sz w:val="32"/>
          <w:szCs w:val="32"/>
        </w:rPr>
        <w:t xml:space="preserve"> 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0"/>
        <w:jc w:val="both"/>
        <w:rPr>
          <w:rFonts w:hint="eastAsia" w:ascii="宋体" w:hAnsi="宋体" w:eastAsia="宋体" w:cs="宋体"/>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仿宋" w:hAnsi="仿宋" w:eastAsia="仿宋" w:cs="仿宋"/>
          <w:b/>
          <w:bCs/>
          <w:sz w:val="36"/>
          <w:szCs w:val="36"/>
        </w:rPr>
      </w:pPr>
      <w:r>
        <w:rPr>
          <w:rFonts w:hint="eastAsia" w:ascii="仿宋" w:hAnsi="仿宋" w:eastAsia="仿宋" w:cs="仿宋"/>
          <w:b/>
          <w:bCs/>
          <w:i w:val="0"/>
          <w:caps w:val="0"/>
          <w:color w:val="000000"/>
          <w:spacing w:val="0"/>
          <w:kern w:val="0"/>
          <w:sz w:val="36"/>
          <w:szCs w:val="36"/>
          <w:lang w:val="en-US" w:eastAsia="zh-CN"/>
        </w:rPr>
        <w:t>泉湖镇2023年部门整体支出绩效自评报告</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cs="仿宋"/>
          <w:b w:val="0"/>
          <w:i w:val="0"/>
          <w:caps w:val="0"/>
          <w:color w:val="000000"/>
          <w:spacing w:val="0"/>
          <w:kern w:val="0"/>
          <w:sz w:val="28"/>
          <w:szCs w:val="28"/>
          <w:lang w:val="en-US" w:eastAsia="zh-CN"/>
        </w:rPr>
        <w:t> </w:t>
      </w:r>
      <w:r>
        <w:rPr>
          <w:rFonts w:hint="eastAsia" w:ascii="仿宋" w:hAnsi="仿宋" w:eastAsia="仿宋"/>
          <w:b w:val="0"/>
          <w:bCs/>
          <w:color w:val="383838"/>
          <w:sz w:val="32"/>
          <w:shd w:val="clear" w:color="auto" w:fill="FFFFFF"/>
          <w:lang w:val="en-US" w:eastAsia="zh-CN"/>
        </w:rPr>
        <w:t>为进一步规范财政资金管理，强化部门责任意识，切实提高财政资金使用效益，根据《衡南县财政局关于开展2023年度财政资金绩效自评工作的通知》（清财绩[2024]118号）</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要求，我镇对2023年度本单位财政性资金整体使用情况进行了绩效自评，现将具体绩效评价情况报告如下：</w:t>
      </w:r>
    </w:p>
    <w:p>
      <w:pPr>
        <w:keepNext w:val="0"/>
        <w:keepLines w:val="0"/>
        <w:pageBreakBefore w:val="0"/>
        <w:widowControl w:val="0"/>
        <w:numPr>
          <w:ilvl w:val="0"/>
          <w:numId w:val="1"/>
        </w:numPr>
        <w:kinsoku/>
        <w:wordWrap/>
        <w:overflowPunct/>
        <w:topLinePunct w:val="0"/>
        <w:autoSpaceDE/>
        <w:bidi w:val="0"/>
        <w:adjustRightInd/>
        <w:snapToGrid/>
        <w:spacing w:line="600" w:lineRule="exact"/>
        <w:ind w:left="0" w:leftChars="0" w:firstLine="640" w:firstLineChars="200"/>
        <w:textAlignment w:val="auto"/>
        <w:rPr>
          <w:rFonts w:hint="eastAsia" w:ascii="黑体" w:eastAsia="黑体"/>
          <w:sz w:val="32"/>
          <w:szCs w:val="32"/>
        </w:rPr>
      </w:pPr>
      <w:r>
        <w:rPr>
          <w:rFonts w:hint="eastAsia" w:ascii="黑体" w:eastAsia="黑体"/>
          <w:sz w:val="32"/>
          <w:szCs w:val="32"/>
          <w:lang w:val="en-US" w:eastAsia="zh-CN"/>
        </w:rPr>
        <w:t>单位</w:t>
      </w:r>
      <w:r>
        <w:rPr>
          <w:rFonts w:hint="eastAsia" w:ascii="黑体" w:eastAsia="黑体"/>
          <w:sz w:val="32"/>
          <w:szCs w:val="32"/>
        </w:rPr>
        <w:t>基本情况</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240" w:lineRule="auto"/>
        <w:ind w:left="0" w:leftChars="0" w:firstLine="640"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泉湖镇人民政府</w:t>
      </w:r>
      <w:r>
        <w:rPr>
          <w:rFonts w:hint="eastAsia" w:ascii="仿宋" w:hAnsi="仿宋" w:eastAsia="仿宋"/>
          <w:b w:val="0"/>
          <w:bCs/>
          <w:color w:val="383838"/>
          <w:sz w:val="32"/>
          <w:shd w:val="clear" w:color="auto" w:fill="FFFFFF"/>
          <w:lang w:eastAsia="zh-CN"/>
        </w:rPr>
        <w:t>为全额财政拨款单位，纳入财政会计集中核算和国库集中支付体系，财务制度执行《预算法》、《行政单位会计制度》。</w:t>
      </w:r>
    </w:p>
    <w:p>
      <w:pPr>
        <w:keepNext w:val="0"/>
        <w:keepLines w:val="0"/>
        <w:pageBreakBefore w:val="0"/>
        <w:widowControl w:val="0"/>
        <w:numPr>
          <w:ilvl w:val="0"/>
          <w:numId w:val="2"/>
        </w:numPr>
        <w:kinsoku/>
        <w:wordWrap/>
        <w:overflowPunct/>
        <w:topLinePunct w:val="0"/>
        <w:autoSpaceDE/>
        <w:bidi w:val="0"/>
        <w:adjustRightInd/>
        <w:snapToGrid/>
        <w:spacing w:line="600" w:lineRule="exact"/>
        <w:ind w:left="0" w:leftChars="0" w:firstLine="643" w:firstLineChars="20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部门职能</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 xml:space="preserve"> 1.执行上级国家行政机关的决定、命令和国家制定的法令、法规，接受同级党委的领导，执行本级人民代表大会的各项决议，并报告执行决议、决定和命令的情况</w:t>
      </w:r>
      <w:r>
        <w:rPr>
          <w:rFonts w:hint="eastAsia" w:ascii="仿宋" w:hAnsi="仿宋" w:eastAsia="仿宋"/>
          <w:b w:val="0"/>
          <w:bCs/>
          <w:color w:val="383838"/>
          <w:sz w:val="32"/>
          <w:shd w:val="clear" w:color="auto" w:fill="FFFFFF"/>
          <w:lang w:val="en-US" w:eastAsia="zh-CN"/>
        </w:rPr>
        <w:t>。</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2.制定并落实本行政区域的经济计划和措施，促进产业结构调整及其他经济保持平衡协调发展，全面提高人民群众的生活水平和生活质量</w:t>
      </w:r>
      <w:r>
        <w:rPr>
          <w:rFonts w:hint="eastAsia" w:ascii="仿宋" w:hAnsi="仿宋" w:eastAsia="仿宋"/>
          <w:b w:val="0"/>
          <w:bCs/>
          <w:color w:val="383838"/>
          <w:sz w:val="32"/>
          <w:shd w:val="clear" w:color="auto" w:fill="FFFFFF"/>
          <w:lang w:val="en-US" w:eastAsia="zh-CN"/>
        </w:rPr>
        <w:t>。</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3.承担国有资产、集体资产管理、监督及增值保值责任；保护公民私人所有合法财产，保障集体经济组织应有的自主权；监督企业和各种经济凉亭、个体户认真执行国家的法律、法令和政策，履行经济合同</w:t>
      </w:r>
      <w:r>
        <w:rPr>
          <w:rFonts w:hint="eastAsia" w:ascii="仿宋" w:hAnsi="仿宋" w:eastAsia="仿宋"/>
          <w:b w:val="0"/>
          <w:bCs/>
          <w:color w:val="383838"/>
          <w:sz w:val="32"/>
          <w:shd w:val="clear" w:color="auto" w:fill="FFFFFF"/>
          <w:lang w:val="en-US" w:eastAsia="zh-CN"/>
        </w:rPr>
        <w:t>。</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4. 开展社会主义民主和法制的宣传教育，保障公民的权利；制定社会治安综合治理工作规划并组织实施；处理人民来信来访，调解民间纠纷，打击违法犯罪，维护社会稳定</w:t>
      </w:r>
      <w:r>
        <w:rPr>
          <w:rFonts w:hint="eastAsia" w:ascii="仿宋" w:hAnsi="仿宋" w:eastAsia="仿宋"/>
          <w:b w:val="0"/>
          <w:bCs/>
          <w:color w:val="383838"/>
          <w:sz w:val="32"/>
          <w:shd w:val="clear" w:color="auto" w:fill="FFFFFF"/>
          <w:lang w:val="en-US" w:eastAsia="zh-CN"/>
        </w:rPr>
        <w:t>。</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rPr>
      </w:pPr>
      <w:r>
        <w:rPr>
          <w:rFonts w:hint="eastAsia" w:ascii="仿宋" w:hAnsi="仿宋" w:eastAsia="仿宋"/>
          <w:b w:val="0"/>
          <w:bCs/>
          <w:color w:val="383838"/>
          <w:sz w:val="32"/>
          <w:shd w:val="clear" w:color="auto" w:fill="FFFFFF"/>
          <w:lang w:val="en-US"/>
        </w:rPr>
        <w:t>5. 制定社会各项事业发展计划，发展教育、卫生、科技、民政、广播电视、文化事业；组织实施义务教育和其他各类教育；加强计划生育工作；推进社会保障、社会福利事业和养老保险工作；做好劳动管理、科普、老龄等工作</w:t>
      </w:r>
      <w:r>
        <w:rPr>
          <w:rFonts w:hint="eastAsia" w:ascii="仿宋" w:hAnsi="仿宋" w:eastAsia="仿宋"/>
          <w:b w:val="0"/>
          <w:bCs/>
          <w:color w:val="383838"/>
          <w:sz w:val="32"/>
          <w:shd w:val="clear" w:color="auto" w:fill="FFFFFF"/>
          <w:lang w:val="en-US" w:eastAsia="zh-CN"/>
        </w:rPr>
        <w:t>。</w:t>
      </w:r>
      <w:r>
        <w:rPr>
          <w:rFonts w:hint="eastAsia" w:ascii="仿宋" w:hAnsi="仿宋" w:eastAsia="仿宋"/>
          <w:b w:val="0"/>
          <w:bCs/>
          <w:color w:val="383838"/>
          <w:sz w:val="32"/>
          <w:shd w:val="clear" w:color="auto" w:fill="FFFFFF"/>
          <w:lang w:val="en-US"/>
        </w:rPr>
        <w:t xml:space="preserve">   </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6.加强镇级财政的监督和管理，按计划组织、管理财政收入和支出，执行国家有关财经纪律和政策，保证国家财政收入的完成；做好统计工作</w:t>
      </w:r>
      <w:r>
        <w:rPr>
          <w:rFonts w:hint="eastAsia" w:ascii="仿宋" w:hAnsi="仿宋" w:eastAsia="仿宋"/>
          <w:b w:val="0"/>
          <w:bCs/>
          <w:color w:val="383838"/>
          <w:sz w:val="32"/>
          <w:shd w:val="clear" w:color="auto" w:fill="FFFFFF"/>
          <w:lang w:val="en-US" w:eastAsia="zh-CN"/>
        </w:rPr>
        <w:t>。</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7.指导、支持、帮助村民委员会的组织建设和业务建设，促进村民委员会自治</w:t>
      </w:r>
      <w:r>
        <w:rPr>
          <w:rFonts w:hint="eastAsia" w:ascii="仿宋" w:hAnsi="仿宋" w:eastAsia="仿宋"/>
          <w:b w:val="0"/>
          <w:bCs/>
          <w:color w:val="383838"/>
          <w:sz w:val="32"/>
          <w:shd w:val="clear" w:color="auto" w:fill="FFFFFF"/>
          <w:lang w:val="en-US" w:eastAsia="zh-CN"/>
        </w:rPr>
        <w:t>。</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8.制定和组织实施镇村建设规划；加强公用设施、水利建设和管理以及房屋土地管理和环境综合整治工作、保护和改善生活环境、生态环境</w:t>
      </w:r>
      <w:r>
        <w:rPr>
          <w:rFonts w:hint="eastAsia" w:ascii="仿宋" w:hAnsi="仿宋" w:eastAsia="仿宋"/>
          <w:b w:val="0"/>
          <w:bCs/>
          <w:color w:val="383838"/>
          <w:sz w:val="32"/>
          <w:shd w:val="clear" w:color="auto" w:fill="FFFFFF"/>
          <w:lang w:val="en-US" w:eastAsia="zh-CN"/>
        </w:rPr>
        <w:t>。</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default" w:ascii="仿宋" w:hAnsi="仿宋" w:eastAsia="仿宋"/>
          <w:b/>
          <w:bCs w:val="0"/>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9.承办上级人民政府交办的其他事项。</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3" w:firstLineChars="20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（二）基本情况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本镇</w:t>
      </w:r>
      <w:r>
        <w:rPr>
          <w:rFonts w:hint="eastAsia" w:ascii="仿宋" w:hAnsi="仿宋" w:eastAsia="仿宋"/>
          <w:b w:val="0"/>
          <w:bCs/>
          <w:color w:val="383838"/>
          <w:sz w:val="32"/>
          <w:shd w:val="clear" w:color="auto" w:fill="FFFFFF"/>
          <w:lang w:eastAsia="zh-CN"/>
        </w:rPr>
        <w:t>总面积96平方公里，辖有16个村，2个居委会，372个村民小组，共计121</w:t>
      </w:r>
      <w:r>
        <w:rPr>
          <w:rFonts w:hint="eastAsia" w:ascii="仿宋" w:hAnsi="仿宋" w:eastAsia="仿宋"/>
          <w:b w:val="0"/>
          <w:bCs/>
          <w:color w:val="383838"/>
          <w:sz w:val="32"/>
          <w:shd w:val="clear" w:color="auto" w:fill="FFFFFF"/>
          <w:lang w:val="en-US" w:eastAsia="zh-CN"/>
        </w:rPr>
        <w:t>35</w:t>
      </w:r>
      <w:r>
        <w:rPr>
          <w:rFonts w:hint="eastAsia" w:ascii="仿宋" w:hAnsi="仿宋" w:eastAsia="仿宋"/>
          <w:b w:val="0"/>
          <w:bCs/>
          <w:color w:val="383838"/>
          <w:sz w:val="32"/>
          <w:shd w:val="clear" w:color="auto" w:fill="FFFFFF"/>
          <w:lang w:eastAsia="zh-CN"/>
        </w:rPr>
        <w:t>户，</w:t>
      </w:r>
      <w:r>
        <w:rPr>
          <w:rFonts w:hint="eastAsia" w:ascii="仿宋" w:hAnsi="仿宋" w:eastAsia="仿宋"/>
          <w:b w:val="0"/>
          <w:bCs/>
          <w:color w:val="383838"/>
          <w:sz w:val="32"/>
          <w:shd w:val="clear" w:color="auto" w:fill="FFFFFF"/>
          <w:lang w:val="en-US" w:eastAsia="zh-CN"/>
        </w:rPr>
        <w:t>总人口</w:t>
      </w:r>
      <w:r>
        <w:rPr>
          <w:rFonts w:hint="eastAsia" w:ascii="仿宋" w:hAnsi="仿宋" w:eastAsia="仿宋"/>
          <w:b w:val="0"/>
          <w:bCs/>
          <w:color w:val="383838"/>
          <w:sz w:val="32"/>
          <w:shd w:val="clear" w:color="auto" w:fill="FFFFFF"/>
          <w:lang w:eastAsia="zh-CN"/>
        </w:rPr>
        <w:t>45</w:t>
      </w:r>
      <w:r>
        <w:rPr>
          <w:rFonts w:hint="eastAsia" w:ascii="仿宋" w:hAnsi="仿宋" w:eastAsia="仿宋"/>
          <w:b w:val="0"/>
          <w:bCs/>
          <w:color w:val="383838"/>
          <w:sz w:val="32"/>
          <w:shd w:val="clear" w:color="auto" w:fill="FFFFFF"/>
          <w:lang w:val="en-US" w:eastAsia="zh-CN"/>
        </w:rPr>
        <w:t>719</w:t>
      </w:r>
      <w:r>
        <w:rPr>
          <w:rFonts w:hint="eastAsia" w:ascii="仿宋" w:hAnsi="仿宋" w:eastAsia="仿宋"/>
          <w:b w:val="0"/>
          <w:bCs/>
          <w:color w:val="383838"/>
          <w:sz w:val="32"/>
          <w:shd w:val="clear" w:color="auto" w:fill="FFFFFF"/>
          <w:lang w:eastAsia="zh-CN"/>
        </w:rPr>
        <w:t>人。政府机关现有在编财政供养人员</w:t>
      </w:r>
      <w:r>
        <w:rPr>
          <w:rFonts w:hint="eastAsia" w:ascii="仿宋" w:hAnsi="仿宋" w:eastAsia="仿宋"/>
          <w:b w:val="0"/>
          <w:bCs/>
          <w:color w:val="383838"/>
          <w:sz w:val="32"/>
          <w:shd w:val="clear" w:color="auto" w:fill="FFFFFF"/>
          <w:lang w:val="en-US" w:eastAsia="zh-CN"/>
        </w:rPr>
        <w:t>77</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在职编制人员75人，临骋人员2人）</w:t>
      </w:r>
      <w:r>
        <w:rPr>
          <w:rFonts w:hint="eastAsia" w:ascii="仿宋" w:hAnsi="仿宋" w:eastAsia="仿宋"/>
          <w:b w:val="0"/>
          <w:bCs/>
          <w:color w:val="383838"/>
          <w:sz w:val="32"/>
          <w:shd w:val="clear" w:color="auto" w:fill="FFFFFF"/>
          <w:lang w:eastAsia="zh-CN"/>
        </w:rPr>
        <w:t>。政府公务用车1辆。</w:t>
      </w:r>
      <w:r>
        <w:rPr>
          <w:rFonts w:hint="eastAsia" w:ascii="仿宋" w:hAnsi="仿宋" w:eastAsia="仿宋"/>
          <w:b w:val="0"/>
          <w:bCs/>
          <w:color w:val="383838"/>
          <w:sz w:val="32"/>
          <w:shd w:val="clear" w:color="auto" w:fill="FFFFFF"/>
          <w:lang w:val="en-US" w:eastAsia="zh-CN"/>
        </w:rPr>
        <w:t>本单位分政府机关及三中心一大队一站。</w:t>
      </w:r>
    </w:p>
    <w:p>
      <w:pPr>
        <w:numPr>
          <w:ilvl w:val="0"/>
          <w:numId w:val="0"/>
        </w:numPr>
        <w:spacing w:line="600" w:lineRule="exact"/>
        <w:ind w:left="0" w:leftChars="0" w:firstLine="643" w:firstLineChars="200"/>
        <w:rPr>
          <w:rFonts w:hint="eastAsia" w:ascii="仿宋" w:hAnsi="仿宋" w:eastAsia="仿宋" w:cs="Times New Roman"/>
          <w:b/>
          <w:bCs w:val="0"/>
          <w:color w:val="383838"/>
          <w:sz w:val="32"/>
          <w:shd w:val="clear" w:color="auto" w:fill="FFFFFF"/>
          <w:lang w:eastAsia="zh-CN"/>
        </w:rPr>
      </w:pPr>
      <w:r>
        <w:rPr>
          <w:rFonts w:hint="eastAsia" w:ascii="仿宋" w:hAnsi="仿宋" w:eastAsia="仿宋" w:cs="Times New Roman"/>
          <w:b/>
          <w:bCs w:val="0"/>
          <w:color w:val="383838"/>
          <w:sz w:val="32"/>
          <w:shd w:val="clear" w:color="auto" w:fill="FFFFFF"/>
          <w:lang w:eastAsia="zh-CN"/>
        </w:rPr>
        <w:t>（</w:t>
      </w:r>
      <w:r>
        <w:rPr>
          <w:rFonts w:hint="eastAsia" w:ascii="仿宋" w:hAnsi="仿宋" w:eastAsia="仿宋" w:cs="Times New Roman"/>
          <w:b/>
          <w:bCs w:val="0"/>
          <w:color w:val="383838"/>
          <w:sz w:val="32"/>
          <w:shd w:val="clear" w:color="auto" w:fill="FFFFFF"/>
          <w:lang w:val="en-US" w:eastAsia="zh-CN"/>
        </w:rPr>
        <w:t>三）</w:t>
      </w:r>
      <w:r>
        <w:rPr>
          <w:rFonts w:hint="eastAsia" w:ascii="仿宋" w:hAnsi="仿宋" w:eastAsia="仿宋" w:cs="Times New Roman"/>
          <w:b/>
          <w:bCs w:val="0"/>
          <w:color w:val="383838"/>
          <w:sz w:val="32"/>
          <w:shd w:val="clear" w:color="auto" w:fill="FFFFFF"/>
          <w:lang w:eastAsia="zh-CN"/>
        </w:rPr>
        <w:t>部门主要工作任务及实施情况。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全镇较好地完成了2023年初设定的工作任务，各项专项项目得到有序开展。到年底项目实施已完成100%，资金拨付报账到位率为90%，项目验收完成率为100%。</w:t>
      </w:r>
    </w:p>
    <w:p>
      <w:pPr>
        <w:spacing w:line="600" w:lineRule="exact"/>
        <w:ind w:firstLine="640" w:firstLineChars="200"/>
        <w:rPr>
          <w:rFonts w:hint="eastAsia" w:ascii="黑体" w:eastAsia="黑体"/>
          <w:sz w:val="32"/>
          <w:szCs w:val="32"/>
        </w:rPr>
      </w:pPr>
      <w:r>
        <w:rPr>
          <w:rFonts w:hint="eastAsia" w:ascii="黑体" w:eastAsia="黑体"/>
          <w:sz w:val="32"/>
          <w:szCs w:val="32"/>
        </w:rPr>
        <w:t>二、部门整体支出管理及使用情况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（一）部门预算决算收支情况</w:t>
      </w:r>
    </w:p>
    <w:p>
      <w:pPr>
        <w:spacing w:line="600" w:lineRule="exact"/>
        <w:ind w:firstLine="640" w:firstLineChars="200"/>
        <w:rPr>
          <w:rFonts w:ascii="仿宋" w:hAnsi="仿宋" w:eastAsia="仿宋" w:cs="仿宋"/>
          <w:color w:val="333333"/>
          <w:sz w:val="32"/>
          <w:szCs w:val="32"/>
        </w:rPr>
      </w:pPr>
      <w:r>
        <w:rPr>
          <w:rFonts w:hint="eastAsia" w:ascii="仿宋" w:hAnsi="仿宋" w:eastAsia="仿宋" w:cs="仿宋"/>
          <w:b w:val="0"/>
          <w:bCs/>
          <w:color w:val="383838"/>
          <w:sz w:val="32"/>
          <w:szCs w:val="32"/>
          <w:shd w:val="clear" w:color="auto" w:fill="FFFFFF"/>
          <w:lang w:val="en-US" w:eastAsia="zh-CN"/>
        </w:rPr>
        <w:t>20</w:t>
      </w:r>
      <w:r>
        <w:rPr>
          <w:rFonts w:hint="eastAsia" w:ascii="仿宋" w:hAnsi="仿宋" w:eastAsia="仿宋" w:cs="仿宋"/>
          <w:b w:val="0"/>
          <w:i w:val="0"/>
          <w:caps w:val="0"/>
          <w:color w:val="333333"/>
          <w:spacing w:val="-2"/>
          <w:sz w:val="32"/>
          <w:szCs w:val="32"/>
          <w:lang w:val="en-US" w:eastAsia="zh-CN"/>
        </w:rPr>
        <w:t>23</w:t>
      </w:r>
      <w:r>
        <w:rPr>
          <w:rFonts w:hint="eastAsia" w:ascii="仿宋" w:hAnsi="仿宋" w:eastAsia="仿宋" w:cs="Times New Roman"/>
          <w:b w:val="0"/>
          <w:bCs/>
          <w:color w:val="383838"/>
          <w:sz w:val="32"/>
          <w:shd w:val="clear" w:color="auto" w:fill="FFFFFF"/>
          <w:lang w:val="en-US" w:eastAsia="zh-CN"/>
        </w:rPr>
        <w:t>年年初预算收入1206.89万元，</w:t>
      </w:r>
      <w:r>
        <w:rPr>
          <w:rFonts w:hint="eastAsia" w:ascii="仿宋" w:hAnsi="仿宋" w:eastAsia="仿宋" w:cs="仿宋"/>
          <w:color w:val="333333"/>
          <w:sz w:val="32"/>
          <w:szCs w:val="32"/>
        </w:rPr>
        <w:t>其中：工资福利支出</w:t>
      </w:r>
      <w:r>
        <w:rPr>
          <w:rFonts w:hint="eastAsia" w:ascii="仿宋" w:hAnsi="仿宋" w:eastAsia="仿宋" w:cs="仿宋"/>
          <w:color w:val="333333"/>
          <w:sz w:val="32"/>
          <w:szCs w:val="32"/>
          <w:lang w:val="en-US" w:eastAsia="zh-CN"/>
        </w:rPr>
        <w:t>653.01</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35.8</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22.81万元，</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495.27</w:t>
      </w:r>
      <w:r>
        <w:rPr>
          <w:rFonts w:hint="eastAsia" w:ascii="仿宋" w:hAnsi="仿宋" w:eastAsia="仿宋" w:cs="仿宋"/>
          <w:color w:val="333333"/>
          <w:sz w:val="32"/>
          <w:szCs w:val="32"/>
        </w:rPr>
        <w:t>万元。</w:t>
      </w:r>
    </w:p>
    <w:p>
      <w:pPr>
        <w:spacing w:line="600" w:lineRule="exact"/>
        <w:ind w:firstLine="640" w:firstLineChars="200"/>
        <w:rPr>
          <w:rFonts w:hint="eastAsia" w:ascii="仿宋" w:hAnsi="仿宋" w:eastAsia="仿宋" w:cs="仿宋"/>
          <w:b w:val="0"/>
          <w:bCs/>
          <w:color w:val="383838"/>
          <w:sz w:val="32"/>
          <w:szCs w:val="32"/>
          <w:shd w:val="clear" w:color="auto" w:fill="FFFFFF"/>
          <w:lang w:val="en-US" w:eastAsia="zh-CN"/>
        </w:rPr>
      </w:pPr>
      <w:r>
        <w:rPr>
          <w:rFonts w:hint="eastAsia" w:ascii="仿宋" w:hAnsi="仿宋" w:eastAsia="仿宋" w:cs="仿宋"/>
          <w:b w:val="0"/>
          <w:bCs/>
          <w:color w:val="383838"/>
          <w:sz w:val="32"/>
          <w:szCs w:val="32"/>
          <w:shd w:val="clear" w:color="auto" w:fill="FFFFFF"/>
          <w:lang w:val="en-US" w:eastAsia="zh-CN"/>
        </w:rPr>
        <w:t>2023年决算收入1944.00万元，比年初预算增加737.11万元。本年度总支出1944.00万元，工资福利支出752.26万元，一般商品和服务支出365.36万元，对个人和家庭的补助242.28万元，资本性支出584.10万元。</w:t>
      </w:r>
    </w:p>
    <w:p>
      <w:pPr>
        <w:spacing w:line="60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b w:val="0"/>
          <w:bCs/>
          <w:color w:val="383838"/>
          <w:sz w:val="32"/>
          <w:szCs w:val="32"/>
          <w:shd w:val="clear" w:color="auto" w:fill="FFFFFF"/>
          <w:lang w:val="en-US" w:eastAsia="zh-CN"/>
        </w:rPr>
        <w:t>2023年本单位</w:t>
      </w:r>
      <w:r>
        <w:rPr>
          <w:rFonts w:hint="eastAsia" w:ascii="仿宋" w:hAnsi="仿宋" w:eastAsia="仿宋" w:cs="仿宋"/>
          <w:sz w:val="32"/>
          <w:szCs w:val="32"/>
          <w:lang w:val="en-US" w:eastAsia="zh-CN"/>
        </w:rPr>
        <w:t>政府性基金预算财政拨款收入为25万元。总支出25万元，</w:t>
      </w:r>
      <w:r>
        <w:rPr>
          <w:rFonts w:hint="eastAsia" w:ascii="仿宋" w:hAnsi="仿宋" w:eastAsia="仿宋" w:cs="仿宋"/>
          <w:b w:val="0"/>
          <w:bCs/>
          <w:color w:val="383838"/>
          <w:sz w:val="32"/>
          <w:szCs w:val="32"/>
          <w:shd w:val="clear" w:color="auto" w:fill="FFFFFF"/>
          <w:lang w:val="en-US" w:eastAsia="zh-CN"/>
        </w:rPr>
        <w:t>其中：一般商品和服务支出4万元，资本性支出21万元</w:t>
      </w:r>
      <w:r>
        <w:rPr>
          <w:rFonts w:hint="eastAsia" w:ascii="仿宋" w:hAnsi="仿宋" w:eastAsia="仿宋" w:cs="仿宋"/>
          <w:sz w:val="32"/>
          <w:szCs w:val="32"/>
          <w:lang w:val="en-US" w:eastAsia="zh-CN"/>
        </w:rPr>
        <w:t>。</w:t>
      </w:r>
    </w:p>
    <w:p>
      <w:pPr>
        <w:pStyle w:val="2"/>
        <w:rPr>
          <w:rFonts w:hint="default"/>
          <w:lang w:val="en-US" w:eastAsia="zh-CN"/>
        </w:rPr>
      </w:pP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（二）支出分类情况。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1.基本支出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基本支出为保障单位机构正常运转、完成日常工作任务而发生的各项支出，包括用于基本工资、津贴补贴等人员经费以及办公费、印刷费、水电费等日常公用经费。</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2023年年初预算批复的基本支出为711.63万元，2023年决算基本支出831.11万元，其中：</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645.72</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58.04</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48.74万元，</w:t>
      </w:r>
      <w:r>
        <w:rPr>
          <w:rFonts w:hint="eastAsia" w:ascii="仿宋" w:hAnsi="仿宋" w:eastAsia="仿宋" w:cs="仿宋"/>
          <w:b w:val="0"/>
          <w:bCs/>
          <w:color w:val="383838"/>
          <w:sz w:val="32"/>
          <w:szCs w:val="32"/>
          <w:shd w:val="clear" w:color="auto" w:fill="FFFFFF"/>
          <w:lang w:val="en-US" w:eastAsia="zh-CN"/>
        </w:rPr>
        <w:t>资本性支出78.61万元</w:t>
      </w:r>
      <w:r>
        <w:rPr>
          <w:rFonts w:hint="eastAsia" w:ascii="仿宋" w:hAnsi="仿宋" w:eastAsia="仿宋" w:cs="Times New Roman"/>
          <w:b w:val="0"/>
          <w:bCs/>
          <w:color w:val="383838"/>
          <w:sz w:val="32"/>
          <w:shd w:val="clear" w:color="auto" w:fill="FFFFFF"/>
          <w:lang w:val="en-US" w:eastAsia="zh-CN"/>
        </w:rPr>
        <w:t>。</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2.“三公”经费情况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32"/>
          <w:szCs w:val="32"/>
          <w:lang w:val="en-US" w:eastAsia="zh-CN"/>
        </w:rPr>
        <w:t>23</w:t>
      </w:r>
      <w:r>
        <w:rPr>
          <w:rFonts w:hint="eastAsia" w:ascii="仿宋" w:hAnsi="仿宋" w:eastAsia="仿宋" w:cs="Times New Roman"/>
          <w:b w:val="0"/>
          <w:bCs/>
          <w:color w:val="383838"/>
          <w:sz w:val="32"/>
          <w:shd w:val="clear" w:color="auto" w:fill="FFFFFF"/>
          <w:lang w:val="en-US" w:eastAsia="zh-CN"/>
        </w:rPr>
        <w:t>年“三公”经费实际支出4.23万元，其中公务接待3.12万元，公务用车1.11万元，2023年“三公”经费比上年减少0.02万元，基本上与上年持平。</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 xml:space="preserve">我镇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三公”经费较好地控制在预算范围之内。。                                                                                                                                                                                                                                                                                                                                                                                                                                                                                                                                                                     </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3.项目支出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_GB2312" w:cs="Times New Roman"/>
          <w:b w:val="0"/>
          <w:bCs/>
          <w:color w:val="383838"/>
          <w:sz w:val="32"/>
          <w:shd w:val="clear" w:color="auto" w:fill="FFFFFF"/>
          <w:lang w:val="en-US" w:eastAsia="zh-CN"/>
        </w:rPr>
      </w:pPr>
      <w:r>
        <w:rPr>
          <w:rFonts w:hint="eastAsia" w:ascii="仿宋" w:hAnsi="仿宋" w:eastAsia="仿宋" w:cs="Times New Roman"/>
          <w:b w:val="0"/>
          <w:bCs/>
          <w:color w:val="383838"/>
          <w:sz w:val="32"/>
          <w:szCs w:val="32"/>
          <w:shd w:val="clear" w:color="auto" w:fill="FFFFFF"/>
          <w:lang w:val="en-US" w:eastAsia="zh-CN"/>
        </w:rPr>
        <w:t>20</w:t>
      </w:r>
      <w:r>
        <w:rPr>
          <w:rFonts w:hint="eastAsia" w:ascii="仿宋" w:hAnsi="仿宋" w:eastAsia="仿宋" w:cs="仿宋"/>
          <w:b w:val="0"/>
          <w:i w:val="0"/>
          <w:caps w:val="0"/>
          <w:color w:val="333333"/>
          <w:spacing w:val="-2"/>
          <w:sz w:val="32"/>
          <w:szCs w:val="32"/>
          <w:lang w:val="en-US" w:eastAsia="zh-CN"/>
        </w:rPr>
        <w:t>23</w:t>
      </w:r>
      <w:r>
        <w:rPr>
          <w:rFonts w:hint="eastAsia" w:ascii="仿宋" w:hAnsi="仿宋" w:eastAsia="仿宋" w:cs="Times New Roman"/>
          <w:b w:val="0"/>
          <w:bCs/>
          <w:color w:val="383838"/>
          <w:sz w:val="32"/>
          <w:shd w:val="clear" w:color="auto" w:fill="FFFFFF"/>
          <w:lang w:val="en-US" w:eastAsia="zh-CN"/>
        </w:rPr>
        <w:t>年年初预算批复的项目支出为495.27万元，</w:t>
      </w:r>
      <w:r>
        <w:rPr>
          <w:rFonts w:hint="eastAsia" w:ascii="仿宋_GB2312" w:hAnsi="仿宋_GB2312" w:eastAsia="仿宋_GB2312" w:cs="仿宋_GB2312"/>
          <w:kern w:val="0"/>
          <w:sz w:val="32"/>
          <w:szCs w:val="32"/>
        </w:rPr>
        <w:t>202</w:t>
      </w:r>
      <w:r>
        <w:rPr>
          <w:rFonts w:hint="eastAsia" w:ascii="仿宋_GB2312" w:hAnsi="仿宋_GB2312" w:eastAsia="仿宋_GB2312" w:cs="仿宋_GB2312"/>
          <w:kern w:val="0"/>
          <w:sz w:val="32"/>
          <w:szCs w:val="32"/>
          <w:lang w:val="en-US" w:eastAsia="zh-CN"/>
        </w:rPr>
        <w:t>3</w:t>
      </w:r>
      <w:r>
        <w:rPr>
          <w:rFonts w:hint="eastAsia" w:ascii="仿宋_GB2312" w:hAnsi="仿宋_GB2312" w:eastAsia="仿宋_GB2312" w:cs="仿宋_GB2312"/>
          <w:kern w:val="0"/>
          <w:sz w:val="32"/>
          <w:szCs w:val="32"/>
        </w:rPr>
        <w:t>年一般公共预算财政拨款决算项目支出</w:t>
      </w:r>
      <w:r>
        <w:rPr>
          <w:rFonts w:hint="eastAsia" w:ascii="仿宋" w:hAnsi="仿宋" w:eastAsia="仿宋" w:cs="仿宋"/>
          <w:color w:val="333333"/>
          <w:sz w:val="32"/>
          <w:szCs w:val="32"/>
          <w:lang w:val="en-US" w:eastAsia="zh-CN"/>
        </w:rPr>
        <w:t>1112.89</w:t>
      </w:r>
      <w:r>
        <w:rPr>
          <w:rFonts w:hint="eastAsia" w:ascii="仿宋" w:hAnsi="仿宋" w:eastAsia="仿宋" w:cs="Times New Roman"/>
          <w:b w:val="0"/>
          <w:bCs/>
          <w:color w:val="383838"/>
          <w:sz w:val="32"/>
          <w:shd w:val="clear" w:color="auto" w:fill="FFFFFF"/>
          <w:lang w:val="en-US" w:eastAsia="zh-CN"/>
        </w:rPr>
        <w:t>万元，其中：</w:t>
      </w:r>
      <w:r>
        <w:rPr>
          <w:rFonts w:hint="eastAsia" w:ascii="仿宋_GB2312" w:hAnsi="仿宋_GB2312" w:eastAsia="仿宋_GB2312" w:cs="仿宋_GB2312"/>
          <w:kern w:val="0"/>
          <w:sz w:val="32"/>
          <w:szCs w:val="32"/>
        </w:rPr>
        <w:t>一般公共服务支出</w:t>
      </w:r>
      <w:r>
        <w:rPr>
          <w:rFonts w:hint="eastAsia" w:ascii="仿宋_GB2312" w:hAnsi="仿宋_GB2312" w:eastAsia="仿宋_GB2312" w:cs="仿宋_GB2312"/>
          <w:kern w:val="0"/>
          <w:sz w:val="32"/>
          <w:szCs w:val="32"/>
          <w:lang w:val="en-US" w:eastAsia="zh-CN"/>
        </w:rPr>
        <w:t>413.86</w:t>
      </w:r>
      <w:r>
        <w:rPr>
          <w:rFonts w:hint="eastAsia" w:ascii="仿宋_GB2312" w:hAnsi="仿宋_GB2312" w:eastAsia="仿宋_GB2312" w:cs="仿宋_GB2312"/>
          <w:kern w:val="0"/>
          <w:sz w:val="32"/>
          <w:szCs w:val="32"/>
        </w:rPr>
        <w:t>万元</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lang w:val="en-US" w:eastAsia="zh-CN"/>
        </w:rPr>
        <w:t>对个人和家庭的补助支出193.54万元；资本性支出505.49万元。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项目的开展主要根据县委县政府的安排，绩效总目标和阶段性目标都已按照计划完成，未逾期。所有开支均按照我单位财务管理制度执行，资金的使用严格把关。</w:t>
      </w:r>
    </w:p>
    <w:p>
      <w:pPr>
        <w:spacing w:line="600" w:lineRule="exact"/>
        <w:ind w:firstLine="640" w:firstLineChars="200"/>
        <w:rPr>
          <w:rFonts w:ascii="仿宋_GB2312" w:hAnsi="仿宋_GB2312" w:eastAsia="仿宋_GB2312" w:cs="仿宋_GB2312"/>
          <w:sz w:val="32"/>
          <w:szCs w:val="32"/>
        </w:rPr>
      </w:pPr>
    </w:p>
    <w:p>
      <w:pPr>
        <w:numPr>
          <w:ilvl w:val="0"/>
          <w:numId w:val="0"/>
        </w:numPr>
        <w:spacing w:line="600" w:lineRule="exact"/>
        <w:ind w:left="0" w:leftChars="0" w:firstLine="640" w:firstLineChars="200"/>
        <w:rPr>
          <w:rFonts w:hint="eastAsia" w:ascii="黑体" w:eastAsia="黑体"/>
          <w:sz w:val="32"/>
          <w:szCs w:val="32"/>
        </w:rPr>
      </w:pPr>
      <w:r>
        <w:rPr>
          <w:rFonts w:hint="eastAsia" w:ascii="黑体" w:eastAsia="黑体"/>
          <w:sz w:val="32"/>
          <w:szCs w:val="32"/>
          <w:lang w:val="en-US" w:eastAsia="zh-CN"/>
        </w:rPr>
        <w:t>三、</w:t>
      </w:r>
      <w:r>
        <w:rPr>
          <w:rFonts w:hint="eastAsia" w:ascii="黑体" w:eastAsia="黑体"/>
          <w:sz w:val="32"/>
          <w:szCs w:val="32"/>
        </w:rPr>
        <w:t>绩效评价</w:t>
      </w:r>
      <w:r>
        <w:rPr>
          <w:rFonts w:hint="eastAsia" w:ascii="黑体" w:eastAsia="黑体"/>
          <w:sz w:val="32"/>
          <w:szCs w:val="32"/>
          <w:lang w:val="en-US" w:eastAsia="zh-CN"/>
        </w:rPr>
        <w:t>工作</w:t>
      </w:r>
      <w:r>
        <w:rPr>
          <w:rFonts w:hint="eastAsia" w:ascii="黑体" w:eastAsia="黑体"/>
          <w:sz w:val="32"/>
          <w:szCs w:val="32"/>
        </w:rPr>
        <w:t>情况</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（一）评价目的</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2023年各项工作的开展。</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（二）评价方法</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_GB2312" w:hAnsi="仿宋_GB2312" w:eastAsia="仿宋_GB2312" w:cs="仿宋_GB2312"/>
          <w:kern w:val="0"/>
          <w:sz w:val="32"/>
          <w:szCs w:val="32"/>
        </w:rPr>
        <w:t>根据</w:t>
      </w:r>
      <w:r>
        <w:rPr>
          <w:rFonts w:hint="eastAsia" w:ascii="仿宋_GB2312" w:hAnsi="仿宋_GB2312" w:eastAsia="仿宋_GB2312" w:cs="仿宋_GB2312"/>
          <w:sz w:val="32"/>
          <w:szCs w:val="32"/>
        </w:rPr>
        <w:t>衡南县财政局关于开展202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年度财政资金绩效自评工作的通知（清财绩[202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118</w:t>
      </w:r>
      <w:r>
        <w:rPr>
          <w:rFonts w:hint="eastAsia" w:ascii="仿宋_GB2312" w:hAnsi="仿宋_GB2312" w:eastAsia="仿宋_GB2312" w:cs="仿宋_GB2312"/>
          <w:sz w:val="32"/>
          <w:szCs w:val="32"/>
        </w:rPr>
        <w:t>号）文件精神</w:t>
      </w:r>
      <w:r>
        <w:rPr>
          <w:rFonts w:hint="eastAsia" w:ascii="仿宋_GB2312" w:hAnsi="仿宋_GB2312" w:eastAsia="仿宋_GB2312" w:cs="仿宋_GB2312"/>
          <w:kern w:val="0"/>
          <w:sz w:val="32"/>
          <w:szCs w:val="32"/>
        </w:rPr>
        <w:t>，我镇成立了绩效评价工作组，于202</w:t>
      </w:r>
      <w:r>
        <w:rPr>
          <w:rFonts w:hint="eastAsia" w:ascii="仿宋_GB2312" w:hAnsi="仿宋_GB2312" w:eastAsia="仿宋_GB2312" w:cs="仿宋_GB2312"/>
          <w:kern w:val="0"/>
          <w:sz w:val="32"/>
          <w:szCs w:val="32"/>
          <w:lang w:val="en-US" w:eastAsia="zh-CN"/>
        </w:rPr>
        <w:t>3</w:t>
      </w:r>
      <w:r>
        <w:rPr>
          <w:rFonts w:hint="eastAsia" w:ascii="仿宋_GB2312" w:hAnsi="仿宋_GB2312" w:eastAsia="仿宋_GB2312" w:cs="仿宋_GB2312"/>
          <w:kern w:val="0"/>
          <w:sz w:val="32"/>
          <w:szCs w:val="32"/>
        </w:rPr>
        <w:t>年3月中旬起开展了部门整体支出绩效评价工作，具体工作方法包括：</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1、查阅资料。查阅2023年度预算安排、预算追加、经费支出、资金管理、资产管理等相关文件资料和财务凭证。</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2、核实数据。对2023年度部门整体支出数据的准确性、真实性进行核实，将2023年度部门整体支出情况与2023年度预算情况、2023年度部门整体支出情况进行比较分析。</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3、实地查看。现场查看各类实物资产。</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4、汇总归纳。根据取得的各项数据及文件资料，结合现场评价情况进行综合分析、归纳汇总，填写基础数据表、评价指标评分表。</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5、形成绩效评价报告。</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黑体" w:eastAsia="黑体"/>
          <w:sz w:val="32"/>
          <w:szCs w:val="32"/>
        </w:rPr>
        <w:t>四、</w:t>
      </w:r>
      <w:r>
        <w:rPr>
          <w:rFonts w:hint="eastAsia" w:ascii="黑体" w:eastAsia="黑体"/>
          <w:sz w:val="32"/>
          <w:szCs w:val="32"/>
          <w:lang w:val="en-US" w:eastAsia="zh-CN"/>
        </w:rPr>
        <w:t>部门总体支出</w:t>
      </w:r>
      <w:r>
        <w:rPr>
          <w:rFonts w:hint="eastAsia" w:ascii="黑体" w:eastAsia="黑体"/>
          <w:sz w:val="32"/>
          <w:szCs w:val="32"/>
        </w:rPr>
        <w:t>绩效评价</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kern w:val="2"/>
          <w:sz w:val="32"/>
          <w:szCs w:val="24"/>
          <w:shd w:val="clear" w:color="auto" w:fill="FFFFFF"/>
          <w:lang w:val="en-US" w:eastAsia="zh-CN" w:bidi="ar-SA"/>
        </w:rPr>
        <w:t>2023</w:t>
      </w:r>
      <w:r>
        <w:rPr>
          <w:rFonts w:hint="eastAsia" w:ascii="仿宋" w:hAnsi="仿宋" w:eastAsia="仿宋" w:cs="Times New Roman"/>
          <w:b w:val="0"/>
          <w:bCs/>
          <w:color w:val="383838"/>
          <w:sz w:val="32"/>
          <w:shd w:val="clear" w:color="auto" w:fill="FFFFFF"/>
          <w:lang w:val="en-US" w:eastAsia="zh-CN"/>
        </w:rPr>
        <w:t>年我镇根据年初工作规划及财政预算计划，积极履职、强化管理，较好地完成了年度工作目标。通过加强预算收支管理、不断建立健全内部管理制度、梳理内部管理流程，部门整体支出管理情况得到提升。我镇</w:t>
      </w:r>
      <w:r>
        <w:rPr>
          <w:rFonts w:hint="eastAsia" w:ascii="仿宋" w:hAnsi="仿宋" w:eastAsia="仿宋" w:cs="Times New Roman"/>
          <w:b w:val="0"/>
          <w:bCs/>
          <w:color w:val="383838"/>
          <w:kern w:val="2"/>
          <w:sz w:val="32"/>
          <w:szCs w:val="24"/>
          <w:shd w:val="clear" w:color="auto" w:fill="FFFFFF"/>
          <w:lang w:val="en-US" w:eastAsia="zh-CN" w:bidi="ar-SA"/>
        </w:rPr>
        <w:t>2023</w:t>
      </w:r>
      <w:r>
        <w:rPr>
          <w:rFonts w:hint="eastAsia" w:ascii="仿宋" w:hAnsi="仿宋" w:eastAsia="仿宋" w:cs="Times New Roman"/>
          <w:b w:val="0"/>
          <w:bCs/>
          <w:color w:val="383838"/>
          <w:sz w:val="32"/>
          <w:shd w:val="clear" w:color="auto" w:fill="FFFFFF"/>
          <w:lang w:val="en-US" w:eastAsia="zh-CN"/>
        </w:rPr>
        <w:t>年度部门整体支出绩效评价自评得分为</w:t>
      </w:r>
      <w:r>
        <w:rPr>
          <w:rFonts w:hint="eastAsia" w:ascii="仿宋" w:hAnsi="仿宋" w:eastAsia="仿宋" w:cs="Times New Roman"/>
          <w:b w:val="0"/>
          <w:bCs/>
          <w:color w:val="auto"/>
          <w:sz w:val="32"/>
          <w:shd w:val="clear" w:color="auto" w:fill="FFFFFF"/>
          <w:lang w:val="en-US" w:eastAsia="zh-CN"/>
        </w:rPr>
        <w:t>96</w:t>
      </w:r>
      <w:r>
        <w:rPr>
          <w:rFonts w:hint="eastAsia" w:ascii="仿宋" w:hAnsi="仿宋" w:eastAsia="仿宋" w:cs="Times New Roman"/>
          <w:b w:val="0"/>
          <w:bCs/>
          <w:color w:val="383838"/>
          <w:sz w:val="32"/>
          <w:shd w:val="clear" w:color="auto" w:fill="FFFFFF"/>
          <w:lang w:val="en-US" w:eastAsia="zh-CN"/>
        </w:rPr>
        <w:t>分。具体工作主要体现在以下几个方面：</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二是依法依规公开部门预决算。根据全县部门预决算公开工作统一安排部署，我部公开了</w:t>
      </w:r>
      <w:r>
        <w:rPr>
          <w:rFonts w:hint="eastAsia" w:ascii="仿宋" w:hAnsi="仿宋" w:eastAsia="仿宋" w:cs="Times New Roman"/>
          <w:b w:val="0"/>
          <w:bCs/>
          <w:color w:val="383838"/>
          <w:kern w:val="2"/>
          <w:sz w:val="32"/>
          <w:szCs w:val="24"/>
          <w:shd w:val="clear" w:color="auto" w:fill="FFFFFF"/>
          <w:lang w:val="en-US" w:eastAsia="zh-CN" w:bidi="ar-SA"/>
        </w:rPr>
        <w:t>2023</w:t>
      </w:r>
      <w:r>
        <w:rPr>
          <w:rFonts w:hint="eastAsia" w:ascii="仿宋" w:hAnsi="仿宋" w:eastAsia="仿宋" w:cs="Times New Roman"/>
          <w:b w:val="0"/>
          <w:bCs/>
          <w:color w:val="383838"/>
          <w:sz w:val="32"/>
          <w:shd w:val="clear" w:color="auto" w:fill="FFFFFF"/>
          <w:lang w:val="en-US" w:eastAsia="zh-CN"/>
        </w:rPr>
        <w:t>年部门预算和“三公”经费预算，社会反响良好，圆满完成了“三公”经费预算公开工作。</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三是加强资产管理。建立了资产管理制度，固定资产利用率高于91%，定期进行了资产盘点和资产清理，总体执行情况良好。</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98%。</w:t>
      </w:r>
    </w:p>
    <w:p>
      <w:pPr>
        <w:spacing w:line="600" w:lineRule="exact"/>
        <w:ind w:firstLine="640" w:firstLineChars="200"/>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w:t>
      </w:r>
      <w:r>
        <w:rPr>
          <w:rFonts w:hint="eastAsia" w:ascii="仿宋" w:hAnsi="仿宋" w:eastAsia="仿宋" w:cs="Times New Roman"/>
          <w:b w:val="0"/>
          <w:bCs/>
          <w:color w:val="383838"/>
          <w:kern w:val="2"/>
          <w:sz w:val="32"/>
          <w:szCs w:val="24"/>
          <w:shd w:val="clear" w:color="auto" w:fill="FFFFFF"/>
          <w:lang w:val="en-US" w:eastAsia="zh-CN" w:bidi="ar-SA"/>
        </w:rPr>
        <w:t>2023</w:t>
      </w:r>
      <w:r>
        <w:rPr>
          <w:rFonts w:hint="eastAsia" w:ascii="仿宋" w:hAnsi="仿宋" w:eastAsia="仿宋" w:cs="Times New Roman"/>
          <w:b w:val="0"/>
          <w:bCs/>
          <w:color w:val="383838"/>
          <w:sz w:val="32"/>
          <w:shd w:val="clear" w:color="auto" w:fill="FFFFFF"/>
          <w:lang w:val="en-US" w:eastAsia="zh-CN"/>
        </w:rPr>
        <w:t>年村级转移支付项目支付到达村账村均金额超过县级下达拨付的最低标准，及时、达标的完成了支付，充分保障了村干办公、村委的正常合理支出，得到村干部及民众的好评。项目资金主要用于村组道路修建、维修、硬化，塘坝扩容、加固、硬化，河道清淤、硬化，河坝绿化等农村基础设施建设，方便群众出行，改善饮水、加强灌溉，得到了民众的高度认可 。</w:t>
      </w:r>
    </w:p>
    <w:p>
      <w:pPr>
        <w:spacing w:line="600" w:lineRule="exact"/>
        <w:ind w:firstLine="640" w:firstLineChars="200"/>
        <w:rPr>
          <w:rFonts w:hint="eastAsia" w:ascii="黑体" w:eastAsia="黑体"/>
          <w:sz w:val="32"/>
          <w:szCs w:val="32"/>
        </w:rPr>
      </w:pPr>
      <w:r>
        <w:rPr>
          <w:rFonts w:hint="eastAsia" w:ascii="黑体" w:eastAsia="黑体"/>
          <w:sz w:val="32"/>
          <w:szCs w:val="32"/>
        </w:rPr>
        <w:t>五、存在的主要问题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1.预决算项目支出编制需进一步明确、精细化。同时项目执行率需进一步提高。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spacing w:line="600" w:lineRule="exact"/>
        <w:ind w:firstLine="640" w:firstLineChars="200"/>
        <w:rPr>
          <w:rFonts w:hint="eastAsia" w:ascii="黑体" w:eastAsia="黑体"/>
          <w:sz w:val="32"/>
          <w:szCs w:val="32"/>
        </w:rPr>
      </w:pPr>
      <w:r>
        <w:rPr>
          <w:rFonts w:hint="eastAsia" w:ascii="黑体" w:eastAsia="黑体"/>
          <w:sz w:val="32"/>
          <w:szCs w:val="32"/>
        </w:rPr>
        <w:t>六、改进措施及建议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2、合理安排会计岗位，强烈要求提升村级会计人员工作能力，增加业务知识培训，加强决算工作与财务处理工作对接。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衡南县泉湖镇人民政府</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3" w:lineRule="atLeast"/>
        <w:ind w:left="0" w:right="0" w:firstLine="420"/>
        <w:jc w:val="right"/>
        <w:rPr>
          <w:rFonts w:hint="default"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2024年4月25日 </w:t>
      </w:r>
      <w:bookmarkStart w:id="0" w:name="_GoBack"/>
      <w:bookmarkEnd w:id="0"/>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0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chineseCounting"/>
      <w:suff w:val="nothing"/>
      <w:lvlText w:val="%1、"/>
      <w:lvlJc w:val="left"/>
      <w:pPr>
        <w:ind w:left="1050" w:leftChars="0" w:firstLine="0" w:firstLineChars="0"/>
      </w:pPr>
      <w:rPr>
        <w:rFonts w:hint="eastAsia"/>
      </w:rPr>
    </w:lvl>
  </w:abstractNum>
  <w:abstractNum w:abstractNumId="1">
    <w:nsid w:val="55EFAA59"/>
    <w:multiLevelType w:val="singleLevel"/>
    <w:tmpl w:val="55EFAA59"/>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NlM2NjNzBhYzMzNWM3MWRkMWMzMzJiYzRkYTA2ZmQifQ=="/>
  </w:docVars>
  <w:rsids>
    <w:rsidRoot w:val="00000000"/>
    <w:rsid w:val="00132D35"/>
    <w:rsid w:val="00B61E4D"/>
    <w:rsid w:val="00C823C4"/>
    <w:rsid w:val="030D32C1"/>
    <w:rsid w:val="040A2CF3"/>
    <w:rsid w:val="04D330E5"/>
    <w:rsid w:val="06344057"/>
    <w:rsid w:val="080C528C"/>
    <w:rsid w:val="084C38DA"/>
    <w:rsid w:val="0877668E"/>
    <w:rsid w:val="08805332"/>
    <w:rsid w:val="08993DBF"/>
    <w:rsid w:val="096B7D90"/>
    <w:rsid w:val="09945539"/>
    <w:rsid w:val="0C2C2042"/>
    <w:rsid w:val="0DBC0423"/>
    <w:rsid w:val="0EE64DE3"/>
    <w:rsid w:val="0F0D4910"/>
    <w:rsid w:val="0F144691"/>
    <w:rsid w:val="0F4F334B"/>
    <w:rsid w:val="0F59642D"/>
    <w:rsid w:val="0F964590"/>
    <w:rsid w:val="0FE32D76"/>
    <w:rsid w:val="10673EFE"/>
    <w:rsid w:val="114A0BD3"/>
    <w:rsid w:val="11511F61"/>
    <w:rsid w:val="12333415"/>
    <w:rsid w:val="12753A2E"/>
    <w:rsid w:val="13AF2F6F"/>
    <w:rsid w:val="148443FC"/>
    <w:rsid w:val="16907088"/>
    <w:rsid w:val="182E0907"/>
    <w:rsid w:val="19076A43"/>
    <w:rsid w:val="1A993B46"/>
    <w:rsid w:val="1B917B2A"/>
    <w:rsid w:val="1BC7354C"/>
    <w:rsid w:val="1D45611D"/>
    <w:rsid w:val="1DE546B6"/>
    <w:rsid w:val="1E162569"/>
    <w:rsid w:val="1FF42A09"/>
    <w:rsid w:val="21BF054D"/>
    <w:rsid w:val="220628F4"/>
    <w:rsid w:val="22192627"/>
    <w:rsid w:val="22B76DBB"/>
    <w:rsid w:val="23D22A8E"/>
    <w:rsid w:val="25171927"/>
    <w:rsid w:val="25553977"/>
    <w:rsid w:val="257A54CD"/>
    <w:rsid w:val="260F4462"/>
    <w:rsid w:val="26647F40"/>
    <w:rsid w:val="273E63C6"/>
    <w:rsid w:val="28B60BD0"/>
    <w:rsid w:val="291A3AD9"/>
    <w:rsid w:val="2984482A"/>
    <w:rsid w:val="29DB03AA"/>
    <w:rsid w:val="2ACD6158"/>
    <w:rsid w:val="2C972AC7"/>
    <w:rsid w:val="2D0A14EA"/>
    <w:rsid w:val="2DD26BA4"/>
    <w:rsid w:val="2EEA4BF6"/>
    <w:rsid w:val="303A6F36"/>
    <w:rsid w:val="307B54DF"/>
    <w:rsid w:val="30D469FD"/>
    <w:rsid w:val="311F1372"/>
    <w:rsid w:val="3196560A"/>
    <w:rsid w:val="31C559E0"/>
    <w:rsid w:val="31C83722"/>
    <w:rsid w:val="31D10829"/>
    <w:rsid w:val="341D1C4B"/>
    <w:rsid w:val="343155AF"/>
    <w:rsid w:val="34AC10D9"/>
    <w:rsid w:val="34BF0E0C"/>
    <w:rsid w:val="3546508A"/>
    <w:rsid w:val="368F221D"/>
    <w:rsid w:val="3736112E"/>
    <w:rsid w:val="379E11AD"/>
    <w:rsid w:val="37D90437"/>
    <w:rsid w:val="386046B4"/>
    <w:rsid w:val="3870241E"/>
    <w:rsid w:val="3B017CA0"/>
    <w:rsid w:val="3BD373EE"/>
    <w:rsid w:val="3C261CBA"/>
    <w:rsid w:val="3CB25FB0"/>
    <w:rsid w:val="3E1306BC"/>
    <w:rsid w:val="3ED66130"/>
    <w:rsid w:val="3FA0183A"/>
    <w:rsid w:val="3FE33A81"/>
    <w:rsid w:val="410D4CAE"/>
    <w:rsid w:val="411F37FB"/>
    <w:rsid w:val="42A67168"/>
    <w:rsid w:val="43FA3C0F"/>
    <w:rsid w:val="44C77442"/>
    <w:rsid w:val="454342FE"/>
    <w:rsid w:val="4597548E"/>
    <w:rsid w:val="461079B5"/>
    <w:rsid w:val="48325502"/>
    <w:rsid w:val="49247038"/>
    <w:rsid w:val="49BE123B"/>
    <w:rsid w:val="49D071C0"/>
    <w:rsid w:val="49D07917"/>
    <w:rsid w:val="4ACB7688"/>
    <w:rsid w:val="4CE92A73"/>
    <w:rsid w:val="4E4C612B"/>
    <w:rsid w:val="4F24177D"/>
    <w:rsid w:val="4F7004C1"/>
    <w:rsid w:val="50114099"/>
    <w:rsid w:val="506F7579"/>
    <w:rsid w:val="512247A5"/>
    <w:rsid w:val="519A433C"/>
    <w:rsid w:val="52306A4E"/>
    <w:rsid w:val="523429E2"/>
    <w:rsid w:val="52D65847"/>
    <w:rsid w:val="537868FE"/>
    <w:rsid w:val="53E42395"/>
    <w:rsid w:val="53FF0DCE"/>
    <w:rsid w:val="54064DF3"/>
    <w:rsid w:val="54F2448F"/>
    <w:rsid w:val="55854F77"/>
    <w:rsid w:val="55AE4859"/>
    <w:rsid w:val="56101070"/>
    <w:rsid w:val="56364EDC"/>
    <w:rsid w:val="581A11E5"/>
    <w:rsid w:val="5822508B"/>
    <w:rsid w:val="5875165E"/>
    <w:rsid w:val="59545718"/>
    <w:rsid w:val="59D6437F"/>
    <w:rsid w:val="59E545C2"/>
    <w:rsid w:val="5A252118"/>
    <w:rsid w:val="5ADC3C17"/>
    <w:rsid w:val="5AF26F96"/>
    <w:rsid w:val="5B8A315D"/>
    <w:rsid w:val="5B8A5421"/>
    <w:rsid w:val="5B9C33A6"/>
    <w:rsid w:val="5CF83D31"/>
    <w:rsid w:val="5ED2780B"/>
    <w:rsid w:val="60331E5F"/>
    <w:rsid w:val="60487A2C"/>
    <w:rsid w:val="61243C22"/>
    <w:rsid w:val="61915416"/>
    <w:rsid w:val="61C51262"/>
    <w:rsid w:val="61F77588"/>
    <w:rsid w:val="620A6DAC"/>
    <w:rsid w:val="621C2B4B"/>
    <w:rsid w:val="62CC27C3"/>
    <w:rsid w:val="633A597E"/>
    <w:rsid w:val="63B75221"/>
    <w:rsid w:val="65046244"/>
    <w:rsid w:val="65167A36"/>
    <w:rsid w:val="65DF6369"/>
    <w:rsid w:val="66F95B50"/>
    <w:rsid w:val="68662D72"/>
    <w:rsid w:val="6925087C"/>
    <w:rsid w:val="6A1A6A4B"/>
    <w:rsid w:val="6A611A43"/>
    <w:rsid w:val="6AC65D4A"/>
    <w:rsid w:val="6C88312E"/>
    <w:rsid w:val="6CBD2DD9"/>
    <w:rsid w:val="6FDD303A"/>
    <w:rsid w:val="70543B2B"/>
    <w:rsid w:val="70FE723A"/>
    <w:rsid w:val="71BC3694"/>
    <w:rsid w:val="72A72905"/>
    <w:rsid w:val="73EE04CD"/>
    <w:rsid w:val="74EC45FF"/>
    <w:rsid w:val="754D1541"/>
    <w:rsid w:val="75556648"/>
    <w:rsid w:val="759929D8"/>
    <w:rsid w:val="774712C8"/>
    <w:rsid w:val="77B30D43"/>
    <w:rsid w:val="77D3326F"/>
    <w:rsid w:val="782642CC"/>
    <w:rsid w:val="787777B0"/>
    <w:rsid w:val="78C50A04"/>
    <w:rsid w:val="78C80EDF"/>
    <w:rsid w:val="78F10436"/>
    <w:rsid w:val="79871321"/>
    <w:rsid w:val="7A37631C"/>
    <w:rsid w:val="7AE0471F"/>
    <w:rsid w:val="7B2C31E8"/>
    <w:rsid w:val="7E0E2983"/>
    <w:rsid w:val="7EFF09D6"/>
    <w:rsid w:val="7F6C4CBA"/>
    <w:rsid w:val="7FAF2DF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qFormat/>
    <w:uiPriority w:val="0"/>
  </w:style>
  <w:style w:type="table" w:default="1" w:styleId="4">
    <w:name w:val="Normal Table"/>
    <w:qFormat/>
    <w:uiPriority w:val="0"/>
    <w:tblPr>
      <w:tblCellMar>
        <w:top w:w="0" w:type="dxa"/>
        <w:left w:w="108" w:type="dxa"/>
        <w:bottom w:w="0" w:type="dxa"/>
        <w:right w:w="108" w:type="dxa"/>
      </w:tblCellMar>
    </w:tblPr>
  </w:style>
  <w:style w:type="paragraph" w:styleId="2">
    <w:name w:val="footer"/>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3">
    <w:name w:val="Normal (Web)"/>
    <w:basedOn w:val="1"/>
    <w:qFormat/>
    <w:uiPriority w:val="0"/>
    <w:pPr>
      <w:jc w:val="left"/>
    </w:pPr>
    <w:rPr>
      <w:kern w:val="0"/>
      <w:sz w:val="18"/>
      <w:szCs w:val="18"/>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3677</Words>
  <Characters>3967</Characters>
  <Paragraphs>74</Paragraphs>
  <TotalTime>17</TotalTime>
  <ScaleCrop>false</ScaleCrop>
  <LinksUpToDate>false</LinksUpToDate>
  <CharactersWithSpaces>4583</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2018-01-31T04:49:00Z</dcterms:created>
  <dc:creator>Administrator</dc:creator>
  <cp:lastModifiedBy>lenovo</cp:lastModifiedBy>
  <cp:lastPrinted>2022-05-16T07:42:00Z</cp:lastPrinted>
  <dcterms:modified xsi:type="dcterms:W3CDTF">2024-05-06T03:00:23Z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7CD0CD08D34C488E91C9DA8D1CE96289</vt:lpwstr>
  </property>
</Properties>
</file>