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5D5BF1">
      <w:pPr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衡南县部门整体支出绩效自评报告</w:t>
      </w:r>
    </w:p>
    <w:p w14:paraId="2DE7066B"/>
    <w:p w14:paraId="73975D7B">
      <w:pPr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 20</w:t>
      </w:r>
      <w:r>
        <w:rPr>
          <w:rFonts w:hint="eastAsia" w:ascii="仿宋_GB2312" w:eastAsia="仿宋_GB2312"/>
          <w:sz w:val="32"/>
          <w:szCs w:val="32"/>
          <w:u w:val="single"/>
        </w:rPr>
        <w:t>23</w:t>
      </w:r>
      <w:r>
        <w:rPr>
          <w:rFonts w:hint="eastAsia" w:ascii="仿宋_GB2312" w:eastAsia="仿宋_GB2312"/>
          <w:sz w:val="32"/>
          <w:szCs w:val="32"/>
        </w:rPr>
        <w:t>年度 ）</w:t>
      </w:r>
    </w:p>
    <w:p w14:paraId="3FA483CC"/>
    <w:p w14:paraId="473BF74B"/>
    <w:p w14:paraId="3302BA25"/>
    <w:p w14:paraId="1491FDDE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部门(单位)名称：中共衡南县委组织部      </w:t>
      </w:r>
    </w:p>
    <w:p w14:paraId="60DE4D23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预算编码：139001             </w:t>
      </w:r>
    </w:p>
    <w:p w14:paraId="7D2031B5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评价方式：部门（单位）自评☑  </w:t>
      </w:r>
    </w:p>
    <w:p w14:paraId="52464A07">
      <w:pPr>
        <w:ind w:firstLine="2240" w:firstLineChars="7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中介机构评价□</w:t>
      </w:r>
    </w:p>
    <w:p w14:paraId="12EAFC97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评价机构：部门（单位）评价组☑</w:t>
      </w:r>
    </w:p>
    <w:p w14:paraId="38B8ECD9">
      <w:pPr>
        <w:ind w:firstLine="2240" w:firstLineChars="7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中介机构□</w:t>
      </w:r>
    </w:p>
    <w:p w14:paraId="03288791"/>
    <w:p w14:paraId="2E8F387D"/>
    <w:p w14:paraId="5EF4C69C"/>
    <w:p w14:paraId="585E8671"/>
    <w:p w14:paraId="526B6B92"/>
    <w:p w14:paraId="39061C44"/>
    <w:p w14:paraId="32FE060C"/>
    <w:p w14:paraId="3A02557B"/>
    <w:p w14:paraId="4825FA08"/>
    <w:p w14:paraId="11A9FE95"/>
    <w:p w14:paraId="77252072"/>
    <w:p w14:paraId="22EC12B1">
      <w:pPr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报告日期：   2024 年 05月 10日</w:t>
      </w:r>
    </w:p>
    <w:p w14:paraId="0FCA9798"/>
    <w:p w14:paraId="4ED73771">
      <w:pPr>
        <w:jc w:val="center"/>
        <w:rPr>
          <w:rFonts w:ascii="华文中宋" w:hAnsi="华文中宋" w:eastAsia="华文中宋" w:cs="华文中宋"/>
          <w:sz w:val="42"/>
          <w:szCs w:val="42"/>
        </w:rPr>
      </w:pPr>
    </w:p>
    <w:p w14:paraId="76155505">
      <w:pPr>
        <w:jc w:val="center"/>
        <w:rPr>
          <w:rFonts w:ascii="华文中宋" w:hAnsi="华文中宋" w:eastAsia="华文中宋" w:cs="华文中宋"/>
          <w:sz w:val="42"/>
          <w:szCs w:val="42"/>
        </w:rPr>
      </w:pPr>
    </w:p>
    <w:p w14:paraId="10A8B610">
      <w:pPr>
        <w:jc w:val="center"/>
        <w:rPr>
          <w:rFonts w:ascii="华文中宋" w:hAnsi="华文中宋" w:eastAsia="华文中宋" w:cs="华文中宋"/>
          <w:sz w:val="42"/>
          <w:szCs w:val="42"/>
        </w:rPr>
      </w:pPr>
    </w:p>
    <w:p w14:paraId="38426637">
      <w:pPr>
        <w:rPr>
          <w:rFonts w:ascii="华文中宋" w:hAnsi="华文中宋" w:eastAsia="华文中宋" w:cs="华文中宋"/>
          <w:sz w:val="42"/>
          <w:szCs w:val="42"/>
        </w:rPr>
      </w:pPr>
    </w:p>
    <w:p w14:paraId="6554D843">
      <w:pPr>
        <w:jc w:val="center"/>
        <w:rPr>
          <w:rFonts w:ascii="仿宋" w:hAnsi="仿宋" w:eastAsia="仿宋" w:cs="华文中宋"/>
          <w:sz w:val="42"/>
          <w:szCs w:val="42"/>
        </w:rPr>
      </w:pPr>
      <w:r>
        <w:rPr>
          <w:rFonts w:hint="eastAsia" w:ascii="仿宋" w:hAnsi="仿宋" w:eastAsia="仿宋" w:cs="华文中宋"/>
          <w:sz w:val="42"/>
          <w:szCs w:val="42"/>
        </w:rPr>
        <w:t>2023年中共衡南县委组织部整体支出绩效自评报    告</w:t>
      </w:r>
    </w:p>
    <w:p w14:paraId="3870A677">
      <w:pPr>
        <w:jc w:val="center"/>
        <w:rPr>
          <w:rFonts w:ascii="华文中宋" w:hAnsi="华文中宋" w:eastAsia="华文中宋" w:cs="华文中宋"/>
          <w:sz w:val="42"/>
          <w:szCs w:val="42"/>
        </w:rPr>
      </w:pPr>
    </w:p>
    <w:p w14:paraId="429C3C22">
      <w:pPr>
        <w:widowControl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加强财政预算资金管理，进一步规范预算资金使用，提高财政资金使用效益，根据《衡南县财政局关于开展2023年度县级财政资金绩效自评工作的通知》要求，我单位积极组织，对2023年度本单位整体支出进行了绩效自评，现将具体绩效评价情况报告如下：</w:t>
      </w:r>
    </w:p>
    <w:p w14:paraId="7B7311FA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一、部门基本情况</w:t>
      </w:r>
    </w:p>
    <w:p w14:paraId="78215FB3">
      <w:pPr>
        <w:widowControl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中共衡南县委组织部为全额财政拨款单位，纳入财政会计集中核算和国库集中支付体系，财务制度执行《预算法》、《政府会计制度》。</w:t>
      </w:r>
    </w:p>
    <w:p w14:paraId="0E53009D">
      <w:pPr>
        <w:numPr>
          <w:ilvl w:val="0"/>
          <w:numId w:val="1"/>
        </w:numPr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部门职责</w:t>
      </w:r>
    </w:p>
    <w:p w14:paraId="03BE71D9">
      <w:pPr>
        <w:widowControl/>
        <w:ind w:firstLine="643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 xml:space="preserve">  </w:t>
      </w:r>
      <w:r>
        <w:rPr>
          <w:rFonts w:ascii="仿宋_GB2312" w:eastAsia="仿宋_GB2312"/>
          <w:sz w:val="32"/>
          <w:szCs w:val="32"/>
        </w:rPr>
        <w:t>涉密信息，不予公开。</w:t>
      </w:r>
    </w:p>
    <w:p w14:paraId="39414314">
      <w:pPr>
        <w:widowControl/>
        <w:ind w:firstLine="643" w:firstLineChars="200"/>
        <w:jc w:val="left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（二）机构设置情况</w:t>
      </w:r>
    </w:p>
    <w:p w14:paraId="0A26E40B">
      <w:pPr>
        <w:pStyle w:val="2"/>
        <w:ind w:firstLine="640" w:firstLineChars="200"/>
      </w:pPr>
      <w:r>
        <w:rPr>
          <w:rFonts w:hint="eastAsia" w:ascii="仿宋_GB2312" w:eastAsia="仿宋_GB2312"/>
          <w:sz w:val="32"/>
          <w:szCs w:val="32"/>
        </w:rPr>
        <w:t>我部设12个组室。</w:t>
      </w:r>
      <w:r>
        <w:rPr>
          <w:rFonts w:ascii="仿宋_GB2312" w:eastAsia="仿宋_GB2312"/>
          <w:sz w:val="32"/>
          <w:szCs w:val="32"/>
        </w:rPr>
        <w:t>涉密信息，不予公开</w:t>
      </w:r>
      <w:r>
        <w:rPr>
          <w:rFonts w:ascii="宋体" w:hAnsi="宋体" w:eastAsia="宋体" w:cs="宋体"/>
          <w:color w:val="000000"/>
          <w:sz w:val="32"/>
          <w:szCs w:val="32"/>
        </w:rPr>
        <w:t>。</w:t>
      </w:r>
    </w:p>
    <w:p w14:paraId="2570074F">
      <w:pPr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（三）人员编制情况</w:t>
      </w:r>
    </w:p>
    <w:p w14:paraId="4124796F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截止2023年底全部实有人员共计3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人，其中在职行政编制1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人，参照公务员法管理事业人员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人</w:t>
      </w:r>
      <w:r>
        <w:rPr>
          <w:rFonts w:ascii="仿宋_GB2312" w:eastAsia="仿宋_GB2312"/>
          <w:sz w:val="32"/>
          <w:szCs w:val="32"/>
        </w:rPr>
        <w:t>,</w:t>
      </w:r>
      <w:r>
        <w:rPr>
          <w:rFonts w:hint="eastAsia" w:ascii="仿宋_GB2312" w:eastAsia="仿宋_GB2312"/>
          <w:sz w:val="32"/>
          <w:szCs w:val="32"/>
        </w:rPr>
        <w:t>非参公事业人员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sz w:val="32"/>
          <w:szCs w:val="32"/>
        </w:rPr>
        <w:t>人。</w:t>
      </w:r>
      <w:bookmarkStart w:id="0" w:name="_GoBack"/>
      <w:bookmarkEnd w:id="0"/>
    </w:p>
    <w:p w14:paraId="1779AFD8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二、部门整体支出管理及使用情况</w:t>
      </w:r>
    </w:p>
    <w:p w14:paraId="4D48AD5E">
      <w:pPr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1.部门预算收支情况</w:t>
      </w:r>
    </w:p>
    <w:p w14:paraId="433AA4B7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我部2023年各项支出预算批复包干数为480.98万元（均为公共财政拨款），比上年增加34.15万元，增长7.64%,增减变化的主要原因是：人员经费增长。</w:t>
      </w:r>
    </w:p>
    <w:p w14:paraId="292AC774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我部2023年部门收入决算数为924.50万元，其中一般公共预算财政拨款收入895.40万元,其他收入29.10万元。支出决算数为924.5万元，2023年末无结转结余。</w:t>
      </w:r>
    </w:p>
    <w:p w14:paraId="5F868AAB">
      <w:pPr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2、收入支出分类情况</w:t>
      </w:r>
    </w:p>
    <w:p w14:paraId="554DAA22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（一）支出情况分析</w:t>
      </w:r>
    </w:p>
    <w:p w14:paraId="19514FD3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支出为保障单位机构正常运转、完成日常工作任务而发生的各项支出，包括用于一般公共服务支出、社会保障和就业支出、卫生健康支出、农林水支出、住房保障支出、等日常公用经费。</w:t>
      </w:r>
    </w:p>
    <w:p w14:paraId="339E6D1E">
      <w:pPr>
        <w:widowControl/>
        <w:spacing w:line="560" w:lineRule="exact"/>
        <w:ind w:firstLine="643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1．收入支出与预算对比分析。</w:t>
      </w:r>
    </w:p>
    <w:p w14:paraId="22298345">
      <w:pPr>
        <w:pStyle w:val="2"/>
      </w:pPr>
    </w:p>
    <w:tbl>
      <w:tblPr>
        <w:tblStyle w:val="3"/>
        <w:tblW w:w="90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10"/>
        <w:gridCol w:w="1860"/>
        <w:gridCol w:w="1387"/>
        <w:gridCol w:w="1613"/>
        <w:gridCol w:w="2220"/>
      </w:tblGrid>
      <w:tr w14:paraId="3A72A5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90" w:hRule="atLeast"/>
        </w:trPr>
        <w:tc>
          <w:tcPr>
            <w:tcW w:w="2010" w:type="dxa"/>
            <w:vAlign w:val="center"/>
          </w:tcPr>
          <w:p w14:paraId="341B2C39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科目</w:t>
            </w:r>
          </w:p>
        </w:tc>
        <w:tc>
          <w:tcPr>
            <w:tcW w:w="1860" w:type="dxa"/>
            <w:vAlign w:val="center"/>
          </w:tcPr>
          <w:p w14:paraId="21D7FC30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年初预算（万元）</w:t>
            </w:r>
          </w:p>
        </w:tc>
        <w:tc>
          <w:tcPr>
            <w:tcW w:w="1387" w:type="dxa"/>
            <w:vAlign w:val="center"/>
          </w:tcPr>
          <w:p w14:paraId="226F8078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本年决算（万元）</w:t>
            </w:r>
          </w:p>
        </w:tc>
        <w:tc>
          <w:tcPr>
            <w:tcW w:w="1613" w:type="dxa"/>
            <w:vAlign w:val="center"/>
          </w:tcPr>
          <w:p w14:paraId="5E1FE0DA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增减变化（%）</w:t>
            </w:r>
          </w:p>
        </w:tc>
        <w:tc>
          <w:tcPr>
            <w:tcW w:w="2220" w:type="dxa"/>
            <w:vAlign w:val="center"/>
          </w:tcPr>
          <w:p w14:paraId="7C009EEA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主要原因</w:t>
            </w:r>
          </w:p>
        </w:tc>
      </w:tr>
      <w:tr w14:paraId="5B2BC0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9" w:hRule="atLeast"/>
        </w:trPr>
        <w:tc>
          <w:tcPr>
            <w:tcW w:w="2010" w:type="dxa"/>
            <w:vAlign w:val="center"/>
          </w:tcPr>
          <w:p w14:paraId="09DB0560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合计</w:t>
            </w:r>
          </w:p>
        </w:tc>
        <w:tc>
          <w:tcPr>
            <w:tcW w:w="1860" w:type="dxa"/>
            <w:vAlign w:val="center"/>
          </w:tcPr>
          <w:p w14:paraId="157B0D5B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480.98</w:t>
            </w:r>
          </w:p>
        </w:tc>
        <w:tc>
          <w:tcPr>
            <w:tcW w:w="1387" w:type="dxa"/>
            <w:vAlign w:val="center"/>
          </w:tcPr>
          <w:p w14:paraId="0EE138CC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924.5</w:t>
            </w:r>
          </w:p>
        </w:tc>
        <w:tc>
          <w:tcPr>
            <w:tcW w:w="1613" w:type="dxa"/>
            <w:vAlign w:val="center"/>
          </w:tcPr>
          <w:p w14:paraId="11EF4080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92.21</w:t>
            </w:r>
          </w:p>
        </w:tc>
        <w:tc>
          <w:tcPr>
            <w:tcW w:w="2220" w:type="dxa"/>
            <w:vAlign w:val="center"/>
          </w:tcPr>
          <w:p w14:paraId="15389B2D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增加项目资金</w:t>
            </w:r>
          </w:p>
        </w:tc>
      </w:tr>
      <w:tr w14:paraId="4F854C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2010" w:type="dxa"/>
            <w:vAlign w:val="center"/>
          </w:tcPr>
          <w:p w14:paraId="5A81CE09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一般公共服务支出</w:t>
            </w:r>
          </w:p>
        </w:tc>
        <w:tc>
          <w:tcPr>
            <w:tcW w:w="1860" w:type="dxa"/>
            <w:vAlign w:val="center"/>
          </w:tcPr>
          <w:p w14:paraId="5D662085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405.88</w:t>
            </w:r>
          </w:p>
        </w:tc>
        <w:tc>
          <w:tcPr>
            <w:tcW w:w="1387" w:type="dxa"/>
            <w:vAlign w:val="center"/>
          </w:tcPr>
          <w:p w14:paraId="53950ED6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777.68</w:t>
            </w:r>
          </w:p>
        </w:tc>
        <w:tc>
          <w:tcPr>
            <w:tcW w:w="1613" w:type="dxa"/>
            <w:vAlign w:val="center"/>
          </w:tcPr>
          <w:p w14:paraId="4D3C4DC0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91.60</w:t>
            </w:r>
          </w:p>
        </w:tc>
        <w:tc>
          <w:tcPr>
            <w:tcW w:w="2220" w:type="dxa"/>
            <w:vAlign w:val="center"/>
          </w:tcPr>
          <w:p w14:paraId="66EDAA2B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增加项目资金</w:t>
            </w:r>
          </w:p>
        </w:tc>
      </w:tr>
      <w:tr w14:paraId="25C49E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 w:hRule="atLeast"/>
        </w:trPr>
        <w:tc>
          <w:tcPr>
            <w:tcW w:w="2010" w:type="dxa"/>
            <w:vAlign w:val="center"/>
          </w:tcPr>
          <w:p w14:paraId="012404C3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社会保障和就业支出</w:t>
            </w:r>
          </w:p>
        </w:tc>
        <w:tc>
          <w:tcPr>
            <w:tcW w:w="1860" w:type="dxa"/>
            <w:vAlign w:val="center"/>
          </w:tcPr>
          <w:p w14:paraId="4911C143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51.08</w:t>
            </w:r>
          </w:p>
        </w:tc>
        <w:tc>
          <w:tcPr>
            <w:tcW w:w="1387" w:type="dxa"/>
            <w:vAlign w:val="center"/>
          </w:tcPr>
          <w:p w14:paraId="036E58EE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37.21</w:t>
            </w:r>
          </w:p>
        </w:tc>
        <w:tc>
          <w:tcPr>
            <w:tcW w:w="1613" w:type="dxa"/>
            <w:vAlign w:val="center"/>
          </w:tcPr>
          <w:p w14:paraId="2917B9FF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-27.15</w:t>
            </w:r>
          </w:p>
        </w:tc>
        <w:tc>
          <w:tcPr>
            <w:tcW w:w="2220" w:type="dxa"/>
            <w:vAlign w:val="center"/>
          </w:tcPr>
          <w:p w14:paraId="46FC28E8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减少社会保障和就业支出</w:t>
            </w:r>
          </w:p>
        </w:tc>
      </w:tr>
      <w:tr w14:paraId="5359F1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2010" w:type="dxa"/>
            <w:vAlign w:val="center"/>
          </w:tcPr>
          <w:p w14:paraId="2623A483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卫生健康支出</w:t>
            </w:r>
          </w:p>
        </w:tc>
        <w:tc>
          <w:tcPr>
            <w:tcW w:w="1860" w:type="dxa"/>
            <w:vAlign w:val="center"/>
          </w:tcPr>
          <w:p w14:paraId="3102FCCC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12.72</w:t>
            </w:r>
          </w:p>
        </w:tc>
        <w:tc>
          <w:tcPr>
            <w:tcW w:w="1387" w:type="dxa"/>
            <w:vAlign w:val="center"/>
          </w:tcPr>
          <w:p w14:paraId="2196A3C4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12.72</w:t>
            </w:r>
          </w:p>
        </w:tc>
        <w:tc>
          <w:tcPr>
            <w:tcW w:w="1613" w:type="dxa"/>
            <w:vAlign w:val="center"/>
          </w:tcPr>
          <w:p w14:paraId="01442DD5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20" w:type="dxa"/>
            <w:vAlign w:val="center"/>
          </w:tcPr>
          <w:p w14:paraId="1A84F6A5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14:paraId="553B38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010" w:type="dxa"/>
            <w:vAlign w:val="center"/>
          </w:tcPr>
          <w:p w14:paraId="55463C3E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农林水支出</w:t>
            </w:r>
          </w:p>
        </w:tc>
        <w:tc>
          <w:tcPr>
            <w:tcW w:w="1860" w:type="dxa"/>
            <w:vAlign w:val="center"/>
          </w:tcPr>
          <w:p w14:paraId="0922035A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387" w:type="dxa"/>
            <w:vAlign w:val="center"/>
          </w:tcPr>
          <w:p w14:paraId="092A78A8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35.59</w:t>
            </w:r>
          </w:p>
        </w:tc>
        <w:tc>
          <w:tcPr>
            <w:tcW w:w="1613" w:type="dxa"/>
            <w:vAlign w:val="center"/>
          </w:tcPr>
          <w:p w14:paraId="3E64260F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100</w:t>
            </w:r>
          </w:p>
        </w:tc>
        <w:tc>
          <w:tcPr>
            <w:tcW w:w="2220" w:type="dxa"/>
            <w:vAlign w:val="center"/>
          </w:tcPr>
          <w:p w14:paraId="0F59953E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增加项目资金</w:t>
            </w:r>
          </w:p>
        </w:tc>
      </w:tr>
      <w:tr w14:paraId="641B71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3" w:hRule="atLeast"/>
        </w:trPr>
        <w:tc>
          <w:tcPr>
            <w:tcW w:w="2010" w:type="dxa"/>
            <w:vAlign w:val="center"/>
          </w:tcPr>
          <w:p w14:paraId="1ED99BE9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科学技术支出</w:t>
            </w:r>
          </w:p>
        </w:tc>
        <w:tc>
          <w:tcPr>
            <w:tcW w:w="1860" w:type="dxa"/>
            <w:vAlign w:val="center"/>
          </w:tcPr>
          <w:p w14:paraId="3893CF2C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387" w:type="dxa"/>
            <w:vAlign w:val="center"/>
          </w:tcPr>
          <w:p w14:paraId="60F857FB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50</w:t>
            </w:r>
          </w:p>
        </w:tc>
        <w:tc>
          <w:tcPr>
            <w:tcW w:w="1613" w:type="dxa"/>
            <w:vAlign w:val="center"/>
          </w:tcPr>
          <w:p w14:paraId="029A098D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100</w:t>
            </w:r>
          </w:p>
        </w:tc>
        <w:tc>
          <w:tcPr>
            <w:tcW w:w="2220" w:type="dxa"/>
            <w:vAlign w:val="center"/>
          </w:tcPr>
          <w:p w14:paraId="002E1F86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增加项目资金</w:t>
            </w:r>
          </w:p>
        </w:tc>
      </w:tr>
      <w:tr w14:paraId="6A3E28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53" w:hRule="atLeast"/>
        </w:trPr>
        <w:tc>
          <w:tcPr>
            <w:tcW w:w="2010" w:type="dxa"/>
            <w:vAlign w:val="center"/>
          </w:tcPr>
          <w:p w14:paraId="1B122D2C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住房保障支出</w:t>
            </w:r>
          </w:p>
        </w:tc>
        <w:tc>
          <w:tcPr>
            <w:tcW w:w="1860" w:type="dxa"/>
            <w:vAlign w:val="center"/>
          </w:tcPr>
          <w:p w14:paraId="13E0EE6B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11.30</w:t>
            </w:r>
          </w:p>
        </w:tc>
        <w:tc>
          <w:tcPr>
            <w:tcW w:w="1387" w:type="dxa"/>
            <w:vAlign w:val="center"/>
          </w:tcPr>
          <w:p w14:paraId="34A3D724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11.30</w:t>
            </w:r>
          </w:p>
        </w:tc>
        <w:tc>
          <w:tcPr>
            <w:tcW w:w="1613" w:type="dxa"/>
            <w:vAlign w:val="center"/>
          </w:tcPr>
          <w:p w14:paraId="3CEA742F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20" w:type="dxa"/>
            <w:vAlign w:val="center"/>
          </w:tcPr>
          <w:p w14:paraId="29F4AC0A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 w14:paraId="1B96F3CA">
      <w:pPr>
        <w:pStyle w:val="2"/>
      </w:pPr>
    </w:p>
    <w:p w14:paraId="31154237">
      <w:pPr>
        <w:spacing w:line="520" w:lineRule="exact"/>
        <w:ind w:left="643"/>
        <w:rPr>
          <w:rFonts w:ascii="仿宋" w:hAnsi="仿宋" w:eastAsia="仿宋" w:cs="仿宋"/>
          <w:b/>
          <w:sz w:val="32"/>
          <w:szCs w:val="32"/>
        </w:rPr>
      </w:pPr>
    </w:p>
    <w:p w14:paraId="64DE3AE7">
      <w:pPr>
        <w:numPr>
          <w:ilvl w:val="0"/>
          <w:numId w:val="2"/>
        </w:numPr>
        <w:spacing w:line="520" w:lineRule="exact"/>
        <w:ind w:firstLine="643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收入支出结构分析。</w:t>
      </w:r>
    </w:p>
    <w:p w14:paraId="4191C963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eastAsia="仿宋_GB2312"/>
          <w:sz w:val="32"/>
          <w:szCs w:val="32"/>
        </w:rPr>
        <w:t>023年初预算为480.98万元，实际拨付为924.5万元，上年结转结余0万元。决算总支出为924.5万元。其中</w:t>
      </w:r>
    </w:p>
    <w:tbl>
      <w:tblPr>
        <w:tblStyle w:val="3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720"/>
        <w:gridCol w:w="2595"/>
        <w:gridCol w:w="2580"/>
      </w:tblGrid>
      <w:tr w14:paraId="3488754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3720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</w:tcPr>
          <w:p w14:paraId="654EBD86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项目</w:t>
            </w:r>
          </w:p>
        </w:tc>
        <w:tc>
          <w:tcPr>
            <w:tcW w:w="2595" w:type="dxa"/>
            <w:tcBorders>
              <w:top w:val="single" w:color="000000" w:sz="12" w:space="0"/>
              <w:left w:val="nil"/>
              <w:bottom w:val="single" w:color="000000" w:sz="12" w:space="0"/>
              <w:right w:val="single" w:color="000000" w:sz="12" w:space="0"/>
            </w:tcBorders>
          </w:tcPr>
          <w:p w14:paraId="2D4D2B2C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金额（万元）</w:t>
            </w:r>
          </w:p>
        </w:tc>
        <w:tc>
          <w:tcPr>
            <w:tcW w:w="2580" w:type="dxa"/>
            <w:tcBorders>
              <w:top w:val="single" w:color="000000" w:sz="12" w:space="0"/>
              <w:left w:val="nil"/>
              <w:bottom w:val="single" w:color="000000" w:sz="12" w:space="0"/>
              <w:right w:val="single" w:color="000000" w:sz="12" w:space="0"/>
            </w:tcBorders>
          </w:tcPr>
          <w:p w14:paraId="33CF172C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占比（%）</w:t>
            </w:r>
          </w:p>
        </w:tc>
      </w:tr>
      <w:tr w14:paraId="72DE147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 w14:paraId="37F9C3D4">
            <w:pPr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一、基本支出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5EEA799B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243.01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6BCCAD91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26.29</w:t>
            </w:r>
          </w:p>
        </w:tc>
      </w:tr>
      <w:tr w14:paraId="2553DD7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 w14:paraId="6B6049D5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人员经费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16329567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222.16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5DF9EB33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14:paraId="11500B0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 w14:paraId="069F1FD3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日常公用经费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60D49825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20.85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72E29D36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14:paraId="7647DC9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 w14:paraId="779E51CD">
            <w:pPr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二、项目支出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5F32D4DF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681.49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0096E4F9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73.71</w:t>
            </w:r>
          </w:p>
        </w:tc>
      </w:tr>
      <w:tr w14:paraId="5867394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 w14:paraId="2368D4B4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其中：基本建设类项目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  <w:vAlign w:val="center"/>
          </w:tcPr>
          <w:p w14:paraId="3A787358">
            <w:pPr>
              <w:jc w:val="center"/>
              <w:textAlignment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</w:tcPr>
          <w:p w14:paraId="268C1869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</w:p>
        </w:tc>
      </w:tr>
      <w:tr w14:paraId="01728CF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3720" w:type="dxa"/>
            <w:tcBorders>
              <w:top w:val="nil"/>
              <w:left w:val="single" w:color="000000" w:sz="12" w:space="0"/>
              <w:bottom w:val="single" w:color="000000" w:sz="12" w:space="0"/>
              <w:right w:val="single" w:color="000000" w:sz="12" w:space="0"/>
            </w:tcBorders>
          </w:tcPr>
          <w:p w14:paraId="18BC6913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合计</w:t>
            </w:r>
          </w:p>
        </w:tc>
        <w:tc>
          <w:tcPr>
            <w:tcW w:w="2595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</w:tcPr>
          <w:p w14:paraId="729015E4">
            <w:pPr>
              <w:jc w:val="center"/>
              <w:textAlignment w:val="top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924.5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000000" w:sz="12" w:space="0"/>
              <w:right w:val="single" w:color="000000" w:sz="12" w:space="0"/>
            </w:tcBorders>
          </w:tcPr>
          <w:p w14:paraId="2D6F46B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 w14:paraId="3983F9FB">
      <w:pPr>
        <w:pStyle w:val="2"/>
      </w:pPr>
    </w:p>
    <w:p w14:paraId="10318ACF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所有开支均按照我部财务管理制度执行，资金使用严格把关。</w:t>
      </w:r>
    </w:p>
    <w:p w14:paraId="39DCD5D5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（二）“三公”经费情况</w:t>
      </w:r>
    </w:p>
    <w:p w14:paraId="27CFF09A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部“三公”经费各费用均控制在预算范围内，且较预算金额有不同程度的结余。其中：因公出国出境费用本年未发生经费支出，实际支出为0；公务接待费预算3.2万元，实际为1.57万元；低于年初预算数，我部严控公务接待，控制在预算之内。公务用车0万元。</w:t>
      </w:r>
    </w:p>
    <w:p w14:paraId="073FF5F4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（三）政府性基金收支情况</w:t>
      </w:r>
    </w:p>
    <w:p w14:paraId="75EFE1C1">
      <w:pPr>
        <w:ind w:firstLine="640" w:firstLineChars="200"/>
        <w:rPr>
          <w:rFonts w:ascii="仿宋_GB2312" w:hAnsi="华文中宋" w:eastAsia="仿宋_GB2312"/>
          <w:sz w:val="32"/>
          <w:szCs w:val="32"/>
        </w:rPr>
      </w:pPr>
      <w:r>
        <w:rPr>
          <w:rFonts w:hint="eastAsia" w:ascii="仿宋_GB2312" w:hAnsi="华文中宋" w:eastAsia="仿宋_GB2312"/>
          <w:sz w:val="32"/>
          <w:szCs w:val="32"/>
        </w:rPr>
        <w:t>我部2023年政府性基金收支安排经费为零.</w:t>
      </w:r>
    </w:p>
    <w:p w14:paraId="181AEEA2">
      <w:pPr>
        <w:spacing w:line="520" w:lineRule="exact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（四）本年度部门决算等财务工作开展情况</w:t>
      </w:r>
    </w:p>
    <w:p w14:paraId="02223615">
      <w:pPr>
        <w:spacing w:line="52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1.财务管理。</w:t>
      </w:r>
    </w:p>
    <w:p w14:paraId="4DADD636"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2023年我部财务工作在部领导的正确领导下，在县财政局的正确指导下，认真贯彻落实国家各项财经法律法规，切实加强财务管理，进一步降低了财务风险，规范了有关经费开支，较好的支撑了部机关各项工作的顺利开展，全年预算执行情况良好，并顺利通过了各项审计。我部认真组织2023年决算工作，严格按照县决算工会会议要求，安排专人认真及时地编制决算报表。</w:t>
      </w:r>
    </w:p>
    <w:p w14:paraId="01CB9CDC">
      <w:pPr>
        <w:spacing w:line="52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2.公开情况。</w:t>
      </w:r>
    </w:p>
    <w:p w14:paraId="2B97EBEA"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本部门（单位）决算公开工作、主管部门对所属单位按规定批复决算工作开展情况。</w:t>
      </w:r>
    </w:p>
    <w:p w14:paraId="5EC4777D">
      <w:pPr>
        <w:spacing w:line="52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我部对决算将依规公开。</w:t>
      </w:r>
    </w:p>
    <w:p w14:paraId="36B5F3E2">
      <w:pPr>
        <w:spacing w:line="52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3.国有资产占用使用情况。</w:t>
      </w:r>
    </w:p>
    <w:p w14:paraId="67EA2363">
      <w:pPr>
        <w:spacing w:line="520" w:lineRule="exact"/>
        <w:ind w:firstLine="640" w:firstLineChars="200"/>
        <w:rPr>
          <w:rFonts w:asciiTheme="minorEastAsia" w:hAnsiTheme="minorEastAsia" w:cstheme="minorEastAsia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截至2023年12月31日，本单位共有车辆0辆，其中，领导干部用车0辆、机要通信用车0辆、应急保障用车0辆、执法执勤用车0辆、特种专业技术用车0辆、其他用车0辆；单位价值50万元以上通用设备0台（套）；单位价值100万元以上专用设备0台（套）。</w:t>
      </w:r>
    </w:p>
    <w:p w14:paraId="19B7C045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三、部门整体支出绩效评价情况</w:t>
      </w:r>
    </w:p>
    <w:p w14:paraId="75B6E532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（一）评价目的</w:t>
      </w:r>
    </w:p>
    <w:p w14:paraId="2EC239C1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通过全面开展财政支出绩效评价，强化财政支出绩效理念，科学合理编制年度预算，切实发挥财政资金源配置作用，逐步建立以科学理财为基础，以精细化管理为手段，以评价结果为导向，以实施过程为监管对象的预算管理体系。</w:t>
      </w:r>
    </w:p>
    <w:p w14:paraId="34482943">
      <w:pPr>
        <w:numPr>
          <w:ilvl w:val="0"/>
          <w:numId w:val="3"/>
        </w:num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评价方法</w:t>
      </w:r>
    </w:p>
    <w:p w14:paraId="4947D0CB"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衡南县财政局相关会议精神，我部开展了部门整体支出绩效评价工作，具体工作方法包括：1、查阅资料。查阅2023年预算按排、预算追加、经费支出、资金管理、资产管理等相关文件和财务凭证。2、核实数据。对2023年度部门整体支出数据的准确性、真实性进行核实，将2023年度部门整体支出情况与2023年度预算情况、2023年度部门整体支出情况进行比较分析。3、实地查看。现场查看各类事务资产。4、汇总归纳。根据取得的各项数据及文件资料，结合现场评价情况进行综合分析、归纳汇总，填写基础数据表、评价指标评分表。5、形成绩效评价报告。</w:t>
      </w:r>
    </w:p>
    <w:p w14:paraId="33B7B7AA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2023年，根据我部年初工作规划和重点性工作，围绕县委、县政府中心工作，积极履职，强化管理，较好的完成了年度工作目标。通过加强预算收支的管理，不断建立健全内部管</w:t>
      </w:r>
      <w:r>
        <w:rPr>
          <w:rFonts w:hint="eastAsia" w:ascii="仿宋_GB2312" w:hAnsi="仿宋_GB2312" w:eastAsia="仿宋_GB2312" w:cs="仿宋_GB2312"/>
          <w:sz w:val="32"/>
          <w:szCs w:val="32"/>
        </w:rPr>
        <w:t>理制度，理顺内部管理流程，部门整体支出管理情况得到了提升。部门整体支出绩效情况如下：</w:t>
      </w:r>
    </w:p>
    <w:p w14:paraId="3F9DC19F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1、在职人员控制率：100%。</w:t>
      </w:r>
    </w:p>
    <w:p w14:paraId="78452302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2、“三公经费”控制率：-5%。严格控制“三公经费”支出，开源节流。</w:t>
      </w:r>
    </w:p>
    <w:p w14:paraId="281DD3B6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3、预算完成率：100%。</w:t>
      </w:r>
    </w:p>
    <w:p w14:paraId="2F7E7B85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4、政府采购执行率：100%。</w:t>
      </w:r>
    </w:p>
    <w:p w14:paraId="0407BE07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5、在资金管理上，我部制定了一系列的财务管理制度。</w:t>
      </w:r>
    </w:p>
    <w:p w14:paraId="3BB24876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四、存在的主要问题</w:t>
      </w:r>
    </w:p>
    <w:p w14:paraId="3FC24B19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财政拨款前2个月基本是保人员经费及正常运转进行，项目经费拨款基本快到下半年，所以有错开用款。</w:t>
      </w:r>
    </w:p>
    <w:p w14:paraId="76A6F0B2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2、预算决算项目支出编制需进一步明确、精细化。同时项目执行率需进一步提高。</w:t>
      </w:r>
    </w:p>
    <w:p w14:paraId="7675A3D3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五、改进措施及建议</w:t>
      </w:r>
    </w:p>
    <w:p w14:paraId="5B65D330">
      <w:pPr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一是建议加强财务管理，严格财务审核，提高财务人员素质。</w:t>
      </w:r>
      <w:r>
        <w:rPr>
          <w:rFonts w:hint="eastAsia" w:ascii="仿宋_GB2312" w:hAnsi="仿宋_GB2312" w:eastAsia="仿宋_GB2312" w:cs="仿宋_GB2312"/>
          <w:sz w:val="32"/>
          <w:szCs w:val="32"/>
        </w:rPr>
        <w:t>对财务人员进行培训，提高财务人员素质，加强单位财务管理，健全单位财务管理制度体系，规范单位财务行为。在费用报账支付时，按照预算规定的费用项目和用途进行资金使用审核、财务严格核算，杜绝超支现象的发生。</w:t>
      </w:r>
    </w:p>
    <w:p w14:paraId="03E76296">
      <w:pPr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二是建议进一步加强内部机构的预算管理意识。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严格按照预算编制的相关制度和要求，进一步提高预算编制的科学性、合理性、严谨性和可控性，在日常预算管理过程中，进一步加强预算支出的审核、跟踪及预算执行情况分析。</w:t>
      </w:r>
    </w:p>
    <w:p w14:paraId="71AFB94B"/>
    <w:sectPr>
      <w:footerReference r:id="rId3" w:type="default"/>
      <w:pgSz w:w="11906" w:h="16838"/>
      <w:pgMar w:top="1701" w:right="1701" w:bottom="1701" w:left="1701" w:header="851" w:footer="119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911E01">
    <w:pPr>
      <w:pStyle w:val="2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 w14:paraId="6D2F499C">
                <w:pPr>
                  <w:pStyle w:val="2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6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6E2474E"/>
    <w:multiLevelType w:val="multilevel"/>
    <w:tmpl w:val="C6E2474E"/>
    <w:lvl w:ilvl="0" w:tentative="0">
      <w:start w:val="2"/>
      <w:numFmt w:val="decimal"/>
      <w:suff w:val="nothing"/>
      <w:lvlText w:val="%1．"/>
      <w:lvlJc w:val="left"/>
      <w:rPr>
        <w:rFonts w:hint="default"/>
        <w:u w:val="none"/>
      </w:rPr>
    </w:lvl>
    <w:lvl w:ilvl="1" w:tentative="0">
      <w:start w:val="1"/>
      <w:numFmt w:val="decimal"/>
      <w:lvlText w:val=""/>
      <w:lvlJc w:val="left"/>
      <w:rPr>
        <w:rFonts w:hint="default"/>
        <w:u w:val="none"/>
      </w:rPr>
    </w:lvl>
    <w:lvl w:ilvl="2" w:tentative="0">
      <w:start w:val="1"/>
      <w:numFmt w:val="decimal"/>
      <w:lvlText w:val=""/>
      <w:lvlJc w:val="left"/>
      <w:rPr>
        <w:rFonts w:hint="default"/>
        <w:u w:val="none"/>
      </w:rPr>
    </w:lvl>
    <w:lvl w:ilvl="3" w:tentative="0">
      <w:start w:val="1"/>
      <w:numFmt w:val="decimal"/>
      <w:lvlText w:val=""/>
      <w:lvlJc w:val="left"/>
      <w:rPr>
        <w:rFonts w:hint="default"/>
        <w:u w:val="none"/>
      </w:rPr>
    </w:lvl>
    <w:lvl w:ilvl="4" w:tentative="0">
      <w:start w:val="1"/>
      <w:numFmt w:val="decimal"/>
      <w:lvlText w:val=""/>
      <w:lvlJc w:val="left"/>
      <w:rPr>
        <w:rFonts w:hint="default"/>
        <w:u w:val="none"/>
      </w:rPr>
    </w:lvl>
    <w:lvl w:ilvl="5" w:tentative="0">
      <w:start w:val="1"/>
      <w:numFmt w:val="decimal"/>
      <w:lvlText w:val=""/>
      <w:lvlJc w:val="left"/>
      <w:rPr>
        <w:rFonts w:hint="default"/>
        <w:u w:val="none"/>
      </w:rPr>
    </w:lvl>
    <w:lvl w:ilvl="6" w:tentative="0">
      <w:start w:val="1"/>
      <w:numFmt w:val="decimal"/>
      <w:lvlText w:val=""/>
      <w:lvlJc w:val="left"/>
      <w:rPr>
        <w:rFonts w:hint="default"/>
        <w:u w:val="none"/>
      </w:rPr>
    </w:lvl>
    <w:lvl w:ilvl="7" w:tentative="0">
      <w:start w:val="1"/>
      <w:numFmt w:val="decimal"/>
      <w:lvlText w:val=""/>
      <w:lvlJc w:val="left"/>
      <w:rPr>
        <w:rFonts w:hint="default"/>
        <w:u w:val="none"/>
      </w:rPr>
    </w:lvl>
    <w:lvl w:ilvl="8" w:tentative="0">
      <w:start w:val="1"/>
      <w:numFmt w:val="decimal"/>
      <w:lvlText w:val=""/>
      <w:lvlJc w:val="left"/>
      <w:rPr>
        <w:rFonts w:hint="default"/>
        <w:u w:val="none"/>
      </w:rPr>
    </w:lvl>
  </w:abstractNum>
  <w:abstractNum w:abstractNumId="1">
    <w:nsid w:val="CFCA6817"/>
    <w:multiLevelType w:val="singleLevel"/>
    <w:tmpl w:val="CFCA681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F28075B4"/>
    <w:multiLevelType w:val="singleLevel"/>
    <w:tmpl w:val="F28075B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zY0N2ZiNGU4NTVkODA3M2EzNjViNWE5MzAxZGFlYmUifQ=="/>
  </w:docVars>
  <w:rsids>
    <w:rsidRoot w:val="00041E0F"/>
    <w:rsid w:val="00041E0F"/>
    <w:rsid w:val="00135973"/>
    <w:rsid w:val="0018161B"/>
    <w:rsid w:val="0027799E"/>
    <w:rsid w:val="003E5CE4"/>
    <w:rsid w:val="00476789"/>
    <w:rsid w:val="00580F3C"/>
    <w:rsid w:val="007D1D6F"/>
    <w:rsid w:val="007D5EE5"/>
    <w:rsid w:val="008707F5"/>
    <w:rsid w:val="00991604"/>
    <w:rsid w:val="009F4A87"/>
    <w:rsid w:val="00A20142"/>
    <w:rsid w:val="00A65308"/>
    <w:rsid w:val="00BE0B91"/>
    <w:rsid w:val="01580547"/>
    <w:rsid w:val="02211C11"/>
    <w:rsid w:val="03A374B0"/>
    <w:rsid w:val="0C2C6AD6"/>
    <w:rsid w:val="0C6C516D"/>
    <w:rsid w:val="0CEF6437"/>
    <w:rsid w:val="0E96074A"/>
    <w:rsid w:val="0EAF2A15"/>
    <w:rsid w:val="12260F4D"/>
    <w:rsid w:val="1A0075C7"/>
    <w:rsid w:val="1AE00C69"/>
    <w:rsid w:val="1B895D6C"/>
    <w:rsid w:val="219A2B27"/>
    <w:rsid w:val="282E014B"/>
    <w:rsid w:val="298A4273"/>
    <w:rsid w:val="2AB41BC0"/>
    <w:rsid w:val="316126A8"/>
    <w:rsid w:val="31E62B06"/>
    <w:rsid w:val="3495780F"/>
    <w:rsid w:val="35F80CE6"/>
    <w:rsid w:val="3DE05F9A"/>
    <w:rsid w:val="43970ED1"/>
    <w:rsid w:val="4B8B7843"/>
    <w:rsid w:val="4C1155A8"/>
    <w:rsid w:val="5256666E"/>
    <w:rsid w:val="5AC30C9A"/>
    <w:rsid w:val="5C90445F"/>
    <w:rsid w:val="5E4B4A5F"/>
    <w:rsid w:val="62BB1865"/>
    <w:rsid w:val="62D374A8"/>
    <w:rsid w:val="6593598D"/>
    <w:rsid w:val="6DE704B1"/>
    <w:rsid w:val="6FAC7C04"/>
    <w:rsid w:val="79355192"/>
    <w:rsid w:val="7A9F7EE5"/>
    <w:rsid w:val="7ADB5A88"/>
    <w:rsid w:val="7B6D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2456</Words>
  <Characters>2693</Characters>
  <Lines>20</Lines>
  <Paragraphs>5</Paragraphs>
  <TotalTime>125</TotalTime>
  <ScaleCrop>false</ScaleCrop>
  <LinksUpToDate>false</LinksUpToDate>
  <CharactersWithSpaces>2737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2022-04-24T14:54:00Z</dcterms:created>
  <dc:creator>TXRPC</dc:creator>
  <cp:lastModifiedBy>Administrator</cp:lastModifiedBy>
  <dcterms:modified xsi:type="dcterms:W3CDTF">2024-10-17T09:15:55Z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08D34BF25729421CBE2C529EECEDB538</vt:lpwstr>
  </property>
</Properties>
</file>