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B6DCA26">
      <w:pPr>
        <w:spacing w:line="520" w:lineRule="exact"/>
        <w:jc w:val="center"/>
        <w:rPr>
          <w:rFonts w:ascii="宋体" w:hAnsi="宋体" w:eastAsia="宋体" w:cs="宋体"/>
          <w:b/>
          <w:bCs/>
          <w:sz w:val="36"/>
          <w:szCs w:val="36"/>
        </w:rPr>
      </w:pPr>
    </w:p>
    <w:p w14:paraId="13508DB5">
      <w:pPr>
        <w:spacing w:line="520" w:lineRule="exact"/>
        <w:jc w:val="center"/>
        <w:rPr>
          <w:rFonts w:hint="eastAsia" w:ascii="楷体" w:hAnsi="楷体" w:eastAsia="楷体" w:cs="楷体"/>
          <w:b/>
          <w:sz w:val="32"/>
          <w:szCs w:val="32"/>
        </w:rPr>
      </w:pPr>
      <w:r>
        <w:rPr>
          <w:rFonts w:hint="eastAsia" w:ascii="楷体" w:hAnsi="楷体" w:eastAsia="楷体" w:cs="楷体"/>
          <w:b/>
          <w:sz w:val="32"/>
          <w:szCs w:val="32"/>
        </w:rPr>
        <w:t>共青团衡南县委员会</w:t>
      </w:r>
    </w:p>
    <w:p w14:paraId="173B2A99">
      <w:pPr>
        <w:spacing w:line="520" w:lineRule="exact"/>
        <w:jc w:val="center"/>
        <w:rPr>
          <w:rFonts w:ascii="华文楷体" w:hAnsi="华文楷体" w:eastAsia="华文楷体" w:cs="宋体"/>
          <w:b/>
          <w:bCs/>
          <w:sz w:val="32"/>
          <w:szCs w:val="32"/>
        </w:rPr>
      </w:pPr>
      <w:r>
        <w:rPr>
          <w:rFonts w:hint="eastAsia" w:ascii="华文楷体" w:hAnsi="华文楷体" w:eastAsia="华文楷体" w:cs="宋体"/>
          <w:b/>
          <w:bCs/>
          <w:sz w:val="32"/>
          <w:szCs w:val="32"/>
        </w:rPr>
        <w:t>部门整体支出绩效报告</w:t>
      </w:r>
    </w:p>
    <w:p w14:paraId="10C944DA">
      <w:pPr>
        <w:spacing w:before="100" w:beforeAutospacing="1" w:after="100" w:afterAutospacing="1" w:line="720" w:lineRule="atLeast"/>
        <w:ind w:firstLine="640" w:firstLineChars="200"/>
        <w:jc w:val="left"/>
        <w:outlineLvl w:val="2"/>
        <w:rPr>
          <w:rFonts w:ascii="仿宋" w:hAnsi="仿宋" w:eastAsia="仿宋" w:cs="仿宋"/>
          <w:kern w:val="32"/>
          <w:sz w:val="32"/>
          <w:szCs w:val="32"/>
        </w:rPr>
      </w:pPr>
      <w:r>
        <w:rPr>
          <w:rFonts w:hint="eastAsia" w:ascii="仿宋" w:hAnsi="仿宋" w:eastAsia="仿宋" w:cs="仿宋"/>
          <w:kern w:val="0"/>
          <w:sz w:val="32"/>
          <w:szCs w:val="32"/>
        </w:rPr>
        <w:t>为切实加强财政资金管理，进一步规范预算资金使用，提高财政资金使用效益，根据《中共湖南省委办公厅 湖南省人民政府办公厅关于全面实施预算绩效管理的实施意见</w:t>
      </w:r>
      <w:r>
        <w:rPr>
          <w:rFonts w:hint="eastAsia" w:ascii="仿宋" w:hAnsi="仿宋" w:eastAsia="仿宋" w:cs="仿宋"/>
          <w:color w:val="000000"/>
          <w:kern w:val="0"/>
          <w:sz w:val="32"/>
          <w:szCs w:val="32"/>
        </w:rPr>
        <w:t>》（湘办发[2019]10号）、财政部《项目支出绩效评价管理办法》（财预[2020]10号）、</w:t>
      </w:r>
      <w:r>
        <w:rPr>
          <w:rFonts w:hint="eastAsia" w:ascii="仿宋" w:hAnsi="仿宋" w:eastAsia="仿宋" w:cs="仿宋"/>
          <w:color w:val="000000"/>
          <w:sz w:val="32"/>
          <w:szCs w:val="32"/>
        </w:rPr>
        <w:t>《湖南省预算支出绩效评价管理办法》（湘财绩[</w:t>
      </w:r>
      <w:r>
        <w:rPr>
          <w:rFonts w:hint="eastAsia" w:ascii="仿宋" w:hAnsi="仿宋" w:eastAsia="仿宋" w:cs="仿宋"/>
          <w:color w:val="000000"/>
          <w:kern w:val="0"/>
          <w:sz w:val="32"/>
          <w:szCs w:val="32"/>
        </w:rPr>
        <w:t>2020]7号</w:t>
      </w:r>
      <w:r>
        <w:rPr>
          <w:rFonts w:hint="eastAsia" w:ascii="仿宋" w:hAnsi="仿宋" w:eastAsia="仿宋" w:cs="仿宋"/>
          <w:color w:val="000000"/>
          <w:sz w:val="32"/>
          <w:szCs w:val="32"/>
        </w:rPr>
        <w:t>）、《中共衡南县委办 县政府办关于印发衡南县预算绩效管理实施办法》（清办发[2022]22号）、《衡南县财政局关于开展2023年度财政资金绩效自评工作的通知》（</w:t>
      </w:r>
      <w:r>
        <w:rPr>
          <w:rFonts w:hint="eastAsia" w:ascii="仿宋" w:hAnsi="仿宋" w:eastAsia="仿宋" w:cs="仿宋"/>
          <w:bCs/>
          <w:color w:val="000000"/>
          <w:sz w:val="32"/>
          <w:szCs w:val="32"/>
        </w:rPr>
        <w:t>清财绩</w:t>
      </w:r>
      <w:r>
        <w:rPr>
          <w:rFonts w:hint="eastAsia" w:ascii="仿宋" w:hAnsi="仿宋" w:eastAsia="仿宋" w:cs="仿宋"/>
          <w:color w:val="000000"/>
          <w:sz w:val="32"/>
          <w:szCs w:val="32"/>
        </w:rPr>
        <w:t>〔2024〕</w:t>
      </w:r>
      <w:r>
        <w:rPr>
          <w:rFonts w:hint="eastAsia" w:ascii="仿宋" w:hAnsi="仿宋" w:eastAsia="仿宋" w:cs="仿宋"/>
          <w:bCs/>
          <w:color w:val="000000"/>
          <w:sz w:val="32"/>
          <w:szCs w:val="32"/>
        </w:rPr>
        <w:t>53号</w:t>
      </w:r>
      <w:r>
        <w:rPr>
          <w:rFonts w:hint="eastAsia" w:ascii="仿宋" w:hAnsi="仿宋" w:eastAsia="仿宋" w:cs="仿宋"/>
          <w:color w:val="000000"/>
          <w:sz w:val="32"/>
          <w:szCs w:val="32"/>
        </w:rPr>
        <w:t>）等文</w:t>
      </w:r>
      <w:r>
        <w:rPr>
          <w:rFonts w:hint="eastAsia" w:ascii="仿宋" w:hAnsi="仿宋" w:eastAsia="仿宋" w:cs="仿宋"/>
          <w:sz w:val="32"/>
          <w:szCs w:val="32"/>
        </w:rPr>
        <w:t>件精神要求，我办领导高度重视，该项工作进行了安排部署，</w:t>
      </w:r>
      <w:r>
        <w:rPr>
          <w:rFonts w:hint="eastAsia" w:ascii="仿宋" w:hAnsi="仿宋" w:eastAsia="仿宋" w:cs="仿宋"/>
          <w:kern w:val="32"/>
          <w:sz w:val="32"/>
          <w:szCs w:val="32"/>
        </w:rPr>
        <w:t>现将我办2023年度部门整体支出绩效自评工作汇报如下：</w:t>
      </w:r>
    </w:p>
    <w:p w14:paraId="1F4716C6">
      <w:pPr>
        <w:numPr>
          <w:ilvl w:val="0"/>
          <w:numId w:val="1"/>
        </w:numPr>
        <w:adjustRightInd w:val="0"/>
        <w:snapToGrid w:val="0"/>
        <w:spacing w:line="560" w:lineRule="exact"/>
        <w:ind w:left="640"/>
        <w:rPr>
          <w:rFonts w:ascii="仿宋" w:hAnsi="仿宋" w:eastAsia="仿宋" w:cs="仿宋"/>
          <w:b/>
          <w:sz w:val="32"/>
          <w:szCs w:val="32"/>
        </w:rPr>
      </w:pPr>
      <w:r>
        <w:rPr>
          <w:rFonts w:hint="eastAsia" w:ascii="仿宋" w:hAnsi="仿宋" w:eastAsia="仿宋" w:cs="仿宋"/>
          <w:b/>
          <w:sz w:val="32"/>
          <w:szCs w:val="32"/>
        </w:rPr>
        <w:t>基本情况</w:t>
      </w:r>
    </w:p>
    <w:p w14:paraId="612C6247">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（一）主要职能</w:t>
      </w:r>
    </w:p>
    <w:p w14:paraId="59BD2962">
      <w:pPr>
        <w:ind w:firstLine="643" w:firstLineChars="200"/>
        <w:jc w:val="left"/>
        <w:rPr>
          <w:rFonts w:ascii="仿宋" w:hAnsi="仿宋" w:eastAsia="仿宋" w:cs="仿宋"/>
          <w:sz w:val="32"/>
          <w:szCs w:val="32"/>
        </w:rPr>
      </w:pPr>
      <w:r>
        <w:rPr>
          <w:rFonts w:hint="eastAsia" w:ascii="仿宋" w:hAnsi="仿宋" w:eastAsia="仿宋" w:cs="仿宋"/>
          <w:b/>
          <w:bCs/>
          <w:sz w:val="32"/>
          <w:szCs w:val="32"/>
        </w:rPr>
        <w:t>主要职能：</w:t>
      </w:r>
      <w:r>
        <w:rPr>
          <w:rFonts w:hint="eastAsia" w:ascii="仿宋" w:hAnsi="仿宋" w:eastAsia="仿宋" w:cs="仿宋"/>
          <w:color w:val="000000"/>
          <w:kern w:val="0"/>
          <w:sz w:val="32"/>
          <w:szCs w:val="32"/>
        </w:rPr>
        <w:t xml:space="preserve">1、行使中共衡南县委赋予的领导全县共青团和少先队工作的职权，对全县性青年社团组织进行指导和管理。 </w:t>
      </w:r>
    </w:p>
    <w:p w14:paraId="35F8F20E">
      <w:pPr>
        <w:ind w:firstLine="640" w:firstLineChars="200"/>
        <w:jc w:val="left"/>
        <w:rPr>
          <w:rFonts w:ascii="仿宋" w:hAnsi="仿宋" w:eastAsia="仿宋" w:cs="仿宋"/>
          <w:sz w:val="32"/>
          <w:szCs w:val="32"/>
        </w:rPr>
      </w:pPr>
      <w:r>
        <w:rPr>
          <w:rFonts w:hint="eastAsia" w:ascii="仿宋" w:hAnsi="仿宋" w:eastAsia="仿宋" w:cs="仿宋"/>
          <w:color w:val="000000"/>
          <w:kern w:val="0"/>
          <w:sz w:val="32"/>
          <w:szCs w:val="32"/>
        </w:rPr>
        <w:t xml:space="preserve">2、参与制定青少年事业发展规划和青少年工作方针、政策。对青少年活动阵地和青少年服务机构的建设进行规划和管理。 </w:t>
      </w:r>
    </w:p>
    <w:p w14:paraId="0941A012">
      <w:pPr>
        <w:ind w:firstLine="640" w:firstLineChars="200"/>
        <w:jc w:val="left"/>
        <w:rPr>
          <w:rFonts w:ascii="仿宋" w:hAnsi="仿宋" w:eastAsia="仿宋" w:cs="仿宋"/>
          <w:sz w:val="32"/>
          <w:szCs w:val="32"/>
        </w:rPr>
      </w:pPr>
      <w:r>
        <w:rPr>
          <w:rFonts w:hint="eastAsia" w:ascii="仿宋" w:hAnsi="仿宋" w:eastAsia="仿宋" w:cs="仿宋"/>
          <w:color w:val="000000"/>
          <w:kern w:val="0"/>
          <w:sz w:val="32"/>
          <w:szCs w:val="32"/>
        </w:rPr>
        <w:t xml:space="preserve">3、参与有关青少年事务的法律和法规的制定和实施，协 助县委、县政府处理、协调与青少年利益相关的事务。 </w:t>
      </w:r>
    </w:p>
    <w:p w14:paraId="44815229">
      <w:pPr>
        <w:ind w:firstLine="640" w:firstLineChars="200"/>
        <w:jc w:val="left"/>
        <w:rPr>
          <w:rFonts w:ascii="仿宋" w:hAnsi="仿宋" w:eastAsia="仿宋" w:cs="仿宋"/>
          <w:sz w:val="32"/>
          <w:szCs w:val="32"/>
        </w:rPr>
      </w:pPr>
      <w:r>
        <w:rPr>
          <w:rFonts w:hint="eastAsia" w:ascii="仿宋" w:hAnsi="仿宋" w:eastAsia="仿宋" w:cs="仿宋"/>
          <w:color w:val="000000"/>
          <w:kern w:val="0"/>
          <w:sz w:val="32"/>
          <w:szCs w:val="32"/>
        </w:rPr>
        <w:t xml:space="preserve">4、调查青年思想动态和青年工作状况，研究青少年运动 、青少年工作理论和思想教育问题，提出相应对策，开展各种 活动。 </w:t>
      </w:r>
    </w:p>
    <w:p w14:paraId="7F7974BA">
      <w:pPr>
        <w:ind w:firstLine="640" w:firstLineChars="200"/>
        <w:jc w:val="left"/>
        <w:rPr>
          <w:rFonts w:ascii="仿宋" w:hAnsi="仿宋" w:eastAsia="仿宋" w:cs="仿宋"/>
          <w:sz w:val="32"/>
          <w:szCs w:val="32"/>
        </w:rPr>
      </w:pPr>
      <w:r>
        <w:rPr>
          <w:rFonts w:hint="eastAsia" w:ascii="仿宋" w:hAnsi="仿宋" w:eastAsia="仿宋" w:cs="仿宋"/>
          <w:color w:val="000000"/>
          <w:kern w:val="0"/>
          <w:sz w:val="32"/>
          <w:szCs w:val="32"/>
        </w:rPr>
        <w:t xml:space="preserve">5、协助政府教育部门做好中、小学生的教育管理工作， </w:t>
      </w:r>
    </w:p>
    <w:p w14:paraId="5A3B8A76">
      <w:pPr>
        <w:ind w:firstLine="320" w:firstLineChars="100"/>
        <w:jc w:val="left"/>
        <w:rPr>
          <w:rFonts w:ascii="仿宋" w:hAnsi="仿宋" w:eastAsia="仿宋" w:cs="仿宋"/>
          <w:sz w:val="32"/>
          <w:szCs w:val="32"/>
        </w:rPr>
      </w:pPr>
      <w:r>
        <w:rPr>
          <w:rFonts w:hint="eastAsia" w:ascii="仿宋" w:hAnsi="仿宋" w:eastAsia="仿宋" w:cs="仿宋"/>
          <w:color w:val="000000"/>
          <w:kern w:val="0"/>
          <w:sz w:val="32"/>
          <w:szCs w:val="32"/>
        </w:rPr>
        <w:t xml:space="preserve">维护学校稳定和社会安定团结。 </w:t>
      </w:r>
    </w:p>
    <w:p w14:paraId="072201AE">
      <w:pPr>
        <w:ind w:firstLine="640" w:firstLineChars="200"/>
        <w:jc w:val="left"/>
        <w:rPr>
          <w:rFonts w:ascii="仿宋" w:hAnsi="仿宋" w:eastAsia="仿宋" w:cs="仿宋"/>
          <w:sz w:val="32"/>
          <w:szCs w:val="32"/>
        </w:rPr>
      </w:pPr>
      <w:r>
        <w:rPr>
          <w:rFonts w:hint="eastAsia" w:ascii="仿宋" w:hAnsi="仿宋" w:eastAsia="仿宋" w:cs="仿宋"/>
          <w:color w:val="000000"/>
          <w:kern w:val="0"/>
          <w:sz w:val="32"/>
          <w:szCs w:val="32"/>
        </w:rPr>
        <w:t xml:space="preserve">6、在全县经济建设中，组织和带领青年发挥生力军和突击队作用。 </w:t>
      </w:r>
    </w:p>
    <w:p w14:paraId="1B8CB57C">
      <w:pPr>
        <w:ind w:firstLine="640" w:firstLineChars="200"/>
        <w:jc w:val="left"/>
        <w:rPr>
          <w:rFonts w:ascii="仿宋" w:hAnsi="仿宋" w:eastAsia="仿宋" w:cs="仿宋"/>
          <w:sz w:val="32"/>
          <w:szCs w:val="32"/>
        </w:rPr>
      </w:pPr>
      <w:r>
        <w:rPr>
          <w:rFonts w:hint="eastAsia" w:ascii="仿宋" w:hAnsi="仿宋" w:eastAsia="仿宋" w:cs="仿宋"/>
          <w:color w:val="000000"/>
          <w:kern w:val="0"/>
          <w:sz w:val="32"/>
          <w:szCs w:val="32"/>
        </w:rPr>
        <w:t xml:space="preserve">7、负责青少年外事和县内外青少年交流工作，做好青年统战对象的团结教育工作。 </w:t>
      </w:r>
    </w:p>
    <w:p w14:paraId="324CD0D2">
      <w:pPr>
        <w:ind w:firstLine="640" w:firstLineChars="200"/>
        <w:jc w:val="left"/>
        <w:rPr>
          <w:rFonts w:eastAsia="Times New Roman"/>
          <w:sz w:val="32"/>
        </w:rPr>
      </w:pPr>
      <w:r>
        <w:rPr>
          <w:rFonts w:hint="eastAsia" w:ascii="仿宋" w:hAnsi="仿宋" w:eastAsia="仿宋" w:cs="仿宋"/>
          <w:color w:val="000000"/>
          <w:kern w:val="0"/>
          <w:sz w:val="32"/>
          <w:szCs w:val="32"/>
        </w:rPr>
        <w:t xml:space="preserve">8、承担县委、县政府交办的有关事项。 </w:t>
      </w:r>
    </w:p>
    <w:p w14:paraId="28AD85BF">
      <w:pPr>
        <w:numPr>
          <w:ilvl w:val="0"/>
          <w:numId w:val="2"/>
        </w:num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机构设置情况</w:t>
      </w:r>
    </w:p>
    <w:p w14:paraId="58B63ABE">
      <w:pPr>
        <w:numPr>
          <w:ilvl w:val="0"/>
          <w:numId w:val="0"/>
        </w:numPr>
        <w:spacing w:line="560" w:lineRule="exact"/>
        <w:ind w:firstLine="643" w:firstLineChars="200"/>
        <w:rPr>
          <w:rFonts w:ascii="仿宋" w:hAnsi="仿宋" w:eastAsia="仿宋"/>
          <w:sz w:val="32"/>
          <w:szCs w:val="32"/>
        </w:rPr>
      </w:pPr>
      <w:r>
        <w:rPr>
          <w:rFonts w:hint="eastAsia" w:ascii="仿宋" w:hAnsi="仿宋" w:eastAsia="仿宋" w:cs="仿宋"/>
          <w:b/>
          <w:bCs/>
          <w:sz w:val="32"/>
          <w:szCs w:val="32"/>
        </w:rPr>
        <w:t>机构情况：</w:t>
      </w:r>
      <w:r>
        <w:rPr>
          <w:rFonts w:hint="eastAsia" w:ascii="仿宋" w:hAnsi="仿宋" w:eastAsia="仿宋" w:cs="仿宋"/>
          <w:bCs/>
          <w:color w:val="000000"/>
          <w:sz w:val="32"/>
          <w:szCs w:val="32"/>
        </w:rPr>
        <w:t>2023年本单位</w:t>
      </w:r>
      <w:r>
        <w:rPr>
          <w:rFonts w:hint="eastAsia" w:ascii="仿宋" w:hAnsi="仿宋" w:eastAsia="仿宋"/>
          <w:sz w:val="32"/>
          <w:szCs w:val="22"/>
        </w:rPr>
        <w:t>机构情况。</w:t>
      </w:r>
      <w:r>
        <w:rPr>
          <w:rFonts w:hint="eastAsia" w:ascii="仿宋" w:hAnsi="仿宋" w:eastAsia="仿宋"/>
          <w:sz w:val="32"/>
          <w:szCs w:val="32"/>
        </w:rPr>
        <w:t>内设2个职能部（室），分别为办公室（加挂希望工程办公室、学少权益部牌子）、组织宣传部。新成立事业单位衡南县青少年服务中心。</w:t>
      </w:r>
    </w:p>
    <w:p w14:paraId="2E2E8029">
      <w:pPr>
        <w:numPr>
          <w:ilvl w:val="0"/>
          <w:numId w:val="3"/>
        </w:numPr>
        <w:adjustRightInd w:val="0"/>
        <w:snapToGrid w:val="0"/>
        <w:spacing w:line="560" w:lineRule="exact"/>
        <w:ind w:firstLine="640"/>
        <w:contextualSpacing/>
        <w:rPr>
          <w:rFonts w:ascii="仿宋" w:hAnsi="仿宋" w:eastAsia="仿宋" w:cs="仿宋"/>
          <w:sz w:val="32"/>
          <w:szCs w:val="32"/>
        </w:rPr>
      </w:pPr>
      <w:r>
        <w:rPr>
          <w:rFonts w:hint="eastAsia" w:ascii="仿宋" w:hAnsi="仿宋" w:eastAsia="仿宋" w:cs="仿宋"/>
          <w:sz w:val="32"/>
          <w:szCs w:val="32"/>
        </w:rPr>
        <w:t>人员编制情况</w:t>
      </w:r>
    </w:p>
    <w:p w14:paraId="5FA413CC">
      <w:pPr>
        <w:adjustRightInd w:val="0"/>
        <w:snapToGrid w:val="0"/>
        <w:spacing w:line="560" w:lineRule="exact"/>
        <w:ind w:firstLine="640" w:firstLineChars="200"/>
        <w:rPr>
          <w:rFonts w:hint="eastAsia" w:ascii="仿宋" w:hAnsi="仿宋" w:eastAsia="仿宋"/>
          <w:sz w:val="32"/>
        </w:rPr>
      </w:pPr>
      <w:r>
        <w:rPr>
          <w:rFonts w:hint="eastAsia" w:ascii="仿宋" w:hAnsi="仿宋" w:eastAsia="仿宋" w:cs="仿宋"/>
          <w:bCs/>
          <w:color w:val="000000"/>
          <w:sz w:val="32"/>
          <w:szCs w:val="32"/>
        </w:rPr>
        <w:t>本单位</w:t>
      </w:r>
      <w:r>
        <w:rPr>
          <w:rFonts w:hint="eastAsia" w:ascii="仿宋" w:hAnsi="仿宋" w:eastAsia="仿宋"/>
          <w:sz w:val="32"/>
        </w:rPr>
        <w:t>人员情况。2023年本单位年未实有人数</w:t>
      </w:r>
      <w:r>
        <w:rPr>
          <w:rFonts w:hint="eastAsia" w:ascii="仿宋" w:hAnsi="仿宋" w:eastAsia="仿宋"/>
          <w:sz w:val="28"/>
        </w:rPr>
        <w:t>3</w:t>
      </w:r>
      <w:r>
        <w:rPr>
          <w:rFonts w:hint="eastAsia" w:ascii="仿宋" w:hAnsi="仿宋" w:eastAsia="仿宋"/>
          <w:sz w:val="32"/>
        </w:rPr>
        <w:t>人，与上年人员未变动 。</w:t>
      </w:r>
    </w:p>
    <w:p w14:paraId="58DACE36">
      <w:pPr>
        <w:adjustRightInd w:val="0"/>
        <w:snapToGrid w:val="0"/>
        <w:spacing w:line="560" w:lineRule="exact"/>
        <w:ind w:firstLine="643" w:firstLineChars="200"/>
        <w:rPr>
          <w:rFonts w:ascii="仿宋" w:hAnsi="仿宋" w:eastAsia="仿宋" w:cs="仿宋"/>
          <w:b/>
          <w:sz w:val="32"/>
          <w:szCs w:val="32"/>
        </w:rPr>
      </w:pPr>
      <w:r>
        <w:rPr>
          <w:rFonts w:hint="eastAsia" w:ascii="仿宋" w:hAnsi="仿宋" w:eastAsia="仿宋" w:cs="仿宋"/>
          <w:b/>
          <w:sz w:val="32"/>
          <w:szCs w:val="32"/>
        </w:rPr>
        <w:t>部门整体支出管理及使用情况</w:t>
      </w:r>
    </w:p>
    <w:p w14:paraId="4B97E8A9">
      <w:pPr>
        <w:numPr>
          <w:ilvl w:val="0"/>
          <w:numId w:val="4"/>
        </w:numPr>
        <w:adjustRightInd w:val="0"/>
        <w:snapToGrid w:val="0"/>
        <w:spacing w:line="560" w:lineRule="exact"/>
        <w:ind w:left="640"/>
        <w:rPr>
          <w:rFonts w:ascii="仿宋" w:hAnsi="仿宋" w:eastAsia="仿宋" w:cs="仿宋"/>
          <w:b/>
          <w:sz w:val="32"/>
          <w:szCs w:val="32"/>
        </w:rPr>
      </w:pPr>
      <w:r>
        <w:rPr>
          <w:rFonts w:hint="eastAsia" w:ascii="仿宋" w:hAnsi="仿宋" w:eastAsia="仿宋" w:cs="仿宋"/>
          <w:b/>
          <w:sz w:val="32"/>
          <w:szCs w:val="32"/>
        </w:rPr>
        <w:t>部门预算收支情况：</w:t>
      </w:r>
    </w:p>
    <w:p w14:paraId="5B88A8B2">
      <w:pPr>
        <w:spacing w:line="520" w:lineRule="exact"/>
        <w:ind w:firstLine="643"/>
        <w:rPr>
          <w:rFonts w:ascii="仿宋" w:hAnsi="仿宋" w:eastAsia="仿宋" w:cs="仿宋"/>
          <w:b/>
          <w:sz w:val="32"/>
          <w:szCs w:val="32"/>
        </w:rPr>
      </w:pPr>
      <w:r>
        <w:rPr>
          <w:rFonts w:hint="eastAsia" w:ascii="仿宋" w:hAnsi="仿宋" w:eastAsia="仿宋" w:cs="仿宋"/>
          <w:b/>
          <w:sz w:val="32"/>
          <w:szCs w:val="32"/>
        </w:rPr>
        <w:t>（1）收入支出预算安排情况。</w:t>
      </w:r>
    </w:p>
    <w:p w14:paraId="61E75ADB">
      <w:pPr>
        <w:spacing w:line="520" w:lineRule="exact"/>
        <w:ind w:firstLine="640"/>
        <w:rPr>
          <w:rFonts w:ascii="仿宋" w:hAnsi="仿宋" w:eastAsia="仿宋"/>
          <w:sz w:val="32"/>
        </w:rPr>
      </w:pPr>
      <w:r>
        <w:rPr>
          <w:rFonts w:hint="eastAsia" w:ascii="仿宋" w:hAnsi="仿宋" w:eastAsia="仿宋"/>
          <w:sz w:val="32"/>
        </w:rPr>
        <w:t>2023年，本部门年初预算收入</w:t>
      </w:r>
      <w:r>
        <w:rPr>
          <w:rFonts w:hint="eastAsia" w:cs="宋体" w:asciiTheme="minorEastAsia" w:hAnsiTheme="minorEastAsia"/>
          <w:color w:val="000000"/>
          <w:sz w:val="32"/>
          <w:szCs w:val="32"/>
        </w:rPr>
        <w:t>80.34</w:t>
      </w:r>
      <w:r>
        <w:rPr>
          <w:rFonts w:hint="eastAsia" w:ascii="仿宋" w:hAnsi="仿宋" w:eastAsia="仿宋"/>
          <w:sz w:val="32"/>
        </w:rPr>
        <w:t>万元，比上年减少2.88万元，减少了3.59</w:t>
      </w:r>
      <w:r>
        <w:rPr>
          <w:rFonts w:hint="eastAsia" w:ascii="仿宋" w:hAnsi="仿宋" w:eastAsia="仿宋"/>
          <w:sz w:val="32"/>
          <w:lang w:val="zh-CN"/>
        </w:rPr>
        <w:t>%，</w:t>
      </w:r>
      <w:r>
        <w:rPr>
          <w:rFonts w:hint="eastAsia" w:ascii="仿宋" w:hAnsi="仿宋" w:eastAsia="仿宋"/>
          <w:sz w:val="32"/>
        </w:rPr>
        <w:t>减少</w:t>
      </w:r>
      <w:r>
        <w:rPr>
          <w:rFonts w:hint="eastAsia" w:ascii="仿宋" w:hAnsi="仿宋" w:eastAsia="仿宋"/>
          <w:sz w:val="32"/>
          <w:lang w:val="zh-CN"/>
        </w:rPr>
        <w:t>变化的主要原因是：预算减少</w:t>
      </w:r>
      <w:r>
        <w:rPr>
          <w:rFonts w:hint="eastAsia" w:ascii="仿宋" w:hAnsi="仿宋" w:eastAsia="仿宋"/>
          <w:sz w:val="32"/>
        </w:rPr>
        <w:t>。其中：基本支出年初预算</w:t>
      </w:r>
      <w:r>
        <w:rPr>
          <w:rFonts w:hint="eastAsia" w:ascii="仿宋" w:hAnsi="仿宋" w:eastAsia="仿宋"/>
          <w:sz w:val="28"/>
        </w:rPr>
        <w:t>26.33</w:t>
      </w:r>
      <w:r>
        <w:rPr>
          <w:rFonts w:hint="eastAsia" w:ascii="仿宋" w:hAnsi="仿宋" w:eastAsia="仿宋"/>
          <w:sz w:val="32"/>
        </w:rPr>
        <w:t>万元，</w:t>
      </w:r>
      <w:r>
        <w:rPr>
          <w:rFonts w:hint="eastAsia" w:ascii="仿宋" w:hAnsi="仿宋" w:eastAsia="仿宋"/>
          <w:color w:val="000000"/>
          <w:sz w:val="32"/>
        </w:rPr>
        <w:t>追加团体一般行政管理事务经费11.01万元；项目支出年初预算26万，追加</w:t>
      </w:r>
      <w:r>
        <w:rPr>
          <w:rFonts w:hint="eastAsia" w:ascii="仿宋" w:hAnsi="仿宋" w:eastAsia="仿宋"/>
          <w:sz w:val="32"/>
          <w:lang w:val="zh-CN"/>
        </w:rPr>
        <w:t>其他单位拨款资助的</w:t>
      </w:r>
      <w:r>
        <w:rPr>
          <w:rFonts w:hint="eastAsia" w:ascii="仿宋" w:hAnsi="仿宋" w:eastAsia="仿宋"/>
          <w:sz w:val="32"/>
        </w:rPr>
        <w:t>项目</w:t>
      </w:r>
      <w:r>
        <w:rPr>
          <w:rFonts w:hint="eastAsia" w:ascii="仿宋" w:hAnsi="仿宋" w:eastAsia="仿宋"/>
          <w:sz w:val="32"/>
          <w:lang w:val="zh-CN"/>
        </w:rPr>
        <w:t>活动经费</w:t>
      </w:r>
      <w:r>
        <w:rPr>
          <w:rFonts w:hint="eastAsia" w:ascii="仿宋" w:hAnsi="仿宋" w:eastAsia="仿宋"/>
          <w:sz w:val="32"/>
        </w:rPr>
        <w:t>16.99万元。</w:t>
      </w:r>
    </w:p>
    <w:p w14:paraId="296CB53B">
      <w:pPr>
        <w:pStyle w:val="12"/>
        <w:numPr>
          <w:ilvl w:val="0"/>
          <w:numId w:val="5"/>
        </w:numPr>
        <w:spacing w:line="520" w:lineRule="exact"/>
        <w:ind w:firstLineChars="0"/>
        <w:rPr>
          <w:rFonts w:ascii="仿宋" w:hAnsi="仿宋" w:eastAsia="仿宋" w:cs="仿宋"/>
          <w:b/>
          <w:sz w:val="32"/>
          <w:szCs w:val="32"/>
        </w:rPr>
      </w:pPr>
      <w:r>
        <w:rPr>
          <w:rFonts w:hint="eastAsia" w:ascii="仿宋" w:hAnsi="仿宋" w:eastAsia="仿宋" w:cs="仿宋"/>
          <w:b/>
          <w:sz w:val="32"/>
          <w:szCs w:val="32"/>
        </w:rPr>
        <w:t>收入支出预算执行情况。</w:t>
      </w:r>
    </w:p>
    <w:p w14:paraId="1A8AA636">
      <w:pPr>
        <w:spacing w:line="360" w:lineRule="auto"/>
        <w:ind w:firstLine="480" w:firstLineChars="150"/>
        <w:rPr>
          <w:rFonts w:ascii="仿宋" w:hAnsi="仿宋" w:eastAsia="仿宋"/>
          <w:sz w:val="32"/>
        </w:rPr>
      </w:pPr>
      <w:r>
        <w:rPr>
          <w:rFonts w:hint="eastAsia" w:ascii="仿宋" w:hAnsi="仿宋" w:eastAsia="仿宋"/>
          <w:sz w:val="32"/>
        </w:rPr>
        <w:t>1、2023年，本部门年初预算收入</w:t>
      </w:r>
      <w:r>
        <w:rPr>
          <w:rFonts w:hint="eastAsia" w:cs="宋体" w:asciiTheme="minorEastAsia" w:hAnsiTheme="minorEastAsia"/>
          <w:color w:val="000000"/>
          <w:sz w:val="32"/>
          <w:szCs w:val="32"/>
        </w:rPr>
        <w:t>80.34</w:t>
      </w:r>
      <w:r>
        <w:rPr>
          <w:rFonts w:hint="eastAsia" w:ascii="仿宋" w:hAnsi="仿宋" w:eastAsia="仿宋"/>
          <w:sz w:val="32"/>
        </w:rPr>
        <w:t>万元，比上年减少2.88万元，减少了3.59</w:t>
      </w:r>
      <w:r>
        <w:rPr>
          <w:rFonts w:hint="eastAsia" w:ascii="仿宋" w:hAnsi="仿宋" w:eastAsia="仿宋"/>
          <w:sz w:val="32"/>
          <w:lang w:val="zh-CN"/>
        </w:rPr>
        <w:t>%，</w:t>
      </w:r>
      <w:r>
        <w:rPr>
          <w:rFonts w:hint="eastAsia" w:ascii="仿宋" w:hAnsi="仿宋" w:eastAsia="仿宋"/>
          <w:sz w:val="32"/>
        </w:rPr>
        <w:t>减少</w:t>
      </w:r>
      <w:r>
        <w:rPr>
          <w:rFonts w:hint="eastAsia" w:ascii="仿宋" w:hAnsi="仿宋" w:eastAsia="仿宋"/>
          <w:sz w:val="32"/>
          <w:lang w:val="zh-CN"/>
        </w:rPr>
        <w:t>变化的主要原因是：预算减少</w:t>
      </w:r>
      <w:r>
        <w:rPr>
          <w:rFonts w:hint="eastAsia" w:ascii="仿宋" w:hAnsi="仿宋" w:eastAsia="仿宋"/>
          <w:sz w:val="32"/>
        </w:rPr>
        <w:t>。其中：基本支出年初预算</w:t>
      </w:r>
      <w:r>
        <w:rPr>
          <w:rFonts w:hint="eastAsia" w:ascii="仿宋" w:hAnsi="仿宋" w:eastAsia="仿宋"/>
          <w:sz w:val="28"/>
        </w:rPr>
        <w:t>26.33</w:t>
      </w:r>
      <w:r>
        <w:rPr>
          <w:rFonts w:hint="eastAsia" w:ascii="仿宋" w:hAnsi="仿宋" w:eastAsia="仿宋"/>
          <w:sz w:val="32"/>
        </w:rPr>
        <w:t>万元，</w:t>
      </w:r>
      <w:r>
        <w:rPr>
          <w:rFonts w:hint="eastAsia" w:ascii="仿宋" w:hAnsi="仿宋" w:eastAsia="仿宋"/>
          <w:color w:val="000000"/>
          <w:sz w:val="32"/>
        </w:rPr>
        <w:t>追加团体一般行政管理事务经费11.01万元；项目支出年初预算26万，追加</w:t>
      </w:r>
      <w:r>
        <w:rPr>
          <w:rFonts w:hint="eastAsia" w:ascii="仿宋" w:hAnsi="仿宋" w:eastAsia="仿宋"/>
          <w:sz w:val="32"/>
          <w:lang w:val="zh-CN"/>
        </w:rPr>
        <w:t>其他单位拨款资助的</w:t>
      </w:r>
      <w:r>
        <w:rPr>
          <w:rFonts w:hint="eastAsia" w:ascii="仿宋" w:hAnsi="仿宋" w:eastAsia="仿宋"/>
          <w:sz w:val="32"/>
        </w:rPr>
        <w:t>项目</w:t>
      </w:r>
      <w:r>
        <w:rPr>
          <w:rFonts w:hint="eastAsia" w:ascii="仿宋" w:hAnsi="仿宋" w:eastAsia="仿宋"/>
          <w:sz w:val="32"/>
          <w:lang w:val="zh-CN"/>
        </w:rPr>
        <w:t>活动经费</w:t>
      </w:r>
      <w:r>
        <w:rPr>
          <w:rFonts w:hint="eastAsia" w:ascii="仿宋" w:hAnsi="仿宋" w:eastAsia="仿宋"/>
          <w:sz w:val="32"/>
        </w:rPr>
        <w:t>16.99万元；政府性基金预算财政拨款收入年初预算</w:t>
      </w:r>
      <w:r>
        <w:rPr>
          <w:rFonts w:hint="eastAsia" w:ascii="仿宋" w:hAnsi="仿宋" w:eastAsia="仿宋"/>
          <w:sz w:val="28"/>
        </w:rPr>
        <w:t>0</w:t>
      </w:r>
      <w:r>
        <w:rPr>
          <w:rFonts w:hint="eastAsia" w:ascii="仿宋" w:hAnsi="仿宋" w:eastAsia="仿宋"/>
          <w:sz w:val="32"/>
        </w:rPr>
        <w:t>万元；上级补助收入年初预算</w:t>
      </w:r>
      <w:r>
        <w:rPr>
          <w:rFonts w:hint="eastAsia" w:ascii="仿宋" w:hAnsi="仿宋" w:eastAsia="仿宋"/>
          <w:sz w:val="28"/>
        </w:rPr>
        <w:t>0</w:t>
      </w:r>
      <w:r>
        <w:rPr>
          <w:rFonts w:hint="eastAsia" w:ascii="仿宋" w:hAnsi="仿宋" w:eastAsia="仿宋"/>
          <w:sz w:val="32"/>
        </w:rPr>
        <w:t>万元，比上年增减</w:t>
      </w:r>
      <w:r>
        <w:rPr>
          <w:rFonts w:hint="eastAsia" w:ascii="仿宋" w:hAnsi="仿宋" w:eastAsia="仿宋"/>
          <w:sz w:val="28"/>
        </w:rPr>
        <w:t>0</w:t>
      </w:r>
      <w:r>
        <w:rPr>
          <w:rFonts w:hint="eastAsia" w:ascii="仿宋" w:hAnsi="仿宋" w:eastAsia="仿宋"/>
          <w:sz w:val="32"/>
        </w:rPr>
        <w:t>万元；事业收入年初预算</w:t>
      </w:r>
      <w:r>
        <w:rPr>
          <w:rFonts w:hint="eastAsia" w:ascii="仿宋" w:hAnsi="仿宋" w:eastAsia="仿宋"/>
          <w:sz w:val="28"/>
        </w:rPr>
        <w:t>0</w:t>
      </w:r>
      <w:r>
        <w:rPr>
          <w:rFonts w:hint="eastAsia" w:ascii="仿宋" w:hAnsi="仿宋" w:eastAsia="仿宋"/>
          <w:sz w:val="32"/>
        </w:rPr>
        <w:t>万元，比上年增减</w:t>
      </w:r>
      <w:r>
        <w:rPr>
          <w:rFonts w:hint="eastAsia" w:ascii="仿宋" w:hAnsi="仿宋" w:eastAsia="仿宋"/>
          <w:sz w:val="28"/>
        </w:rPr>
        <w:t>0</w:t>
      </w:r>
      <w:r>
        <w:rPr>
          <w:rFonts w:hint="eastAsia" w:ascii="仿宋" w:hAnsi="仿宋" w:eastAsia="仿宋"/>
          <w:sz w:val="32"/>
        </w:rPr>
        <w:t>万元；经营收入年初预算收入</w:t>
      </w:r>
      <w:r>
        <w:rPr>
          <w:rFonts w:hint="eastAsia" w:ascii="仿宋" w:hAnsi="仿宋" w:eastAsia="仿宋"/>
          <w:sz w:val="28"/>
        </w:rPr>
        <w:t>0</w:t>
      </w:r>
      <w:r>
        <w:rPr>
          <w:rFonts w:hint="eastAsia" w:ascii="仿宋" w:hAnsi="仿宋" w:eastAsia="仿宋"/>
          <w:sz w:val="32"/>
        </w:rPr>
        <w:t>万元，比上年增减</w:t>
      </w:r>
      <w:r>
        <w:rPr>
          <w:rFonts w:hint="eastAsia" w:ascii="仿宋" w:hAnsi="仿宋" w:eastAsia="仿宋"/>
          <w:sz w:val="28"/>
        </w:rPr>
        <w:t>0</w:t>
      </w:r>
      <w:r>
        <w:rPr>
          <w:rFonts w:hint="eastAsia" w:ascii="仿宋" w:hAnsi="仿宋" w:eastAsia="仿宋"/>
          <w:sz w:val="32"/>
        </w:rPr>
        <w:t>万元；附属单位上缴收入年初预算收入</w:t>
      </w:r>
      <w:r>
        <w:rPr>
          <w:rFonts w:hint="eastAsia" w:ascii="仿宋" w:hAnsi="仿宋" w:eastAsia="仿宋"/>
          <w:sz w:val="28"/>
        </w:rPr>
        <w:t>0</w:t>
      </w:r>
      <w:r>
        <w:rPr>
          <w:rFonts w:hint="eastAsia" w:ascii="仿宋" w:hAnsi="仿宋" w:eastAsia="仿宋"/>
          <w:sz w:val="32"/>
        </w:rPr>
        <w:t>万元，比上年增减</w:t>
      </w:r>
      <w:r>
        <w:rPr>
          <w:rFonts w:hint="eastAsia" w:ascii="仿宋" w:hAnsi="仿宋" w:eastAsia="仿宋"/>
          <w:sz w:val="28"/>
        </w:rPr>
        <w:t>0</w:t>
      </w:r>
      <w:r>
        <w:rPr>
          <w:rFonts w:hint="eastAsia" w:ascii="仿宋" w:hAnsi="仿宋" w:eastAsia="仿宋"/>
          <w:sz w:val="32"/>
        </w:rPr>
        <w:t>万元；其他收入年初预算收入</w:t>
      </w:r>
      <w:r>
        <w:rPr>
          <w:rFonts w:hint="eastAsia" w:ascii="仿宋" w:hAnsi="仿宋" w:eastAsia="仿宋"/>
          <w:sz w:val="28"/>
        </w:rPr>
        <w:t>0</w:t>
      </w:r>
      <w:r>
        <w:rPr>
          <w:rFonts w:hint="eastAsia" w:ascii="仿宋" w:hAnsi="仿宋" w:eastAsia="仿宋"/>
          <w:sz w:val="32"/>
        </w:rPr>
        <w:t>万元。</w:t>
      </w:r>
    </w:p>
    <w:p w14:paraId="623BE60F">
      <w:pPr>
        <w:numPr>
          <w:ilvl w:val="0"/>
          <w:numId w:val="4"/>
        </w:numPr>
        <w:snapToGrid w:val="0"/>
        <w:spacing w:line="520" w:lineRule="exact"/>
        <w:ind w:left="640"/>
        <w:rPr>
          <w:rFonts w:ascii="仿宋" w:hAnsi="仿宋" w:eastAsia="仿宋" w:cs="仿宋"/>
          <w:b/>
          <w:bCs/>
          <w:sz w:val="32"/>
          <w:szCs w:val="32"/>
        </w:rPr>
      </w:pPr>
      <w:r>
        <w:rPr>
          <w:rFonts w:hint="eastAsia" w:ascii="仿宋" w:hAnsi="仿宋" w:eastAsia="仿宋" w:cs="仿宋"/>
          <w:b/>
          <w:bCs/>
          <w:sz w:val="32"/>
          <w:szCs w:val="32"/>
        </w:rPr>
        <w:t>支出分类情况：</w:t>
      </w:r>
    </w:p>
    <w:p w14:paraId="0471E2E8">
      <w:pPr>
        <w:adjustRightInd w:val="0"/>
        <w:snapToGrid w:val="0"/>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（1）按支出性质分：总支出80.34万元，其中基本支出</w:t>
      </w:r>
      <w:r>
        <w:rPr>
          <w:rFonts w:hint="eastAsia" w:ascii="仿宋" w:hAnsi="仿宋" w:eastAsia="仿宋" w:cs="仿宋"/>
          <w:color w:val="000000"/>
          <w:sz w:val="32"/>
          <w:szCs w:val="32"/>
        </w:rPr>
        <w:t>37.34</w:t>
      </w:r>
      <w:r>
        <w:rPr>
          <w:rFonts w:hint="eastAsia" w:ascii="仿宋" w:hAnsi="仿宋" w:eastAsia="仿宋" w:cs="仿宋"/>
          <w:sz w:val="32"/>
          <w:szCs w:val="32"/>
        </w:rPr>
        <w:t>万元，用于保障我办正常运转，完成日常工作任务而发生的各项支出，包括用于在职人员基本工资，津贴补贴等人员经费，以及办公费、印刷费、办公设备购置等日常公用经费。项目支出</w:t>
      </w:r>
      <w:r>
        <w:rPr>
          <w:rFonts w:hint="eastAsia" w:ascii="仿宋" w:hAnsi="仿宋" w:eastAsia="仿宋" w:cs="仿宋"/>
          <w:color w:val="000000"/>
          <w:kern w:val="0"/>
          <w:sz w:val="32"/>
          <w:szCs w:val="32"/>
          <w:lang w:val="en-US" w:eastAsia="zh-CN"/>
        </w:rPr>
        <w:t>26</w:t>
      </w:r>
      <w:r>
        <w:rPr>
          <w:rFonts w:hint="eastAsia" w:ascii="仿宋" w:hAnsi="仿宋" w:eastAsia="仿宋" w:cs="仿宋"/>
          <w:sz w:val="32"/>
          <w:szCs w:val="32"/>
        </w:rPr>
        <w:t>万元，主要用于</w:t>
      </w:r>
      <w:r>
        <w:rPr>
          <w:rFonts w:hint="eastAsia" w:ascii="仿宋" w:hAnsi="仿宋" w:eastAsia="仿宋" w:cs="仿宋"/>
          <w:sz w:val="32"/>
          <w:szCs w:val="32"/>
          <w:lang w:eastAsia="zh-CN"/>
        </w:rPr>
        <w:t>希望工程、少先队、青少年发展、五四活动</w:t>
      </w:r>
      <w:r>
        <w:rPr>
          <w:rFonts w:hint="eastAsia" w:ascii="仿宋" w:hAnsi="仿宋" w:eastAsia="仿宋" w:cs="仿宋"/>
          <w:sz w:val="32"/>
          <w:szCs w:val="32"/>
        </w:rPr>
        <w:t>工作等支出。</w:t>
      </w:r>
    </w:p>
    <w:p w14:paraId="26D2C625">
      <w:pPr>
        <w:snapToGrid w:val="0"/>
        <w:spacing w:line="520" w:lineRule="exact"/>
        <w:ind w:firstLine="640" w:firstLineChars="200"/>
        <w:rPr>
          <w:rFonts w:ascii="仿宋" w:hAnsi="仿宋" w:eastAsia="仿宋" w:cs="仿宋"/>
          <w:sz w:val="32"/>
          <w:szCs w:val="32"/>
        </w:rPr>
      </w:pPr>
      <w:r>
        <w:rPr>
          <w:rFonts w:hint="eastAsia" w:ascii="仿宋" w:hAnsi="仿宋" w:eastAsia="仿宋" w:cs="仿宋"/>
          <w:bCs/>
          <w:sz w:val="32"/>
          <w:szCs w:val="32"/>
        </w:rPr>
        <w:t>（2）按经济结构分：</w:t>
      </w:r>
      <w:r>
        <w:rPr>
          <w:rFonts w:hint="eastAsia" w:ascii="仿宋" w:hAnsi="仿宋" w:eastAsia="仿宋" w:cs="仿宋"/>
          <w:sz w:val="32"/>
          <w:szCs w:val="32"/>
        </w:rPr>
        <w:t>其中工资福利支出</w:t>
      </w:r>
      <w:r>
        <w:rPr>
          <w:rFonts w:hint="eastAsia" w:ascii="仿宋" w:hAnsi="仿宋" w:eastAsia="仿宋" w:cs="仿宋"/>
          <w:bCs/>
          <w:sz w:val="32"/>
          <w:szCs w:val="32"/>
        </w:rPr>
        <w:t>33万元，占支出总额的41.1%，</w:t>
      </w:r>
      <w:r>
        <w:rPr>
          <w:rFonts w:hint="eastAsia" w:ascii="仿宋" w:hAnsi="仿宋" w:eastAsia="仿宋" w:cs="仿宋"/>
          <w:sz w:val="32"/>
          <w:szCs w:val="32"/>
        </w:rPr>
        <w:t>对个人和家庭的补助</w:t>
      </w:r>
      <w:r>
        <w:rPr>
          <w:rFonts w:hint="eastAsia" w:ascii="仿宋" w:hAnsi="仿宋" w:eastAsia="仿宋" w:cs="仿宋"/>
          <w:bCs/>
          <w:sz w:val="32"/>
          <w:szCs w:val="32"/>
        </w:rPr>
        <w:t>0万元，</w:t>
      </w:r>
      <w:r>
        <w:rPr>
          <w:rFonts w:hint="eastAsia" w:ascii="仿宋" w:hAnsi="仿宋" w:eastAsia="仿宋" w:cs="仿宋"/>
          <w:sz w:val="32"/>
          <w:szCs w:val="32"/>
        </w:rPr>
        <w:t>商品和服务支出47.33</w:t>
      </w:r>
      <w:r>
        <w:rPr>
          <w:rFonts w:hint="eastAsia" w:ascii="仿宋" w:hAnsi="仿宋" w:eastAsia="仿宋" w:cs="仿宋"/>
          <w:bCs/>
          <w:sz w:val="32"/>
          <w:szCs w:val="32"/>
        </w:rPr>
        <w:t>万元，占支出总额的58.9%</w:t>
      </w:r>
      <w:r>
        <w:rPr>
          <w:rFonts w:hint="eastAsia" w:ascii="仿宋" w:hAnsi="仿宋" w:eastAsia="仿宋" w:cs="仿宋"/>
          <w:sz w:val="32"/>
          <w:szCs w:val="32"/>
        </w:rPr>
        <w:t>.</w:t>
      </w:r>
      <w:r>
        <w:rPr>
          <w:rFonts w:ascii="仿宋" w:hAnsi="仿宋" w:eastAsia="仿宋" w:cs="仿宋"/>
          <w:sz w:val="32"/>
          <w:szCs w:val="32"/>
        </w:rPr>
        <w:t xml:space="preserve"> </w:t>
      </w:r>
    </w:p>
    <w:p w14:paraId="118B8391">
      <w:pPr>
        <w:pStyle w:val="6"/>
        <w:spacing w:before="0" w:beforeAutospacing="0" w:after="0" w:afterAutospacing="0" w:line="560" w:lineRule="exact"/>
        <w:ind w:firstLine="640" w:firstLineChars="200"/>
        <w:contextualSpacing/>
        <w:jc w:val="both"/>
        <w:rPr>
          <w:rFonts w:ascii="仿宋" w:hAnsi="仿宋" w:eastAsia="仿宋" w:cs="仿宋"/>
          <w:kern w:val="2"/>
          <w:sz w:val="32"/>
          <w:szCs w:val="32"/>
        </w:rPr>
      </w:pPr>
      <w:r>
        <w:rPr>
          <w:rFonts w:hint="eastAsia" w:ascii="仿宋" w:hAnsi="仿宋" w:eastAsia="仿宋" w:cs="仿宋"/>
          <w:kern w:val="2"/>
          <w:sz w:val="32"/>
          <w:szCs w:val="32"/>
        </w:rPr>
        <w:t>3、“三公”经费情况</w:t>
      </w:r>
    </w:p>
    <w:p w14:paraId="2CCE4C5B">
      <w:pPr>
        <w:adjustRightInd w:val="0"/>
        <w:snapToGrid w:val="0"/>
        <w:spacing w:line="560" w:lineRule="exact"/>
        <w:ind w:firstLine="643" w:firstLineChars="200"/>
        <w:rPr>
          <w:rFonts w:ascii="仿宋" w:hAnsi="仿宋" w:eastAsia="仿宋" w:cs="仿宋"/>
          <w:color w:val="FF0000"/>
          <w:sz w:val="32"/>
          <w:szCs w:val="32"/>
        </w:rPr>
      </w:pPr>
      <w:r>
        <w:rPr>
          <w:rFonts w:hint="eastAsia" w:ascii="仿宋" w:hAnsi="仿宋" w:eastAsia="仿宋" w:cs="仿宋"/>
          <w:b/>
          <w:sz w:val="32"/>
          <w:szCs w:val="32"/>
        </w:rPr>
        <w:t>“</w:t>
      </w:r>
      <w:r>
        <w:rPr>
          <w:rFonts w:hint="eastAsia" w:ascii="仿宋" w:hAnsi="仿宋" w:eastAsia="仿宋" w:cs="仿宋"/>
          <w:sz w:val="32"/>
          <w:szCs w:val="32"/>
        </w:rPr>
        <w:t>三公</w:t>
      </w:r>
      <w:r>
        <w:rPr>
          <w:rFonts w:hint="eastAsia" w:ascii="仿宋" w:hAnsi="仿宋" w:eastAsia="仿宋" w:cs="仿宋"/>
          <w:b/>
          <w:sz w:val="32"/>
          <w:szCs w:val="32"/>
        </w:rPr>
        <w:t>”</w:t>
      </w:r>
      <w:r>
        <w:rPr>
          <w:rFonts w:hint="eastAsia" w:ascii="仿宋" w:hAnsi="仿宋" w:eastAsia="仿宋" w:cs="仿宋"/>
          <w:sz w:val="32"/>
          <w:szCs w:val="32"/>
        </w:rPr>
        <w:t>经费支出情况：</w:t>
      </w:r>
      <w:r>
        <w:rPr>
          <w:rFonts w:hint="eastAsia" w:ascii="仿宋" w:hAnsi="仿宋" w:eastAsia="仿宋" w:cs="仿宋"/>
          <w:color w:val="FF0000"/>
          <w:sz w:val="32"/>
          <w:szCs w:val="32"/>
        </w:rPr>
        <w:t>2023年我</w:t>
      </w:r>
      <w:r>
        <w:rPr>
          <w:rFonts w:hint="eastAsia" w:ascii="仿宋" w:hAnsi="仿宋" w:eastAsia="仿宋" w:cs="仿宋"/>
          <w:color w:val="FF0000"/>
          <w:sz w:val="32"/>
          <w:szCs w:val="32"/>
          <w:lang w:eastAsia="zh-CN"/>
        </w:rPr>
        <w:t>委</w:t>
      </w:r>
      <w:r>
        <w:rPr>
          <w:rFonts w:hint="eastAsia" w:ascii="仿宋" w:hAnsi="仿宋" w:eastAsia="仿宋" w:cs="仿宋"/>
          <w:color w:val="FF0000"/>
          <w:sz w:val="32"/>
          <w:szCs w:val="32"/>
        </w:rPr>
        <w:t>无“三公”经费支出。</w:t>
      </w:r>
    </w:p>
    <w:p w14:paraId="01DC31AB">
      <w:pPr>
        <w:adjustRightInd w:val="0"/>
        <w:snapToGrid w:val="0"/>
        <w:spacing w:line="560" w:lineRule="exact"/>
        <w:ind w:firstLine="643" w:firstLineChars="200"/>
        <w:rPr>
          <w:rFonts w:ascii="仿宋" w:hAnsi="仿宋" w:eastAsia="仿宋" w:cs="仿宋"/>
          <w:b/>
          <w:sz w:val="32"/>
          <w:szCs w:val="32"/>
        </w:rPr>
      </w:pPr>
      <w:r>
        <w:rPr>
          <w:rFonts w:hint="eastAsia" w:ascii="仿宋" w:hAnsi="仿宋" w:eastAsia="仿宋" w:cs="仿宋"/>
          <w:b/>
          <w:sz w:val="32"/>
          <w:szCs w:val="32"/>
        </w:rPr>
        <w:t>三、部门整体支出绩效情况</w:t>
      </w:r>
    </w:p>
    <w:p w14:paraId="515409A4">
      <w:pPr>
        <w:spacing w:after="240"/>
        <w:jc w:val="left"/>
        <w:rPr>
          <w:rFonts w:ascii="仿宋" w:hAnsi="仿宋" w:eastAsia="仿宋" w:cs="仿宋"/>
          <w:b/>
          <w:sz w:val="32"/>
          <w:szCs w:val="32"/>
        </w:rPr>
      </w:pPr>
      <w:r>
        <w:rPr>
          <w:rFonts w:hint="eastAsia" w:ascii="仿宋" w:hAnsi="仿宋" w:eastAsia="仿宋" w:cs="仿宋"/>
          <w:bCs/>
          <w:sz w:val="32"/>
          <w:szCs w:val="32"/>
        </w:rPr>
        <w:t xml:space="preserve">    一年来，我</w:t>
      </w:r>
      <w:r>
        <w:rPr>
          <w:rFonts w:hint="eastAsia" w:ascii="仿宋" w:hAnsi="仿宋" w:eastAsia="仿宋" w:cs="仿宋"/>
          <w:bCs/>
          <w:sz w:val="32"/>
          <w:szCs w:val="32"/>
          <w:lang w:eastAsia="zh-CN"/>
        </w:rPr>
        <w:t>委</w:t>
      </w:r>
      <w:bookmarkStart w:id="0" w:name="_GoBack"/>
      <w:bookmarkEnd w:id="0"/>
      <w:r>
        <w:rPr>
          <w:rFonts w:hint="eastAsia" w:ascii="仿宋" w:hAnsi="仿宋" w:eastAsia="仿宋" w:cs="仿宋"/>
          <w:bCs/>
          <w:sz w:val="32"/>
          <w:szCs w:val="32"/>
        </w:rPr>
        <w:t>通过内抓管理，外树形象,较好地完成了省市相关部门交办的年度工作目标任务。对照“部门整体支出绩效评价指标评分表”得出绩效考核目标自评分为98分。具体情况如下</w:t>
      </w:r>
      <w:r>
        <w:rPr>
          <w:rFonts w:hint="eastAsia" w:ascii="仿宋" w:hAnsi="仿宋" w:eastAsia="仿宋" w:cs="仿宋"/>
          <w:b/>
          <w:sz w:val="32"/>
          <w:szCs w:val="32"/>
        </w:rPr>
        <w:t>：</w:t>
      </w:r>
    </w:p>
    <w:p w14:paraId="713FACDA">
      <w:pPr>
        <w:widowControl/>
        <w:ind w:firstLine="640" w:firstLineChars="200"/>
        <w:rPr>
          <w:rFonts w:ascii="仿宋" w:hAnsi="仿宋" w:eastAsia="仿宋" w:cs="仿宋"/>
          <w:bCs/>
          <w:sz w:val="32"/>
          <w:szCs w:val="32"/>
        </w:rPr>
      </w:pPr>
      <w:r>
        <w:rPr>
          <w:rFonts w:hint="eastAsia" w:ascii="仿宋" w:hAnsi="仿宋" w:eastAsia="仿宋" w:cs="仿宋"/>
          <w:bCs/>
          <w:sz w:val="32"/>
          <w:szCs w:val="32"/>
        </w:rPr>
        <w:t>（一）在目标设定方面得4分，其中绩效目标合理性2分，绩效指标明确性2分。</w:t>
      </w:r>
    </w:p>
    <w:p w14:paraId="59129507">
      <w:pPr>
        <w:pStyle w:val="6"/>
        <w:spacing w:before="0" w:beforeAutospacing="0" w:after="0" w:afterAutospacing="0"/>
        <w:ind w:left="775" w:leftChars="261" w:hanging="227" w:hangingChars="71"/>
        <w:jc w:val="both"/>
        <w:rPr>
          <w:rFonts w:ascii="仿宋" w:hAnsi="仿宋" w:eastAsia="仿宋" w:cs="仿宋"/>
          <w:bCs/>
          <w:sz w:val="32"/>
          <w:szCs w:val="32"/>
        </w:rPr>
      </w:pPr>
      <w:r>
        <w:rPr>
          <w:rFonts w:hint="eastAsia" w:ascii="仿宋" w:hAnsi="仿宋" w:eastAsia="仿宋" w:cs="仿宋"/>
          <w:bCs/>
          <w:sz w:val="32"/>
          <w:szCs w:val="32"/>
        </w:rPr>
        <w:t>（二）预算配置方面得6分；</w:t>
      </w:r>
    </w:p>
    <w:p w14:paraId="44D64001">
      <w:pPr>
        <w:pStyle w:val="6"/>
        <w:spacing w:before="0" w:beforeAutospacing="0" w:after="0" w:afterAutospacing="0"/>
        <w:ind w:firstLine="640" w:firstLineChars="200"/>
        <w:rPr>
          <w:rFonts w:ascii="仿宋" w:hAnsi="仿宋" w:eastAsia="仿宋" w:cs="仿宋"/>
          <w:bCs/>
          <w:sz w:val="32"/>
          <w:szCs w:val="32"/>
        </w:rPr>
      </w:pPr>
      <w:r>
        <w:rPr>
          <w:rFonts w:hint="eastAsia" w:ascii="仿宋" w:hAnsi="仿宋" w:eastAsia="仿宋" w:cs="仿宋"/>
          <w:bCs/>
          <w:sz w:val="32"/>
          <w:szCs w:val="32"/>
        </w:rPr>
        <w:t>1、在职人员控制率得2分（我办人员编制为12人,实有在岗人数为7人，人员控制率为1）；</w:t>
      </w:r>
    </w:p>
    <w:p w14:paraId="48BD6347">
      <w:pPr>
        <w:pStyle w:val="6"/>
        <w:spacing w:before="0" w:beforeAutospacing="0" w:after="0" w:afterAutospacing="0"/>
        <w:ind w:firstLine="640" w:firstLineChars="200"/>
        <w:jc w:val="both"/>
        <w:rPr>
          <w:rFonts w:ascii="仿宋" w:hAnsi="仿宋" w:eastAsia="仿宋" w:cs="仿宋"/>
          <w:sz w:val="32"/>
          <w:szCs w:val="32"/>
        </w:rPr>
      </w:pPr>
      <w:r>
        <w:rPr>
          <w:rFonts w:hint="eastAsia" w:ascii="仿宋" w:hAnsi="仿宋" w:eastAsia="仿宋" w:cs="仿宋"/>
          <w:bCs/>
          <w:sz w:val="32"/>
          <w:szCs w:val="32"/>
        </w:rPr>
        <w:t>2、</w:t>
      </w:r>
      <w:r>
        <w:rPr>
          <w:rFonts w:hint="eastAsia" w:ascii="仿宋" w:hAnsi="仿宋" w:eastAsia="仿宋" w:cs="仿宋"/>
          <w:sz w:val="32"/>
          <w:szCs w:val="32"/>
        </w:rPr>
        <w:t>“三公经费”变动率得2分。本年初招待费预算为2.1万元，较上年比略有减少，变动率小于0。</w:t>
      </w:r>
    </w:p>
    <w:p w14:paraId="287432D4">
      <w:pPr>
        <w:pStyle w:val="6"/>
        <w:spacing w:before="0" w:beforeAutospacing="0" w:after="0" w:afterAutospacing="0"/>
        <w:ind w:firstLine="640" w:firstLineChars="200"/>
        <w:jc w:val="both"/>
        <w:rPr>
          <w:rFonts w:ascii="仿宋" w:hAnsi="仿宋" w:eastAsia="仿宋" w:cs="仿宋"/>
          <w:bCs/>
          <w:color w:val="030303"/>
          <w:sz w:val="32"/>
          <w:szCs w:val="32"/>
        </w:rPr>
      </w:pPr>
      <w:r>
        <w:rPr>
          <w:rFonts w:hint="eastAsia" w:ascii="仿宋" w:hAnsi="仿宋" w:eastAsia="仿宋" w:cs="仿宋"/>
          <w:bCs/>
          <w:sz w:val="32"/>
          <w:szCs w:val="32"/>
        </w:rPr>
        <w:t>3、重点支出安排率得2分（本年内</w:t>
      </w:r>
      <w:r>
        <w:rPr>
          <w:rFonts w:hint="eastAsia" w:ascii="仿宋" w:hAnsi="仿宋" w:eastAsia="仿宋" w:cs="仿宋"/>
          <w:sz w:val="32"/>
          <w:szCs w:val="32"/>
        </w:rPr>
        <w:t>“重点支出安排率”=100%</w:t>
      </w:r>
      <w:r>
        <w:rPr>
          <w:rFonts w:hint="eastAsia" w:ascii="仿宋" w:hAnsi="仿宋" w:eastAsia="仿宋" w:cs="仿宋"/>
          <w:bCs/>
          <w:sz w:val="32"/>
          <w:szCs w:val="32"/>
        </w:rPr>
        <w:t>）。</w:t>
      </w:r>
    </w:p>
    <w:p w14:paraId="23358B18">
      <w:pPr>
        <w:pStyle w:val="6"/>
        <w:spacing w:before="0" w:beforeAutospacing="0" w:after="0" w:afterAutospacing="0"/>
        <w:ind w:firstLine="640" w:firstLineChars="200"/>
        <w:jc w:val="both"/>
        <w:rPr>
          <w:rFonts w:ascii="仿宋" w:hAnsi="仿宋" w:eastAsia="仿宋" w:cs="仿宋"/>
          <w:bCs/>
          <w:color w:val="030303"/>
          <w:sz w:val="32"/>
          <w:szCs w:val="32"/>
        </w:rPr>
      </w:pPr>
      <w:r>
        <w:rPr>
          <w:rFonts w:hint="eastAsia" w:ascii="仿宋" w:hAnsi="仿宋" w:eastAsia="仿宋" w:cs="仿宋"/>
          <w:bCs/>
          <w:sz w:val="32"/>
          <w:szCs w:val="32"/>
        </w:rPr>
        <w:t>（三）预算执行比较到位得15分；</w:t>
      </w:r>
    </w:p>
    <w:p w14:paraId="633234ED">
      <w:pPr>
        <w:pStyle w:val="6"/>
        <w:spacing w:before="0" w:beforeAutospacing="0" w:after="0" w:afterAutospacing="0"/>
        <w:ind w:firstLine="640" w:firstLineChars="200"/>
        <w:jc w:val="both"/>
        <w:rPr>
          <w:rFonts w:ascii="仿宋" w:hAnsi="仿宋" w:eastAsia="仿宋" w:cs="仿宋"/>
          <w:bCs/>
          <w:sz w:val="32"/>
          <w:szCs w:val="32"/>
        </w:rPr>
      </w:pPr>
      <w:r>
        <w:rPr>
          <w:rFonts w:hint="eastAsia" w:ascii="仿宋" w:hAnsi="仿宋" w:eastAsia="仿宋" w:cs="仿宋"/>
          <w:bCs/>
          <w:sz w:val="32"/>
          <w:szCs w:val="32"/>
        </w:rPr>
        <w:t>1、预算完成率得2分（</w:t>
      </w:r>
      <w:r>
        <w:rPr>
          <w:rFonts w:hint="eastAsia" w:ascii="仿宋" w:hAnsi="仿宋" w:eastAsia="仿宋" w:cs="仿宋"/>
          <w:sz w:val="32"/>
          <w:szCs w:val="32"/>
        </w:rPr>
        <w:t>预算完成率=（上年结转+年初预算+本年追加预算-年末结余）/（上年结转+年初预算+本年追加预算）×100%=100%</w:t>
      </w:r>
      <w:r>
        <w:rPr>
          <w:rFonts w:hint="eastAsia" w:ascii="仿宋" w:hAnsi="仿宋" w:eastAsia="仿宋" w:cs="仿宋"/>
          <w:bCs/>
          <w:sz w:val="32"/>
          <w:szCs w:val="32"/>
        </w:rPr>
        <w:t>）</w:t>
      </w:r>
    </w:p>
    <w:p w14:paraId="157D0686">
      <w:pPr>
        <w:pStyle w:val="6"/>
        <w:spacing w:before="0" w:beforeAutospacing="0" w:after="0" w:afterAutospacing="0"/>
        <w:ind w:firstLine="640" w:firstLineChars="200"/>
        <w:jc w:val="both"/>
        <w:rPr>
          <w:rFonts w:ascii="仿宋" w:hAnsi="仿宋" w:eastAsia="仿宋" w:cs="仿宋"/>
          <w:bCs/>
          <w:color w:val="030303"/>
          <w:sz w:val="32"/>
          <w:szCs w:val="32"/>
        </w:rPr>
      </w:pPr>
      <w:r>
        <w:rPr>
          <w:rFonts w:hint="eastAsia" w:ascii="仿宋" w:hAnsi="仿宋" w:eastAsia="仿宋" w:cs="仿宋"/>
          <w:bCs/>
          <w:sz w:val="32"/>
          <w:szCs w:val="32"/>
        </w:rPr>
        <w:t>2、预算调整率得1分（</w:t>
      </w:r>
      <w:r>
        <w:rPr>
          <w:rFonts w:hint="eastAsia" w:ascii="仿宋" w:hAnsi="仿宋" w:eastAsia="仿宋" w:cs="仿宋"/>
          <w:sz w:val="32"/>
          <w:szCs w:val="32"/>
        </w:rPr>
        <w:t>预算调整率=（预算调整数/预算数）×100%，大于30%，扣1分</w:t>
      </w:r>
      <w:r>
        <w:rPr>
          <w:rFonts w:hint="eastAsia" w:ascii="仿宋" w:hAnsi="仿宋" w:eastAsia="仿宋" w:cs="仿宋"/>
          <w:bCs/>
          <w:sz w:val="32"/>
          <w:szCs w:val="32"/>
        </w:rPr>
        <w:t>）；</w:t>
      </w:r>
    </w:p>
    <w:p w14:paraId="15406752">
      <w:pPr>
        <w:pStyle w:val="6"/>
        <w:spacing w:before="0" w:beforeAutospacing="0" w:after="0" w:afterAutospacing="0"/>
        <w:ind w:firstLine="726" w:firstLineChars="227"/>
        <w:jc w:val="both"/>
        <w:rPr>
          <w:rFonts w:ascii="仿宋" w:hAnsi="仿宋" w:eastAsia="仿宋" w:cs="仿宋"/>
          <w:bCs/>
          <w:sz w:val="32"/>
          <w:szCs w:val="32"/>
        </w:rPr>
      </w:pPr>
      <w:r>
        <w:rPr>
          <w:rFonts w:hint="eastAsia" w:ascii="仿宋" w:hAnsi="仿宋" w:eastAsia="仿宋" w:cs="仿宋"/>
          <w:bCs/>
          <w:sz w:val="32"/>
          <w:szCs w:val="32"/>
        </w:rPr>
        <w:t>3、支付进度率得2分（</w:t>
      </w:r>
      <w:r>
        <w:rPr>
          <w:rFonts w:hint="eastAsia" w:ascii="仿宋" w:hAnsi="仿宋" w:eastAsia="仿宋" w:cs="仿宋"/>
          <w:sz w:val="32"/>
          <w:szCs w:val="32"/>
        </w:rPr>
        <w:t>支付进度率=[实际支付进度/既定支付进度]*100%=100%，严格按照支付进度进行支付</w:t>
      </w:r>
      <w:r>
        <w:rPr>
          <w:rFonts w:hint="eastAsia" w:ascii="仿宋" w:hAnsi="仿宋" w:eastAsia="仿宋" w:cs="仿宋"/>
          <w:bCs/>
          <w:sz w:val="32"/>
          <w:szCs w:val="32"/>
        </w:rPr>
        <w:t>）；</w:t>
      </w:r>
    </w:p>
    <w:p w14:paraId="79312E3D">
      <w:pPr>
        <w:pStyle w:val="6"/>
        <w:spacing w:before="0" w:beforeAutospacing="0" w:after="0" w:afterAutospacing="0"/>
        <w:ind w:firstLine="726" w:firstLineChars="227"/>
        <w:jc w:val="both"/>
        <w:rPr>
          <w:rFonts w:ascii="仿宋" w:hAnsi="仿宋" w:eastAsia="仿宋" w:cs="仿宋"/>
          <w:bCs/>
          <w:sz w:val="32"/>
          <w:szCs w:val="32"/>
        </w:rPr>
      </w:pPr>
      <w:r>
        <w:rPr>
          <w:rFonts w:hint="eastAsia" w:ascii="仿宋" w:hAnsi="仿宋" w:eastAsia="仿宋" w:cs="仿宋"/>
          <w:bCs/>
          <w:sz w:val="32"/>
          <w:szCs w:val="32"/>
        </w:rPr>
        <w:t>4、结余结转变动率得2分（</w:t>
      </w:r>
      <w:r>
        <w:rPr>
          <w:rFonts w:hint="eastAsia" w:ascii="仿宋" w:hAnsi="仿宋" w:eastAsia="仿宋" w:cs="仿宋"/>
          <w:sz w:val="32"/>
          <w:szCs w:val="32"/>
        </w:rPr>
        <w:t>结余结转变动率=[(本年度累计结余资金总额-上年度累计结转结余资金总额)/ 上年度累计结转结余资金=0，计满分</w:t>
      </w:r>
      <w:r>
        <w:rPr>
          <w:rFonts w:hint="eastAsia" w:ascii="仿宋" w:hAnsi="仿宋" w:eastAsia="仿宋" w:cs="仿宋"/>
          <w:bCs/>
          <w:sz w:val="32"/>
          <w:szCs w:val="32"/>
        </w:rPr>
        <w:t>）；</w:t>
      </w:r>
    </w:p>
    <w:p w14:paraId="456873FB">
      <w:pPr>
        <w:widowControl/>
        <w:ind w:firstLine="640" w:firstLineChars="200"/>
        <w:rPr>
          <w:rFonts w:ascii="仿宋" w:hAnsi="仿宋" w:eastAsia="仿宋" w:cs="仿宋"/>
          <w:sz w:val="32"/>
          <w:szCs w:val="32"/>
        </w:rPr>
      </w:pPr>
      <w:r>
        <w:rPr>
          <w:rFonts w:hint="eastAsia" w:ascii="仿宋" w:hAnsi="仿宋" w:eastAsia="仿宋" w:cs="仿宋"/>
          <w:bCs/>
          <w:sz w:val="32"/>
          <w:szCs w:val="32"/>
        </w:rPr>
        <w:t>5、公用经费控制率得2分，年初预算20万元，实际支出18.88万元，公用经费控制率小于1，不扣分。</w:t>
      </w:r>
    </w:p>
    <w:p w14:paraId="057DA863">
      <w:pPr>
        <w:pStyle w:val="6"/>
        <w:spacing w:before="0" w:beforeAutospacing="0" w:after="0" w:afterAutospacing="0"/>
        <w:ind w:firstLine="640" w:firstLineChars="200"/>
        <w:jc w:val="both"/>
        <w:rPr>
          <w:rFonts w:ascii="仿宋" w:hAnsi="仿宋" w:eastAsia="仿宋" w:cs="仿宋"/>
          <w:bCs/>
          <w:sz w:val="32"/>
          <w:szCs w:val="32"/>
        </w:rPr>
      </w:pPr>
      <w:r>
        <w:rPr>
          <w:rFonts w:hint="eastAsia" w:ascii="仿宋" w:hAnsi="仿宋" w:eastAsia="仿宋" w:cs="仿宋"/>
          <w:bCs/>
          <w:sz w:val="32"/>
          <w:szCs w:val="32"/>
        </w:rPr>
        <w:t>6、“三公经费”控制率2分，由于年度实际接待支出小于年初预算数，三公经费控制率小于1。</w:t>
      </w:r>
    </w:p>
    <w:p w14:paraId="196C168C">
      <w:pPr>
        <w:pStyle w:val="6"/>
        <w:spacing w:before="0" w:beforeAutospacing="0" w:after="0" w:afterAutospacing="0"/>
        <w:ind w:firstLine="640" w:firstLineChars="200"/>
        <w:jc w:val="both"/>
        <w:rPr>
          <w:rFonts w:ascii="仿宋" w:hAnsi="仿宋" w:eastAsia="仿宋" w:cs="仿宋"/>
          <w:bCs/>
          <w:sz w:val="32"/>
          <w:szCs w:val="32"/>
        </w:rPr>
      </w:pPr>
      <w:r>
        <w:rPr>
          <w:rFonts w:hint="eastAsia" w:ascii="仿宋" w:hAnsi="仿宋" w:eastAsia="仿宋" w:cs="仿宋"/>
          <w:bCs/>
          <w:color w:val="030303"/>
          <w:sz w:val="32"/>
          <w:szCs w:val="32"/>
        </w:rPr>
        <w:t>7、</w:t>
      </w:r>
      <w:r>
        <w:rPr>
          <w:rFonts w:hint="eastAsia" w:ascii="仿宋" w:hAnsi="仿宋" w:eastAsia="仿宋" w:cs="仿宋"/>
          <w:bCs/>
          <w:sz w:val="32"/>
          <w:szCs w:val="32"/>
        </w:rPr>
        <w:t>政府采购节支率得2分（</w:t>
      </w:r>
      <w:r>
        <w:rPr>
          <w:rFonts w:hint="eastAsia" w:ascii="仿宋" w:hAnsi="仿宋" w:eastAsia="仿宋" w:cs="仿宋"/>
          <w:sz w:val="32"/>
          <w:szCs w:val="32"/>
        </w:rPr>
        <w:t>节资率=（预算资金-实际政府采购金额/预算资金）×100%，本年度发生政府采购货物支出17.98万元，采购、验收符合程序，计满分</w:t>
      </w:r>
      <w:r>
        <w:rPr>
          <w:rFonts w:hint="eastAsia" w:ascii="仿宋" w:hAnsi="仿宋" w:eastAsia="仿宋" w:cs="仿宋"/>
          <w:bCs/>
          <w:sz w:val="32"/>
          <w:szCs w:val="32"/>
        </w:rPr>
        <w:t>）；</w:t>
      </w:r>
    </w:p>
    <w:p w14:paraId="46B9A208">
      <w:pPr>
        <w:pStyle w:val="6"/>
        <w:spacing w:before="0" w:beforeAutospacing="0" w:after="0" w:afterAutospacing="0"/>
        <w:ind w:firstLine="640" w:firstLineChars="200"/>
        <w:rPr>
          <w:rFonts w:ascii="仿宋" w:hAnsi="仿宋" w:eastAsia="仿宋" w:cs="仿宋"/>
          <w:bCs/>
          <w:color w:val="030303"/>
          <w:sz w:val="32"/>
          <w:szCs w:val="32"/>
        </w:rPr>
      </w:pPr>
      <w:r>
        <w:rPr>
          <w:rFonts w:hint="eastAsia" w:ascii="仿宋" w:hAnsi="仿宋" w:eastAsia="仿宋" w:cs="仿宋"/>
          <w:bCs/>
          <w:sz w:val="32"/>
          <w:szCs w:val="32"/>
        </w:rPr>
        <w:t>8、政府采购执行率得2分（本单位严格按政府采购标准执行采购）;</w:t>
      </w:r>
    </w:p>
    <w:p w14:paraId="6DAEE29F">
      <w:pPr>
        <w:pStyle w:val="6"/>
        <w:spacing w:before="0" w:beforeAutospacing="0" w:after="0" w:afterAutospacing="0"/>
        <w:ind w:firstLine="480"/>
        <w:jc w:val="both"/>
        <w:rPr>
          <w:rFonts w:ascii="仿宋" w:hAnsi="仿宋" w:eastAsia="仿宋" w:cs="仿宋"/>
          <w:bCs/>
          <w:color w:val="030303"/>
          <w:sz w:val="32"/>
          <w:szCs w:val="32"/>
        </w:rPr>
      </w:pPr>
      <w:r>
        <w:rPr>
          <w:rFonts w:hint="eastAsia" w:ascii="仿宋" w:hAnsi="仿宋" w:eastAsia="仿宋" w:cs="仿宋"/>
          <w:bCs/>
          <w:sz w:val="32"/>
          <w:szCs w:val="32"/>
        </w:rPr>
        <w:t>（四）预算管理得10分</w:t>
      </w:r>
    </w:p>
    <w:p w14:paraId="27740EF7">
      <w:pPr>
        <w:pStyle w:val="6"/>
        <w:spacing w:before="0" w:beforeAutospacing="0" w:after="0" w:afterAutospacing="0"/>
        <w:ind w:firstLine="640" w:firstLineChars="200"/>
        <w:jc w:val="both"/>
        <w:rPr>
          <w:rFonts w:ascii="仿宋" w:hAnsi="仿宋" w:eastAsia="仿宋" w:cs="仿宋"/>
          <w:bCs/>
          <w:color w:val="030303"/>
          <w:sz w:val="32"/>
          <w:szCs w:val="32"/>
        </w:rPr>
      </w:pPr>
      <w:r>
        <w:rPr>
          <w:rFonts w:hint="eastAsia" w:ascii="仿宋" w:hAnsi="仿宋" w:eastAsia="仿宋" w:cs="仿宋"/>
          <w:bCs/>
          <w:sz w:val="32"/>
          <w:szCs w:val="32"/>
        </w:rPr>
        <w:t>1、管理制度健全性得2分（本单位制订了财务管理制度，依据财经相关法律法规规定我们在制度中明确了</w:t>
      </w:r>
      <w:r>
        <w:rPr>
          <w:rFonts w:hint="eastAsia" w:ascii="仿宋" w:hAnsi="仿宋" w:eastAsia="仿宋" w:cs="仿宋"/>
          <w:sz w:val="32"/>
          <w:szCs w:val="32"/>
        </w:rPr>
        <w:t>内部财务预算管理、支出审批审核、会计核算、厉行节约、资金及资产管理等一系列管理要求，并在实际管理过程中得到有效实施</w:t>
      </w:r>
      <w:r>
        <w:rPr>
          <w:rFonts w:hint="eastAsia" w:ascii="仿宋" w:hAnsi="仿宋" w:eastAsia="仿宋" w:cs="仿宋"/>
          <w:bCs/>
          <w:sz w:val="32"/>
          <w:szCs w:val="32"/>
        </w:rPr>
        <w:t>）；</w:t>
      </w:r>
    </w:p>
    <w:p w14:paraId="6B6942F3">
      <w:pPr>
        <w:pStyle w:val="6"/>
        <w:spacing w:before="0" w:beforeAutospacing="0" w:after="0" w:afterAutospacing="0"/>
        <w:ind w:firstLine="640" w:firstLineChars="200"/>
        <w:jc w:val="both"/>
        <w:rPr>
          <w:rFonts w:ascii="仿宋" w:hAnsi="仿宋" w:eastAsia="仿宋" w:cs="仿宋"/>
          <w:bCs/>
          <w:sz w:val="32"/>
          <w:szCs w:val="32"/>
        </w:rPr>
      </w:pPr>
      <w:r>
        <w:rPr>
          <w:rFonts w:hint="eastAsia" w:ascii="仿宋" w:hAnsi="仿宋" w:eastAsia="仿宋" w:cs="仿宋"/>
          <w:bCs/>
          <w:sz w:val="32"/>
          <w:szCs w:val="32"/>
        </w:rPr>
        <w:t>2、资金使用合规性得4分（</w:t>
      </w:r>
      <w:r>
        <w:rPr>
          <w:rFonts w:hint="eastAsia" w:ascii="仿宋" w:hAnsi="仿宋" w:eastAsia="仿宋" w:cs="仿宋"/>
          <w:sz w:val="32"/>
          <w:szCs w:val="32"/>
        </w:rPr>
        <w:t>支出符合国家财政法规和财务管理制度规定，对项目资金严格实行专款专用;资金拨付严格审批审核程序，严格按预算批复要求使用资金，资金使用无截留、挤占、挪用、虚列支出等情况</w:t>
      </w:r>
      <w:r>
        <w:rPr>
          <w:rFonts w:hint="eastAsia" w:ascii="仿宋" w:hAnsi="仿宋" w:eastAsia="仿宋" w:cs="仿宋"/>
          <w:bCs/>
          <w:sz w:val="32"/>
          <w:szCs w:val="32"/>
        </w:rPr>
        <w:t>）；</w:t>
      </w:r>
    </w:p>
    <w:p w14:paraId="29719AE7">
      <w:pPr>
        <w:pStyle w:val="6"/>
        <w:spacing w:before="0" w:beforeAutospacing="0" w:after="0" w:afterAutospacing="0"/>
        <w:ind w:firstLine="640" w:firstLineChars="200"/>
        <w:jc w:val="both"/>
        <w:rPr>
          <w:rFonts w:ascii="仿宋" w:hAnsi="仿宋" w:eastAsia="仿宋" w:cs="仿宋"/>
          <w:bCs/>
          <w:color w:val="030303"/>
          <w:sz w:val="32"/>
          <w:szCs w:val="32"/>
        </w:rPr>
      </w:pPr>
      <w:r>
        <w:rPr>
          <w:rFonts w:hint="eastAsia" w:ascii="仿宋" w:hAnsi="仿宋" w:eastAsia="仿宋" w:cs="仿宋"/>
          <w:bCs/>
          <w:sz w:val="32"/>
          <w:szCs w:val="32"/>
        </w:rPr>
        <w:t>3、预决算信息公开性得2分（对预决算我们严格按财政部门要求在财政规定网站进行公开公示）；</w:t>
      </w:r>
    </w:p>
    <w:p w14:paraId="7910CF72">
      <w:pPr>
        <w:pStyle w:val="6"/>
        <w:spacing w:before="0" w:beforeAutospacing="0" w:after="0" w:afterAutospacing="0"/>
        <w:ind w:firstLine="640" w:firstLineChars="200"/>
        <w:jc w:val="both"/>
        <w:rPr>
          <w:rFonts w:ascii="仿宋" w:hAnsi="仿宋" w:eastAsia="仿宋" w:cs="仿宋"/>
          <w:bCs/>
          <w:color w:val="030303"/>
          <w:sz w:val="32"/>
          <w:szCs w:val="32"/>
        </w:rPr>
      </w:pPr>
      <w:r>
        <w:rPr>
          <w:rFonts w:hint="eastAsia" w:ascii="仿宋" w:hAnsi="仿宋" w:eastAsia="仿宋" w:cs="仿宋"/>
          <w:bCs/>
          <w:sz w:val="32"/>
          <w:szCs w:val="32"/>
        </w:rPr>
        <w:t>4、基础信息完善性2分（对于</w:t>
      </w:r>
      <w:r>
        <w:rPr>
          <w:rFonts w:hint="eastAsia" w:ascii="仿宋" w:hAnsi="仿宋" w:eastAsia="仿宋" w:cs="仿宋"/>
          <w:sz w:val="32"/>
          <w:szCs w:val="32"/>
        </w:rPr>
        <w:t>基础数据信息和会计信息资料我们做到了</w:t>
      </w:r>
      <w:r>
        <w:rPr>
          <w:rFonts w:hint="eastAsia" w:ascii="仿宋" w:hAnsi="仿宋" w:eastAsia="仿宋" w:cs="仿宋"/>
          <w:bCs/>
          <w:sz w:val="32"/>
          <w:szCs w:val="32"/>
        </w:rPr>
        <w:t>真实、完整、准确无误）；</w:t>
      </w:r>
    </w:p>
    <w:p w14:paraId="61D96C76">
      <w:pPr>
        <w:pStyle w:val="6"/>
        <w:spacing w:before="0" w:beforeAutospacing="0" w:after="0" w:afterAutospacing="0"/>
        <w:ind w:firstLine="480"/>
        <w:jc w:val="both"/>
        <w:rPr>
          <w:rFonts w:ascii="仿宋" w:hAnsi="仿宋" w:eastAsia="仿宋" w:cs="仿宋"/>
          <w:bCs/>
          <w:sz w:val="32"/>
          <w:szCs w:val="32"/>
        </w:rPr>
      </w:pPr>
      <w:r>
        <w:rPr>
          <w:rFonts w:hint="eastAsia" w:ascii="仿宋" w:hAnsi="仿宋" w:eastAsia="仿宋" w:cs="仿宋"/>
          <w:bCs/>
          <w:sz w:val="32"/>
          <w:szCs w:val="32"/>
        </w:rPr>
        <w:t xml:space="preserve"> （五）资产管理得6分</w:t>
      </w:r>
    </w:p>
    <w:p w14:paraId="4B697C20">
      <w:pPr>
        <w:pStyle w:val="6"/>
        <w:spacing w:before="0" w:beforeAutospacing="0" w:after="0" w:afterAutospacing="0"/>
        <w:ind w:firstLine="640" w:firstLineChars="200"/>
        <w:jc w:val="both"/>
        <w:rPr>
          <w:rFonts w:ascii="仿宋" w:hAnsi="仿宋" w:eastAsia="仿宋" w:cs="仿宋"/>
          <w:bCs/>
          <w:sz w:val="32"/>
          <w:szCs w:val="32"/>
        </w:rPr>
      </w:pPr>
      <w:r>
        <w:rPr>
          <w:rFonts w:hint="eastAsia" w:ascii="仿宋" w:hAnsi="仿宋" w:eastAsia="仿宋" w:cs="仿宋"/>
          <w:bCs/>
          <w:sz w:val="32"/>
          <w:szCs w:val="32"/>
        </w:rPr>
        <w:t>1、管理制度健全性得2分（根据单位具体情况制订财务制度中对于资产的管理和使用有明确的规定，并将付诸于实施落实）。</w:t>
      </w:r>
    </w:p>
    <w:p w14:paraId="7E4FB752">
      <w:pPr>
        <w:pStyle w:val="6"/>
        <w:spacing w:before="0" w:beforeAutospacing="0" w:after="0" w:afterAutospacing="0"/>
        <w:ind w:firstLine="640" w:firstLineChars="200"/>
        <w:jc w:val="both"/>
        <w:rPr>
          <w:rFonts w:ascii="仿宋" w:hAnsi="仿宋" w:eastAsia="仿宋" w:cs="仿宋"/>
          <w:bCs/>
          <w:sz w:val="32"/>
          <w:szCs w:val="32"/>
        </w:rPr>
      </w:pPr>
      <w:r>
        <w:rPr>
          <w:rFonts w:hint="eastAsia" w:ascii="仿宋" w:hAnsi="仿宋" w:eastAsia="仿宋" w:cs="仿宋"/>
          <w:bCs/>
          <w:sz w:val="32"/>
          <w:szCs w:val="32"/>
        </w:rPr>
        <w:t>2、资产管理安全性得2.5分（通过具体实施管理我们做到了账实相符，定期盘点，建立详细的领用登记，使用保管记录）；</w:t>
      </w:r>
    </w:p>
    <w:p w14:paraId="65755478">
      <w:pPr>
        <w:pStyle w:val="6"/>
        <w:spacing w:before="0" w:beforeAutospacing="0" w:after="0" w:afterAutospacing="0"/>
        <w:ind w:firstLine="640" w:firstLineChars="200"/>
        <w:jc w:val="both"/>
        <w:rPr>
          <w:rFonts w:ascii="仿宋" w:hAnsi="仿宋" w:eastAsia="仿宋" w:cs="仿宋"/>
          <w:bCs/>
          <w:sz w:val="32"/>
          <w:szCs w:val="32"/>
        </w:rPr>
      </w:pPr>
      <w:r>
        <w:rPr>
          <w:rFonts w:hint="eastAsia" w:ascii="仿宋" w:hAnsi="仿宋" w:eastAsia="仿宋" w:cs="仿宋"/>
          <w:bCs/>
          <w:sz w:val="32"/>
          <w:szCs w:val="32"/>
        </w:rPr>
        <w:t>3、 固定资产利用率得1.5分；</w:t>
      </w:r>
    </w:p>
    <w:p w14:paraId="08DB7FF6">
      <w:pPr>
        <w:pStyle w:val="6"/>
        <w:spacing w:before="0" w:beforeAutospacing="0" w:after="0" w:afterAutospacing="0"/>
        <w:ind w:firstLine="640" w:firstLineChars="200"/>
        <w:jc w:val="both"/>
        <w:rPr>
          <w:rFonts w:ascii="仿宋" w:hAnsi="仿宋" w:eastAsia="仿宋" w:cs="仿宋"/>
          <w:bCs/>
          <w:sz w:val="32"/>
          <w:szCs w:val="32"/>
        </w:rPr>
      </w:pPr>
      <w:r>
        <w:rPr>
          <w:rFonts w:hint="eastAsia" w:ascii="仿宋" w:hAnsi="仿宋" w:eastAsia="仿宋" w:cs="仿宋"/>
          <w:bCs/>
          <w:sz w:val="32"/>
          <w:szCs w:val="32"/>
        </w:rPr>
        <w:t>（六）职责履行得26分。2023年我单位在全体干部职工的共同努力下圆满出色完成了各项工作目标和任务。</w:t>
      </w:r>
    </w:p>
    <w:p w14:paraId="39D7EDFB">
      <w:pPr>
        <w:pStyle w:val="6"/>
        <w:spacing w:before="0" w:beforeAutospacing="0" w:after="0" w:afterAutospacing="0"/>
        <w:ind w:firstLine="960" w:firstLineChars="300"/>
        <w:jc w:val="both"/>
        <w:rPr>
          <w:rFonts w:ascii="仿宋" w:hAnsi="仿宋" w:eastAsia="仿宋" w:cs="仿宋"/>
          <w:bCs/>
          <w:sz w:val="32"/>
          <w:szCs w:val="32"/>
        </w:rPr>
      </w:pPr>
      <w:r>
        <w:rPr>
          <w:rFonts w:hint="eastAsia" w:ascii="仿宋" w:hAnsi="仿宋" w:eastAsia="仿宋" w:cs="仿宋"/>
          <w:bCs/>
          <w:sz w:val="32"/>
          <w:szCs w:val="32"/>
        </w:rPr>
        <w:t>1、实际完成率得8分；</w:t>
      </w:r>
    </w:p>
    <w:p w14:paraId="68D5310A">
      <w:pPr>
        <w:pStyle w:val="6"/>
        <w:spacing w:before="0" w:beforeAutospacing="0" w:after="0" w:afterAutospacing="0"/>
        <w:ind w:firstLine="1049" w:firstLineChars="328"/>
        <w:jc w:val="both"/>
        <w:rPr>
          <w:rFonts w:ascii="仿宋" w:hAnsi="仿宋" w:eastAsia="仿宋" w:cs="仿宋"/>
          <w:bCs/>
          <w:sz w:val="32"/>
          <w:szCs w:val="32"/>
        </w:rPr>
      </w:pPr>
      <w:r>
        <w:rPr>
          <w:rFonts w:hint="eastAsia" w:ascii="仿宋" w:hAnsi="仿宋" w:eastAsia="仿宋" w:cs="仿宋"/>
          <w:bCs/>
          <w:sz w:val="32"/>
          <w:szCs w:val="32"/>
        </w:rPr>
        <w:t>2、完成及时率得8分；</w:t>
      </w:r>
    </w:p>
    <w:p w14:paraId="0BCFF15B">
      <w:pPr>
        <w:pStyle w:val="6"/>
        <w:spacing w:before="0" w:beforeAutospacing="0" w:after="0" w:afterAutospacing="0"/>
        <w:ind w:firstLine="1049" w:firstLineChars="328"/>
        <w:jc w:val="both"/>
        <w:rPr>
          <w:rFonts w:ascii="仿宋" w:hAnsi="仿宋" w:eastAsia="仿宋" w:cs="仿宋"/>
          <w:bCs/>
          <w:sz w:val="32"/>
          <w:szCs w:val="32"/>
        </w:rPr>
      </w:pPr>
      <w:r>
        <w:rPr>
          <w:rFonts w:hint="eastAsia" w:ascii="仿宋" w:hAnsi="仿宋" w:eastAsia="仿宋" w:cs="仿宋"/>
          <w:bCs/>
          <w:sz w:val="32"/>
          <w:szCs w:val="32"/>
        </w:rPr>
        <w:t>3、质量达标率得5分；</w:t>
      </w:r>
    </w:p>
    <w:p w14:paraId="106ABDB3">
      <w:pPr>
        <w:pStyle w:val="6"/>
        <w:spacing w:before="0" w:beforeAutospacing="0" w:after="0" w:afterAutospacing="0"/>
        <w:ind w:firstLine="1049" w:firstLineChars="328"/>
        <w:jc w:val="both"/>
        <w:rPr>
          <w:rFonts w:ascii="仿宋" w:hAnsi="仿宋" w:eastAsia="仿宋" w:cs="仿宋"/>
          <w:bCs/>
          <w:sz w:val="32"/>
          <w:szCs w:val="32"/>
        </w:rPr>
      </w:pPr>
      <w:r>
        <w:rPr>
          <w:rFonts w:hint="eastAsia" w:ascii="仿宋" w:hAnsi="仿宋" w:eastAsia="仿宋" w:cs="仿宋"/>
          <w:bCs/>
          <w:sz w:val="32"/>
          <w:szCs w:val="32"/>
        </w:rPr>
        <w:t>4、重点工作办结率得5分；</w:t>
      </w:r>
    </w:p>
    <w:p w14:paraId="471658E3">
      <w:pPr>
        <w:pStyle w:val="6"/>
        <w:spacing w:before="0" w:beforeAutospacing="0" w:after="0" w:afterAutospacing="0"/>
        <w:ind w:firstLine="640" w:firstLineChars="200"/>
        <w:jc w:val="both"/>
        <w:rPr>
          <w:rFonts w:ascii="仿宋" w:hAnsi="仿宋" w:eastAsia="仿宋" w:cs="仿宋"/>
          <w:bCs/>
          <w:sz w:val="32"/>
          <w:szCs w:val="32"/>
        </w:rPr>
      </w:pPr>
      <w:r>
        <w:rPr>
          <w:rFonts w:hint="eastAsia" w:ascii="仿宋" w:hAnsi="仿宋" w:eastAsia="仿宋" w:cs="仿宋"/>
          <w:bCs/>
          <w:sz w:val="32"/>
          <w:szCs w:val="32"/>
        </w:rPr>
        <w:t>（七）履职效益得31分</w:t>
      </w:r>
    </w:p>
    <w:p w14:paraId="1EE0ABD1">
      <w:pPr>
        <w:pStyle w:val="6"/>
        <w:spacing w:before="0" w:beforeAutospacing="0" w:after="0" w:afterAutospacing="0"/>
        <w:ind w:firstLine="640" w:firstLineChars="200"/>
        <w:jc w:val="both"/>
        <w:rPr>
          <w:rFonts w:ascii="仿宋" w:hAnsi="仿宋" w:eastAsia="仿宋" w:cs="仿宋"/>
          <w:bCs/>
          <w:color w:val="030303"/>
          <w:sz w:val="32"/>
          <w:szCs w:val="32"/>
        </w:rPr>
      </w:pPr>
      <w:r>
        <w:rPr>
          <w:rFonts w:hint="eastAsia" w:ascii="仿宋" w:hAnsi="仿宋" w:eastAsia="仿宋" w:cs="仿宋"/>
          <w:bCs/>
          <w:sz w:val="32"/>
          <w:szCs w:val="32"/>
        </w:rPr>
        <w:t>1、经济效益、社会效益、生态效益得16分：我单位在各方面工作都得到社会大众的肯定和好评。</w:t>
      </w:r>
    </w:p>
    <w:p w14:paraId="56D51982">
      <w:pPr>
        <w:adjustRightInd w:val="0"/>
        <w:snapToGrid w:val="0"/>
        <w:spacing w:line="560" w:lineRule="exact"/>
        <w:ind w:firstLine="640" w:firstLineChars="200"/>
        <w:rPr>
          <w:rFonts w:ascii="仿宋" w:hAnsi="仿宋" w:eastAsia="仿宋" w:cs="仿宋"/>
          <w:sz w:val="32"/>
          <w:szCs w:val="32"/>
        </w:rPr>
      </w:pPr>
      <w:r>
        <w:rPr>
          <w:rFonts w:hint="eastAsia" w:ascii="仿宋" w:hAnsi="仿宋" w:eastAsia="仿宋" w:cs="仿宋"/>
          <w:bCs/>
          <w:sz w:val="32"/>
          <w:szCs w:val="32"/>
        </w:rPr>
        <w:t>2、社会公众或服务对象满意度得15分：在年度绩效考核中成绩优异。</w:t>
      </w:r>
    </w:p>
    <w:p w14:paraId="3BBB2501">
      <w:pPr>
        <w:adjustRightInd w:val="0"/>
        <w:snapToGrid w:val="0"/>
        <w:spacing w:line="560" w:lineRule="exact"/>
        <w:ind w:firstLine="643" w:firstLineChars="200"/>
        <w:rPr>
          <w:rFonts w:ascii="仿宋" w:hAnsi="仿宋" w:eastAsia="仿宋" w:cs="仿宋"/>
          <w:b/>
          <w:sz w:val="32"/>
          <w:szCs w:val="32"/>
        </w:rPr>
      </w:pPr>
      <w:r>
        <w:rPr>
          <w:rFonts w:hint="eastAsia" w:ascii="仿宋" w:hAnsi="仿宋" w:eastAsia="仿宋" w:cs="仿宋"/>
          <w:b/>
          <w:sz w:val="32"/>
          <w:szCs w:val="32"/>
        </w:rPr>
        <w:t>四、存在的主要问题</w:t>
      </w:r>
    </w:p>
    <w:p w14:paraId="51C6012D">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预算编制的分类和实行执行出现脱节：预算编制的功能分类与经济分类不够细化，而实际支出中的情况更加多元化和明细化，出现了分类不一致的情况。</w:t>
      </w:r>
    </w:p>
    <w:p w14:paraId="4FBDE6B1">
      <w:pPr>
        <w:adjustRightInd w:val="0"/>
        <w:snapToGrid w:val="0"/>
        <w:spacing w:line="560" w:lineRule="exact"/>
        <w:ind w:firstLine="643" w:firstLineChars="200"/>
        <w:rPr>
          <w:rFonts w:ascii="仿宋" w:hAnsi="仿宋" w:eastAsia="仿宋" w:cs="仿宋"/>
          <w:b/>
          <w:sz w:val="32"/>
          <w:szCs w:val="32"/>
        </w:rPr>
      </w:pPr>
      <w:r>
        <w:rPr>
          <w:rFonts w:hint="eastAsia" w:ascii="仿宋" w:hAnsi="仿宋" w:eastAsia="仿宋" w:cs="仿宋"/>
          <w:b/>
          <w:sz w:val="32"/>
          <w:szCs w:val="32"/>
        </w:rPr>
        <w:t>五、改进措施和有关建议</w:t>
      </w:r>
    </w:p>
    <w:p w14:paraId="4BFE996C">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1.进一步加强内部机构的预算管理意识，严格按照预算编制的相关制度和要求，进一步提高预算编制的科学性、合理性、严谨性和可控性，</w:t>
      </w:r>
    </w:p>
    <w:p w14:paraId="60A149FA">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2.进一步推进预算绩效管理信息系统建设，完善绩效管理相关制度，提高可操作性。</w:t>
      </w:r>
    </w:p>
    <w:p w14:paraId="27811C0E">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3.建议构建单位财务部门和业务部门共同参与、协调配合的绩效评价工作机制，提高财政资金使用效益。</w:t>
      </w:r>
    </w:p>
    <w:p w14:paraId="4094F269">
      <w:pPr>
        <w:spacing w:line="560" w:lineRule="exact"/>
        <w:ind w:firstLine="640" w:firstLineChars="200"/>
        <w:rPr>
          <w:rFonts w:ascii="仿宋" w:hAnsi="仿宋" w:eastAsia="仿宋" w:cs="仿宋"/>
          <w:sz w:val="32"/>
          <w:szCs w:val="32"/>
          <w:highlight w:val="yellow"/>
        </w:rPr>
      </w:pPr>
    </w:p>
    <w:p w14:paraId="628B1966">
      <w:pPr>
        <w:adjustRightInd w:val="0"/>
        <w:snapToGrid w:val="0"/>
        <w:spacing w:line="560" w:lineRule="exact"/>
        <w:ind w:firstLine="640" w:firstLineChars="200"/>
        <w:rPr>
          <w:rFonts w:ascii="仿宋" w:hAnsi="仿宋" w:eastAsia="仿宋" w:cs="仿宋"/>
          <w:sz w:val="32"/>
          <w:szCs w:val="32"/>
        </w:rPr>
      </w:pPr>
    </w:p>
    <w:p w14:paraId="25557A87">
      <w:pPr>
        <w:spacing w:line="520" w:lineRule="exact"/>
        <w:jc w:val="center"/>
        <w:rPr>
          <w:rFonts w:ascii="楷体" w:hAnsi="楷体" w:eastAsia="楷体" w:cs="楷体"/>
          <w:b/>
          <w:sz w:val="32"/>
          <w:szCs w:val="32"/>
        </w:rPr>
      </w:pPr>
      <w:r>
        <w:rPr>
          <w:rFonts w:hint="eastAsia" w:ascii="仿宋" w:hAnsi="仿宋" w:eastAsia="仿宋" w:cs="仿宋"/>
          <w:sz w:val="32"/>
          <w:szCs w:val="32"/>
        </w:rPr>
        <w:t xml:space="preserve">                                </w:t>
      </w:r>
      <w:r>
        <w:rPr>
          <w:rFonts w:hint="eastAsia" w:ascii="楷体" w:hAnsi="楷体" w:eastAsia="楷体" w:cs="楷体"/>
          <w:b/>
          <w:sz w:val="32"/>
          <w:szCs w:val="32"/>
        </w:rPr>
        <w:t>共青团衡南县委员会</w:t>
      </w:r>
    </w:p>
    <w:p w14:paraId="5E4DBB0B">
      <w:pPr>
        <w:adjustRightInd w:val="0"/>
        <w:snapToGrid w:val="0"/>
        <w:spacing w:line="560" w:lineRule="exact"/>
        <w:ind w:right="160"/>
        <w:jc w:val="right"/>
        <w:rPr>
          <w:rFonts w:ascii="华文楷体" w:hAnsi="华文楷体" w:eastAsia="华文楷体" w:cs="仿宋_GB2312"/>
          <w:sz w:val="28"/>
          <w:szCs w:val="28"/>
        </w:rPr>
      </w:pPr>
      <w:r>
        <w:rPr>
          <w:rFonts w:hint="eastAsia" w:ascii="仿宋" w:hAnsi="仿宋" w:eastAsia="仿宋" w:cs="仿宋"/>
          <w:sz w:val="32"/>
          <w:szCs w:val="32"/>
        </w:rPr>
        <w:t xml:space="preserve"> 2024年6月25日</w:t>
      </w:r>
    </w:p>
    <w:sectPr>
      <w:pgSz w:w="11906" w:h="16838"/>
      <w:pgMar w:top="1440" w:right="1797" w:bottom="1440" w:left="1797"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10" w:usb3="00000000" w:csb0="000400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2C4F604"/>
    <w:multiLevelType w:val="singleLevel"/>
    <w:tmpl w:val="C2C4F604"/>
    <w:lvl w:ilvl="0" w:tentative="0">
      <w:start w:val="2"/>
      <w:numFmt w:val="chineseCounting"/>
      <w:suff w:val="nothing"/>
      <w:lvlText w:val="（%1）"/>
      <w:lvlJc w:val="left"/>
      <w:rPr>
        <w:rFonts w:hint="eastAsia"/>
      </w:rPr>
    </w:lvl>
  </w:abstractNum>
  <w:abstractNum w:abstractNumId="1">
    <w:nsid w:val="D4AD6407"/>
    <w:multiLevelType w:val="singleLevel"/>
    <w:tmpl w:val="D4AD6407"/>
    <w:lvl w:ilvl="0" w:tentative="0">
      <w:start w:val="1"/>
      <w:numFmt w:val="decimal"/>
      <w:suff w:val="nothing"/>
      <w:lvlText w:val="%1、"/>
      <w:lvlJc w:val="left"/>
    </w:lvl>
  </w:abstractNum>
  <w:abstractNum w:abstractNumId="2">
    <w:nsid w:val="03CE35B4"/>
    <w:multiLevelType w:val="multilevel"/>
    <w:tmpl w:val="03CE35B4"/>
    <w:lvl w:ilvl="0" w:tentative="0">
      <w:start w:val="2"/>
      <w:numFmt w:val="decimal"/>
      <w:lvlText w:val="（%1）"/>
      <w:lvlJc w:val="left"/>
      <w:pPr>
        <w:ind w:left="1723" w:hanging="1080"/>
      </w:pPr>
      <w:rPr>
        <w:rFonts w:hint="default"/>
      </w:rPr>
    </w:lvl>
    <w:lvl w:ilvl="1" w:tentative="0">
      <w:start w:val="1"/>
      <w:numFmt w:val="lowerLetter"/>
      <w:lvlText w:val="%2)"/>
      <w:lvlJc w:val="left"/>
      <w:pPr>
        <w:ind w:left="1483" w:hanging="420"/>
      </w:pPr>
    </w:lvl>
    <w:lvl w:ilvl="2" w:tentative="0">
      <w:start w:val="1"/>
      <w:numFmt w:val="lowerRoman"/>
      <w:lvlText w:val="%3."/>
      <w:lvlJc w:val="right"/>
      <w:pPr>
        <w:ind w:left="1903" w:hanging="420"/>
      </w:pPr>
    </w:lvl>
    <w:lvl w:ilvl="3" w:tentative="0">
      <w:start w:val="1"/>
      <w:numFmt w:val="decimal"/>
      <w:lvlText w:val="%4."/>
      <w:lvlJc w:val="left"/>
      <w:pPr>
        <w:ind w:left="2323" w:hanging="420"/>
      </w:pPr>
    </w:lvl>
    <w:lvl w:ilvl="4" w:tentative="0">
      <w:start w:val="1"/>
      <w:numFmt w:val="lowerLetter"/>
      <w:lvlText w:val="%5)"/>
      <w:lvlJc w:val="left"/>
      <w:pPr>
        <w:ind w:left="2743" w:hanging="420"/>
      </w:pPr>
    </w:lvl>
    <w:lvl w:ilvl="5" w:tentative="0">
      <w:start w:val="1"/>
      <w:numFmt w:val="lowerRoman"/>
      <w:lvlText w:val="%6."/>
      <w:lvlJc w:val="right"/>
      <w:pPr>
        <w:ind w:left="3163" w:hanging="420"/>
      </w:pPr>
    </w:lvl>
    <w:lvl w:ilvl="6" w:tentative="0">
      <w:start w:val="1"/>
      <w:numFmt w:val="decimal"/>
      <w:lvlText w:val="%7."/>
      <w:lvlJc w:val="left"/>
      <w:pPr>
        <w:ind w:left="3583" w:hanging="420"/>
      </w:pPr>
    </w:lvl>
    <w:lvl w:ilvl="7" w:tentative="0">
      <w:start w:val="1"/>
      <w:numFmt w:val="lowerLetter"/>
      <w:lvlText w:val="%8)"/>
      <w:lvlJc w:val="left"/>
      <w:pPr>
        <w:ind w:left="4003" w:hanging="420"/>
      </w:pPr>
    </w:lvl>
    <w:lvl w:ilvl="8" w:tentative="0">
      <w:start w:val="1"/>
      <w:numFmt w:val="lowerRoman"/>
      <w:lvlText w:val="%9."/>
      <w:lvlJc w:val="right"/>
      <w:pPr>
        <w:ind w:left="4423" w:hanging="420"/>
      </w:pPr>
    </w:lvl>
  </w:abstractNum>
  <w:abstractNum w:abstractNumId="3">
    <w:nsid w:val="045D1728"/>
    <w:multiLevelType w:val="singleLevel"/>
    <w:tmpl w:val="045D1728"/>
    <w:lvl w:ilvl="0" w:tentative="0">
      <w:start w:val="3"/>
      <w:numFmt w:val="chineseCounting"/>
      <w:suff w:val="nothing"/>
      <w:lvlText w:val="（%1）"/>
      <w:lvlJc w:val="left"/>
      <w:pPr>
        <w:ind w:left="-10"/>
      </w:pPr>
      <w:rPr>
        <w:rFonts w:hint="eastAsia"/>
      </w:rPr>
    </w:lvl>
  </w:abstractNum>
  <w:abstractNum w:abstractNumId="4">
    <w:nsid w:val="633B043E"/>
    <w:multiLevelType w:val="singleLevel"/>
    <w:tmpl w:val="633B043E"/>
    <w:lvl w:ilvl="0" w:tentative="0">
      <w:start w:val="1"/>
      <w:numFmt w:val="chineseCounting"/>
      <w:suff w:val="nothing"/>
      <w:lvlText w:val="%1、"/>
      <w:lvlJc w:val="left"/>
      <w:rPr>
        <w:rFonts w:hint="eastAsia"/>
      </w:rPr>
    </w:lvl>
  </w:abstractNum>
  <w:num w:numId="1">
    <w:abstractNumId w:val="4"/>
  </w:num>
  <w:num w:numId="2">
    <w:abstractNumId w:val="0"/>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NjOTMyMzg2MGVmMGI0YjBmMGZjNWE1NDMzNWE1MjkifQ=="/>
  </w:docVars>
  <w:rsids>
    <w:rsidRoot w:val="00006FAB"/>
    <w:rsid w:val="00006FAB"/>
    <w:rsid w:val="000C6B11"/>
    <w:rsid w:val="001B22FB"/>
    <w:rsid w:val="00361134"/>
    <w:rsid w:val="003C3394"/>
    <w:rsid w:val="003F46FB"/>
    <w:rsid w:val="004D2881"/>
    <w:rsid w:val="004E0163"/>
    <w:rsid w:val="00507604"/>
    <w:rsid w:val="006C4110"/>
    <w:rsid w:val="00823C8C"/>
    <w:rsid w:val="00932D70"/>
    <w:rsid w:val="00994ADF"/>
    <w:rsid w:val="009E02C6"/>
    <w:rsid w:val="00A724B5"/>
    <w:rsid w:val="00AA554D"/>
    <w:rsid w:val="00BA43ED"/>
    <w:rsid w:val="00C6557A"/>
    <w:rsid w:val="00DA76EE"/>
    <w:rsid w:val="00ED1365"/>
    <w:rsid w:val="00F52010"/>
    <w:rsid w:val="00F879FA"/>
    <w:rsid w:val="00FF688D"/>
    <w:rsid w:val="01964C36"/>
    <w:rsid w:val="02DC3EDD"/>
    <w:rsid w:val="04FB2A81"/>
    <w:rsid w:val="08601134"/>
    <w:rsid w:val="08B301B5"/>
    <w:rsid w:val="0BDC0CF3"/>
    <w:rsid w:val="0C41127C"/>
    <w:rsid w:val="0FAC4C5F"/>
    <w:rsid w:val="104A6951"/>
    <w:rsid w:val="12517446"/>
    <w:rsid w:val="143F2545"/>
    <w:rsid w:val="157206C1"/>
    <w:rsid w:val="163D5BF9"/>
    <w:rsid w:val="18FA6A3B"/>
    <w:rsid w:val="19924EC5"/>
    <w:rsid w:val="19DE09C2"/>
    <w:rsid w:val="1A6A0450"/>
    <w:rsid w:val="1E316532"/>
    <w:rsid w:val="1FBE35D2"/>
    <w:rsid w:val="20DB53A4"/>
    <w:rsid w:val="2A931C35"/>
    <w:rsid w:val="2B6752A2"/>
    <w:rsid w:val="2B6A7A50"/>
    <w:rsid w:val="2D2332CF"/>
    <w:rsid w:val="30A37B79"/>
    <w:rsid w:val="31281947"/>
    <w:rsid w:val="313E5C07"/>
    <w:rsid w:val="3140197F"/>
    <w:rsid w:val="337B7D01"/>
    <w:rsid w:val="337C098D"/>
    <w:rsid w:val="340C71B6"/>
    <w:rsid w:val="38A547BD"/>
    <w:rsid w:val="3AB807D8"/>
    <w:rsid w:val="3BF76953"/>
    <w:rsid w:val="44226D7A"/>
    <w:rsid w:val="454D4E2A"/>
    <w:rsid w:val="47CA4B6D"/>
    <w:rsid w:val="48B25912"/>
    <w:rsid w:val="4A7639C2"/>
    <w:rsid w:val="4AAA348D"/>
    <w:rsid w:val="4AAB292B"/>
    <w:rsid w:val="4B35795A"/>
    <w:rsid w:val="4CE05860"/>
    <w:rsid w:val="4DB841F3"/>
    <w:rsid w:val="4DBA25C8"/>
    <w:rsid w:val="4DDC25D7"/>
    <w:rsid w:val="4EC317CF"/>
    <w:rsid w:val="4EF63225"/>
    <w:rsid w:val="4FCE7CFE"/>
    <w:rsid w:val="502473D1"/>
    <w:rsid w:val="51BA2C30"/>
    <w:rsid w:val="53926C62"/>
    <w:rsid w:val="55C84CCF"/>
    <w:rsid w:val="571E5A0F"/>
    <w:rsid w:val="576A537F"/>
    <w:rsid w:val="57AE684B"/>
    <w:rsid w:val="5B6519F8"/>
    <w:rsid w:val="5BCB6163"/>
    <w:rsid w:val="5CE10A2B"/>
    <w:rsid w:val="5D8544D0"/>
    <w:rsid w:val="60433739"/>
    <w:rsid w:val="610B7004"/>
    <w:rsid w:val="620505FA"/>
    <w:rsid w:val="65163E6B"/>
    <w:rsid w:val="65AE40CC"/>
    <w:rsid w:val="65C866F7"/>
    <w:rsid w:val="6C350865"/>
    <w:rsid w:val="6E042A7B"/>
    <w:rsid w:val="70350E1A"/>
    <w:rsid w:val="70A3794F"/>
    <w:rsid w:val="70B0102E"/>
    <w:rsid w:val="73B861AD"/>
    <w:rsid w:val="77300CCA"/>
    <w:rsid w:val="777D3C34"/>
    <w:rsid w:val="78A9749E"/>
    <w:rsid w:val="7A3822CF"/>
    <w:rsid w:val="7A7C783B"/>
    <w:rsid w:val="7C8C7AF8"/>
    <w:rsid w:val="7F5C0C91"/>
    <w:rsid w:val="7FAD76F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autoRedefine/>
    <w:qFormat/>
    <w:uiPriority w:val="0"/>
    <w:pPr>
      <w:keepNext/>
      <w:keepLines/>
      <w:spacing w:line="576" w:lineRule="auto"/>
      <w:outlineLvl w:val="0"/>
    </w:pPr>
    <w:rPr>
      <w:b/>
      <w:kern w:val="44"/>
      <w:sz w:val="44"/>
    </w:rPr>
  </w:style>
  <w:style w:type="paragraph" w:styleId="3">
    <w:name w:val="heading 2"/>
    <w:basedOn w:val="1"/>
    <w:next w:val="1"/>
    <w:autoRedefine/>
    <w:unhideWhenUsed/>
    <w:qFormat/>
    <w:uiPriority w:val="0"/>
    <w:pPr>
      <w:keepNext/>
      <w:keepLines/>
      <w:spacing w:line="413" w:lineRule="auto"/>
      <w:outlineLvl w:val="1"/>
    </w:pPr>
    <w:rPr>
      <w:rFonts w:ascii="Arial" w:hAnsi="Arial" w:eastAsia="黑体"/>
      <w:b/>
      <w:sz w:val="32"/>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4">
    <w:name w:val="footer"/>
    <w:basedOn w:val="1"/>
    <w:next w:val="1"/>
    <w:link w:val="11"/>
    <w:autoRedefine/>
    <w:qFormat/>
    <w:uiPriority w:val="0"/>
    <w:pPr>
      <w:tabs>
        <w:tab w:val="center" w:pos="4153"/>
        <w:tab w:val="right" w:pos="8306"/>
      </w:tabs>
      <w:snapToGrid w:val="0"/>
      <w:jc w:val="left"/>
    </w:pPr>
    <w:rPr>
      <w:sz w:val="18"/>
      <w:szCs w:val="18"/>
    </w:rPr>
  </w:style>
  <w:style w:type="paragraph" w:styleId="5">
    <w:name w:val="header"/>
    <w:basedOn w:val="1"/>
    <w:link w:val="10"/>
    <w:autoRedefine/>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autoRedefine/>
    <w:qFormat/>
    <w:uiPriority w:val="0"/>
    <w:pPr>
      <w:widowControl/>
      <w:spacing w:before="100" w:beforeAutospacing="1" w:after="100" w:afterAutospacing="1"/>
      <w:jc w:val="left"/>
    </w:pPr>
    <w:rPr>
      <w:rFonts w:ascii="宋体" w:hAnsi="宋体" w:eastAsia="宋体" w:cs="宋体"/>
      <w:kern w:val="0"/>
      <w:sz w:val="24"/>
    </w:rPr>
  </w:style>
  <w:style w:type="paragraph" w:customStyle="1" w:styleId="9">
    <w:name w:val="样式 首行缩进:  2 字符"/>
    <w:basedOn w:val="1"/>
    <w:autoRedefine/>
    <w:qFormat/>
    <w:uiPriority w:val="2"/>
    <w:pPr>
      <w:ind w:firstLine="200"/>
      <w:jc w:val="left"/>
    </w:pPr>
    <w:rPr>
      <w:kern w:val="1"/>
      <w:szCs w:val="20"/>
    </w:rPr>
  </w:style>
  <w:style w:type="character" w:customStyle="1" w:styleId="10">
    <w:name w:val="页眉 Char"/>
    <w:basedOn w:val="8"/>
    <w:link w:val="5"/>
    <w:autoRedefine/>
    <w:qFormat/>
    <w:uiPriority w:val="0"/>
    <w:rPr>
      <w:kern w:val="2"/>
      <w:sz w:val="18"/>
      <w:szCs w:val="18"/>
    </w:rPr>
  </w:style>
  <w:style w:type="character" w:customStyle="1" w:styleId="11">
    <w:name w:val="页脚 Char"/>
    <w:basedOn w:val="8"/>
    <w:link w:val="4"/>
    <w:autoRedefine/>
    <w:qFormat/>
    <w:uiPriority w:val="0"/>
    <w:rPr>
      <w:kern w:val="2"/>
      <w:sz w:val="18"/>
      <w:szCs w:val="18"/>
    </w:rPr>
  </w:style>
  <w:style w:type="paragraph" w:styleId="12">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7</Pages>
  <Words>2919</Words>
  <Characters>3110</Characters>
  <Lines>2</Lines>
  <Paragraphs>6</Paragraphs>
  <TotalTime>78</TotalTime>
  <ScaleCrop>false</ScaleCrop>
  <LinksUpToDate>false</LinksUpToDate>
  <CharactersWithSpaces>3166</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华赢财务</cp:lastModifiedBy>
  <cp:lastPrinted>2024-05-15T11:42:00Z</cp:lastPrinted>
  <dcterms:modified xsi:type="dcterms:W3CDTF">2024-10-18T03:25:21Z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C63087530B604F66B6AD23BF0E4F11FA_13</vt:lpwstr>
  </property>
</Properties>
</file>