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exact"/>
        <w:jc w:val="center"/>
        <w:rPr>
          <w:rFonts w:ascii="方正小标宋简体" w:hAnsi="方正小标宋简体" w:eastAsia="方正小标宋简体" w:cs="方正小标宋简体"/>
          <w:sz w:val="44"/>
          <w:szCs w:val="44"/>
        </w:rPr>
      </w:pPr>
      <w:r>
        <w:rPr>
          <w:rFonts w:hint="eastAsia"/>
          <w:lang w:eastAsia="zh-CN"/>
        </w:rPr>
        <w:tab/>
      </w:r>
      <w:r>
        <w:rPr>
          <w:rFonts w:hint="eastAsia" w:ascii="方正小标宋简体" w:hAnsi="方正小标宋简体" w:eastAsia="方正小标宋简体" w:cs="方正小标宋简体"/>
          <w:sz w:val="44"/>
          <w:szCs w:val="44"/>
        </w:rPr>
        <w:t>衡南县司法局部门整体支出绩效</w:t>
      </w:r>
    </w:p>
    <w:p>
      <w:pPr>
        <w:adjustRightInd w:val="0"/>
        <w:snapToGrid w:val="0"/>
        <w:spacing w:line="6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自评报告</w:t>
      </w:r>
    </w:p>
    <w:p>
      <w:pPr>
        <w:spacing w:line="560" w:lineRule="exact"/>
        <w:ind w:firstLine="640" w:firstLineChars="200"/>
        <w:rPr>
          <w:rFonts w:ascii="仿宋_GB2312" w:hAnsi="仿宋_GB2312" w:eastAsia="仿宋_GB2312" w:cs="仿宋_GB2312"/>
          <w:spacing w:val="11"/>
          <w:w w:val="95"/>
          <w:sz w:val="32"/>
          <w:szCs w:val="32"/>
          <w:lang w:val="zh-CN" w:bidi="zh-CN"/>
        </w:rPr>
      </w:pPr>
      <w:r>
        <w:rPr>
          <w:rFonts w:hint="eastAsia" w:ascii="仿宋_GB2312" w:eastAsia="仿宋_GB2312"/>
          <w:sz w:val="32"/>
          <w:szCs w:val="32"/>
        </w:rPr>
        <w:t>为</w:t>
      </w:r>
      <w:r>
        <w:rPr>
          <w:rFonts w:hint="eastAsia" w:ascii="仿宋_GB2312" w:hAnsi="仿宋_GB2312" w:eastAsia="仿宋_GB2312" w:cs="仿宋_GB2312"/>
          <w:spacing w:val="11"/>
          <w:w w:val="95"/>
          <w:sz w:val="32"/>
          <w:szCs w:val="32"/>
          <w:lang w:val="zh-CN" w:bidi="zh-CN"/>
        </w:rPr>
        <w:t>加强财政预算资金管理，进一步规范预算资金使用，提高财政资金使用效益，我局积极组织，对202</w:t>
      </w:r>
      <w:r>
        <w:rPr>
          <w:rFonts w:hint="eastAsia" w:ascii="仿宋_GB2312" w:hAnsi="仿宋_GB2312" w:eastAsia="仿宋_GB2312" w:cs="仿宋_GB2312"/>
          <w:spacing w:val="11"/>
          <w:w w:val="95"/>
          <w:sz w:val="32"/>
          <w:szCs w:val="32"/>
          <w:lang w:val="en-US" w:bidi="zh-CN"/>
        </w:rPr>
        <w:t>3</w:t>
      </w:r>
      <w:r>
        <w:rPr>
          <w:rFonts w:hint="eastAsia" w:ascii="仿宋_GB2312" w:hAnsi="仿宋_GB2312" w:eastAsia="仿宋_GB2312" w:cs="仿宋_GB2312"/>
          <w:spacing w:val="11"/>
          <w:w w:val="95"/>
          <w:sz w:val="32"/>
          <w:szCs w:val="32"/>
          <w:lang w:val="zh-CN" w:bidi="zh-CN"/>
        </w:rPr>
        <w:t>年度本单位整体支出进行了绩效自评，现将具体绩效评价情况报告如下：</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一、部门基本情况</w:t>
      </w:r>
    </w:p>
    <w:p>
      <w:pPr>
        <w:spacing w:line="560" w:lineRule="exact"/>
        <w:ind w:firstLine="640" w:firstLineChars="200"/>
        <w:rPr>
          <w:rFonts w:ascii="仿宋" w:hAnsi="仿宋" w:eastAsia="仿宋" w:cs="仿宋"/>
          <w:kern w:val="0"/>
          <w:sz w:val="32"/>
          <w:szCs w:val="32"/>
        </w:rPr>
      </w:pPr>
      <w:r>
        <w:rPr>
          <w:rFonts w:hint="eastAsia" w:ascii="仿宋_GB2312" w:eastAsia="仿宋_GB2312"/>
          <w:sz w:val="32"/>
          <w:szCs w:val="32"/>
        </w:rPr>
        <w:t>衡南县司法局为全额财政拨款单位，纳入财政会计集中核算和国库集中支付体系，财务制度执行《行政单位会计制度》。</w:t>
      </w:r>
    </w:p>
    <w:p>
      <w:pPr>
        <w:spacing w:line="560" w:lineRule="exact"/>
        <w:ind w:firstLine="643" w:firstLineChars="200"/>
        <w:rPr>
          <w:rFonts w:ascii="Times New Roman" w:hAnsi="Times New Roman" w:eastAsia="楷体_GB2312" w:cs="Times New Roman"/>
          <w:b/>
          <w:bCs/>
          <w:sz w:val="32"/>
          <w:szCs w:val="32"/>
        </w:rPr>
      </w:pPr>
      <w:r>
        <w:rPr>
          <w:rFonts w:hint="eastAsia" w:ascii="Times New Roman" w:hAnsi="Times New Roman" w:eastAsia="楷体_GB2312" w:cs="Times New Roman"/>
          <w:b/>
          <w:bCs/>
          <w:sz w:val="32"/>
          <w:szCs w:val="32"/>
          <w:lang w:val="zh-CN"/>
        </w:rPr>
        <w:t>（一）主要工作职责</w:t>
      </w:r>
    </w:p>
    <w:p>
      <w:pPr>
        <w:ind w:firstLine="640" w:firstLineChars="200"/>
        <w:rPr>
          <w:rFonts w:ascii="仿宋_GB2312" w:eastAsia="仿宋_GB2312"/>
          <w:sz w:val="32"/>
          <w:szCs w:val="32"/>
        </w:rPr>
      </w:pPr>
      <w:r>
        <w:rPr>
          <w:rFonts w:hint="eastAsia" w:ascii="仿宋_GB2312" w:eastAsia="仿宋_GB2312"/>
          <w:sz w:val="32"/>
          <w:szCs w:val="32"/>
        </w:rPr>
        <w:t>衡南县司法局是主管全县司法行政工作的人民政府组成部门，其主要职责有：</w:t>
      </w:r>
    </w:p>
    <w:p>
      <w:pPr>
        <w:spacing w:line="560" w:lineRule="exact"/>
        <w:ind w:firstLine="320" w:firstLineChars="100"/>
        <w:rPr>
          <w:rFonts w:ascii="仿宋_GB2312" w:eastAsia="仿宋_GB2312"/>
          <w:sz w:val="32"/>
          <w:szCs w:val="32"/>
        </w:rPr>
      </w:pPr>
      <w:r>
        <w:rPr>
          <w:rFonts w:hint="eastAsia" w:ascii="仿宋_GB2312" w:eastAsia="仿宋_GB2312"/>
          <w:sz w:val="32"/>
          <w:szCs w:val="32"/>
        </w:rPr>
        <w:t>　1</w:t>
      </w:r>
      <w:r>
        <w:rPr>
          <w:rFonts w:hint="eastAsia" w:ascii="仿宋_GB2312" w:eastAsia="仿宋_GB2312"/>
          <w:sz w:val="32"/>
          <w:szCs w:val="32"/>
          <w:lang w:val="en-US" w:eastAsia="zh-CN"/>
        </w:rPr>
        <w:t>.</w:t>
      </w:r>
      <w:r>
        <w:rPr>
          <w:rFonts w:hint="eastAsia" w:ascii="仿宋_GB2312" w:eastAsia="仿宋_GB2312"/>
          <w:sz w:val="32"/>
          <w:szCs w:val="32"/>
        </w:rPr>
        <w:t>承担全面依法治县重大问题的政策研究，协调有关方面提出全面依法治县中长期规划建议，负责有关重大决策部署督察工作，负责依法治县和法治政府建设考核工作。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2</w:t>
      </w:r>
      <w:r>
        <w:rPr>
          <w:rFonts w:hint="eastAsia" w:ascii="仿宋_GB2312" w:eastAsia="仿宋_GB2312"/>
          <w:sz w:val="32"/>
          <w:szCs w:val="32"/>
          <w:lang w:val="en-US" w:eastAsia="zh-CN"/>
        </w:rPr>
        <w:t>.</w:t>
      </w:r>
      <w:r>
        <w:rPr>
          <w:rFonts w:hint="eastAsia" w:ascii="仿宋_GB2312" w:eastAsia="仿宋_GB2312"/>
          <w:sz w:val="32"/>
          <w:szCs w:val="32"/>
        </w:rPr>
        <w:t>贯彻执行国家、省、市有关司法行政工作方针、政策和法律、法规，编制全县司法行政发展中、长期规划和年度计划并监督实施。</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3</w:t>
      </w:r>
      <w:r>
        <w:rPr>
          <w:rFonts w:hint="eastAsia" w:ascii="仿宋_GB2312" w:eastAsia="仿宋_GB2312"/>
          <w:sz w:val="32"/>
          <w:szCs w:val="32"/>
          <w:lang w:val="en-US" w:eastAsia="zh-CN"/>
        </w:rPr>
        <w:t>.</w:t>
      </w:r>
      <w:r>
        <w:rPr>
          <w:rFonts w:hint="eastAsia" w:ascii="仿宋_GB2312" w:eastAsia="仿宋_GB2312"/>
          <w:sz w:val="32"/>
          <w:szCs w:val="32"/>
        </w:rPr>
        <w:t>指导全县规范性文件管理工作。承担县政府规范性文件送审稿的合法性审查工作，承办县政府及其部门规范性文件的登记工作。负责报送备案县政府规范性文件工作。负责县直部门和乡镇政府规范性文件备案审查工作。受理有关规范性文件违法审查申请。组织开展规范性文件清理工作。承担县政府法律顾问工作，负责对县政府重大行政决策和政府会议纪要进行合法性审查或论证说明。</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4</w:t>
      </w:r>
      <w:r>
        <w:rPr>
          <w:rFonts w:hint="eastAsia" w:ascii="仿宋_GB2312" w:eastAsia="仿宋_GB2312"/>
          <w:sz w:val="32"/>
          <w:szCs w:val="32"/>
          <w:lang w:val="en-US" w:eastAsia="zh-CN"/>
        </w:rPr>
        <w:t>.</w:t>
      </w:r>
      <w:r>
        <w:rPr>
          <w:rFonts w:hint="eastAsia" w:ascii="仿宋_GB2312" w:eastAsia="仿宋_GB2312"/>
          <w:sz w:val="32"/>
          <w:szCs w:val="32"/>
        </w:rPr>
        <w:t>负责县政府签订合同的合法性审查工作。根据县政府安排，会同合同承办部门参与县政府重大合同的谈判、起草、签订、备案、履行、跟踪管理等工作。指导县直部门、乡镇政府合同审查管理工作。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5</w:t>
      </w:r>
      <w:r>
        <w:rPr>
          <w:rFonts w:hint="eastAsia" w:ascii="仿宋_GB2312" w:eastAsia="仿宋_GB2312"/>
          <w:sz w:val="32"/>
          <w:szCs w:val="32"/>
          <w:lang w:val="en-US" w:eastAsia="zh-CN"/>
        </w:rPr>
        <w:t>.</w:t>
      </w:r>
      <w:r>
        <w:rPr>
          <w:rFonts w:hint="eastAsia" w:ascii="仿宋_GB2312" w:eastAsia="仿宋_GB2312"/>
          <w:sz w:val="32"/>
          <w:szCs w:val="32"/>
        </w:rPr>
        <w:t>承担统筹推进法治政府建设的责任。指导、监督县政府各部门、各乡镇政府依法行政工作。负责综合协调行政执法，承担推进行政执法体制改革有关工作，推进严格规范公正文明执法。承办县政府作为被申请人的最终裁决的有关行政复议事项。指导、监督全县行政复议，行政应诉和行政赔偿工作，负责县政府及本局行政复议、行政应诉和行政赔偿案件办理工作。承办县政府有关民事及民事诉讼法律事务。承担县行政复议办公室的日常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6</w:t>
      </w:r>
      <w:r>
        <w:rPr>
          <w:rFonts w:hint="eastAsia" w:ascii="仿宋_GB2312" w:eastAsia="仿宋_GB2312"/>
          <w:sz w:val="32"/>
          <w:szCs w:val="32"/>
          <w:lang w:val="en-US" w:eastAsia="zh-CN"/>
        </w:rPr>
        <w:t>.</w:t>
      </w:r>
      <w:r>
        <w:rPr>
          <w:rFonts w:hint="eastAsia" w:ascii="仿宋_GB2312" w:eastAsia="仿宋_GB2312"/>
          <w:sz w:val="32"/>
          <w:szCs w:val="32"/>
        </w:rPr>
        <w:t>承担统筹规划全县法治社会建设的责任。负责拟订法治宣传教育规划，组织实施普法宣传工作，组织对外法治宣传。推动人民参与和促进法治建设．指导依法治理和法治创建工作。协助做好本行政区域内人民监督员选任管理工作，指导人民调解工作和人民陪审员选任管理工作，推进司法所建设。</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7</w:t>
      </w:r>
      <w:r>
        <w:rPr>
          <w:rFonts w:hint="eastAsia" w:ascii="仿宋_GB2312" w:eastAsia="仿宋_GB2312"/>
          <w:sz w:val="32"/>
          <w:szCs w:val="32"/>
          <w:lang w:val="en-US" w:eastAsia="zh-CN"/>
        </w:rPr>
        <w:t>.</w:t>
      </w:r>
      <w:r>
        <w:rPr>
          <w:rFonts w:hint="eastAsia" w:ascii="仿宋_GB2312" w:eastAsia="仿宋_GB2312"/>
          <w:sz w:val="32"/>
          <w:szCs w:val="32"/>
        </w:rPr>
        <w:t>指导、管理社区矫正工作。指导刑满释放人员帮教安置工作。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8</w:t>
      </w:r>
      <w:r>
        <w:rPr>
          <w:rFonts w:hint="eastAsia" w:ascii="仿宋_GB2312" w:eastAsia="仿宋_GB2312"/>
          <w:sz w:val="32"/>
          <w:szCs w:val="32"/>
          <w:lang w:val="en-US" w:eastAsia="zh-CN"/>
        </w:rPr>
        <w:t>.</w:t>
      </w:r>
      <w:r>
        <w:rPr>
          <w:rFonts w:hint="eastAsia" w:ascii="仿宋_GB2312" w:eastAsia="仿宋_GB2312"/>
          <w:sz w:val="32"/>
          <w:szCs w:val="32"/>
        </w:rPr>
        <w:t>指导、支持和协助社区戒毒（康复）工作。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9</w:t>
      </w:r>
      <w:r>
        <w:rPr>
          <w:rFonts w:hint="eastAsia" w:ascii="仿宋_GB2312" w:eastAsia="仿宋_GB2312"/>
          <w:sz w:val="32"/>
          <w:szCs w:val="32"/>
          <w:lang w:val="en-US" w:eastAsia="zh-CN"/>
        </w:rPr>
        <w:t>.</w:t>
      </w:r>
      <w:r>
        <w:rPr>
          <w:rFonts w:hint="eastAsia" w:ascii="仿宋_GB2312" w:eastAsia="仿宋_GB2312"/>
          <w:sz w:val="32"/>
          <w:szCs w:val="32"/>
        </w:rPr>
        <w:t>负责拟订公共法律服务体系建设规划并指导实施，统筹和布局城乡、区域法律服务资源。指导、监督律师、法律援助、司法鉴定、公证和基层法律服务管理工作。管理县公证处、法律援助中心。</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10</w:t>
      </w:r>
      <w:r>
        <w:rPr>
          <w:rFonts w:hint="eastAsia" w:ascii="仿宋_GB2312" w:eastAsia="仿宋_GB2312"/>
          <w:sz w:val="32"/>
          <w:szCs w:val="32"/>
          <w:lang w:val="en-US" w:eastAsia="zh-CN"/>
        </w:rPr>
        <w:t>.</w:t>
      </w:r>
      <w:r>
        <w:rPr>
          <w:rFonts w:hint="eastAsia" w:ascii="仿宋_GB2312" w:eastAsia="仿宋_GB2312"/>
          <w:sz w:val="32"/>
          <w:szCs w:val="32"/>
        </w:rPr>
        <w:t>负责本系统的财物、物资装备和国有资产的管理工作。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11</w:t>
      </w:r>
      <w:r>
        <w:rPr>
          <w:rFonts w:hint="eastAsia" w:ascii="仿宋_GB2312" w:eastAsia="仿宋_GB2312"/>
          <w:sz w:val="32"/>
          <w:szCs w:val="32"/>
          <w:lang w:val="en-US" w:eastAsia="zh-CN"/>
        </w:rPr>
        <w:t>.</w:t>
      </w:r>
      <w:r>
        <w:rPr>
          <w:rFonts w:hint="eastAsia" w:ascii="仿宋_GB2312" w:eastAsia="仿宋_GB2312"/>
          <w:sz w:val="32"/>
          <w:szCs w:val="32"/>
        </w:rPr>
        <w:t>规划、协调、指导法治人才队伍建设相关工作。指导、监督本系统队伍建设。</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12</w:t>
      </w:r>
      <w:r>
        <w:rPr>
          <w:rFonts w:hint="eastAsia" w:ascii="仿宋_GB2312" w:eastAsia="仿宋_GB2312"/>
          <w:sz w:val="32"/>
          <w:szCs w:val="32"/>
          <w:lang w:val="en-US" w:eastAsia="zh-CN"/>
        </w:rPr>
        <w:t>.</w:t>
      </w:r>
      <w:r>
        <w:rPr>
          <w:rFonts w:hint="eastAsia" w:ascii="仿宋_GB2312" w:eastAsia="仿宋_GB2312"/>
          <w:sz w:val="32"/>
          <w:szCs w:val="32"/>
        </w:rPr>
        <w:t>完成县委、县政府交办的其他任务。</w:t>
      </w:r>
    </w:p>
    <w:p>
      <w:pPr>
        <w:ind w:firstLine="643" w:firstLineChars="200"/>
        <w:rPr>
          <w:rFonts w:ascii="Times New Roman" w:hAnsi="Times New Roman" w:eastAsia="楷体_GB2312" w:cs="Times New Roman"/>
          <w:b/>
          <w:bCs/>
          <w:sz w:val="32"/>
          <w:szCs w:val="32"/>
          <w:lang w:val="zh-CN"/>
        </w:rPr>
      </w:pPr>
      <w:r>
        <w:rPr>
          <w:rFonts w:hint="eastAsia" w:ascii="Times New Roman" w:hAnsi="Times New Roman" w:eastAsia="楷体_GB2312" w:cs="Times New Roman"/>
          <w:b/>
          <w:bCs/>
          <w:sz w:val="32"/>
          <w:szCs w:val="32"/>
          <w:lang w:val="zh-CN"/>
        </w:rPr>
        <w:t>（二）机构设置情况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县司法局内设办公室、政工室、法治研究督查室，行政复议与应诉股，行政执法协调监督股，规范性文件管理股，法律事务股，合同审查管理股，普法与依法治理股，基层法治建设股，公共法律服务管理股，装备财务保障股，行政审批股。</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直属机构1个：县社区矫正工作局；下属事业单位1个：县法律援助中心。派出机构：23个基层司法所。</w:t>
      </w:r>
    </w:p>
    <w:p>
      <w:pPr>
        <w:spacing w:line="560" w:lineRule="exact"/>
        <w:ind w:firstLine="643" w:firstLineChars="200"/>
        <w:rPr>
          <w:rFonts w:ascii="仿宋" w:hAnsi="仿宋" w:eastAsia="仿宋" w:cs="仿宋"/>
          <w:kern w:val="0"/>
          <w:sz w:val="32"/>
          <w:szCs w:val="32"/>
        </w:rPr>
      </w:pPr>
      <w:r>
        <w:rPr>
          <w:rFonts w:hint="eastAsia" w:ascii="Times New Roman" w:hAnsi="Times New Roman" w:eastAsia="楷体_GB2312" w:cs="Times New Roman"/>
          <w:b/>
          <w:bCs/>
          <w:sz w:val="32"/>
          <w:szCs w:val="32"/>
          <w:lang w:val="zh-CN"/>
        </w:rPr>
        <w:t>（三）人员编制情况</w:t>
      </w:r>
    </w:p>
    <w:p>
      <w:pPr>
        <w:spacing w:line="560" w:lineRule="exact"/>
        <w:ind w:firstLine="640" w:firstLineChars="200"/>
        <w:rPr>
          <w:rFonts w:ascii="仿宋" w:hAnsi="仿宋" w:eastAsia="仿宋" w:cs="仿宋"/>
          <w:kern w:val="0"/>
          <w:sz w:val="32"/>
          <w:szCs w:val="32"/>
        </w:rPr>
      </w:pPr>
      <w:r>
        <w:rPr>
          <w:rFonts w:hint="eastAsia" w:ascii="仿宋_GB2312" w:eastAsia="仿宋_GB2312"/>
          <w:sz w:val="32"/>
          <w:szCs w:val="32"/>
        </w:rPr>
        <w:t>截止202</w:t>
      </w:r>
      <w:r>
        <w:rPr>
          <w:rFonts w:hint="eastAsia" w:ascii="仿宋_GB2312" w:eastAsia="仿宋_GB2312"/>
          <w:sz w:val="32"/>
          <w:szCs w:val="32"/>
          <w:lang w:val="en-US" w:eastAsia="zh-CN"/>
        </w:rPr>
        <w:t>3</w:t>
      </w:r>
      <w:r>
        <w:rPr>
          <w:rFonts w:hint="eastAsia" w:ascii="仿宋_GB2312" w:eastAsia="仿宋_GB2312"/>
          <w:sz w:val="32"/>
          <w:szCs w:val="32"/>
        </w:rPr>
        <w:t>年底全部实有人员共计</w:t>
      </w:r>
      <w:r>
        <w:rPr>
          <w:rFonts w:hint="eastAsia" w:ascii="仿宋_GB2312" w:eastAsia="仿宋_GB2312"/>
          <w:sz w:val="32"/>
          <w:szCs w:val="32"/>
          <w:lang w:val="en-US" w:eastAsia="zh-CN"/>
        </w:rPr>
        <w:t>92</w:t>
      </w:r>
      <w:r>
        <w:rPr>
          <w:rFonts w:hint="eastAsia" w:ascii="仿宋_GB2312" w:eastAsia="仿宋_GB2312"/>
          <w:sz w:val="32"/>
          <w:szCs w:val="32"/>
        </w:rPr>
        <w:t>人，退休</w:t>
      </w:r>
      <w:r>
        <w:rPr>
          <w:rFonts w:hint="eastAsia" w:ascii="仿宋_GB2312" w:eastAsia="仿宋_GB2312"/>
          <w:sz w:val="32"/>
          <w:szCs w:val="32"/>
          <w:lang w:val="en-US" w:eastAsia="zh-CN"/>
        </w:rPr>
        <w:t>43</w:t>
      </w:r>
      <w:r>
        <w:rPr>
          <w:rFonts w:hint="eastAsia" w:ascii="仿宋_GB2312" w:eastAsia="仿宋_GB2312"/>
          <w:sz w:val="32"/>
          <w:szCs w:val="32"/>
        </w:rPr>
        <w:t>人</w:t>
      </w:r>
      <w:r>
        <w:rPr>
          <w:rFonts w:hint="eastAsia" w:ascii="仿宋_GB2312" w:hAnsi="仿宋_GB2312" w:eastAsia="仿宋_GB2312" w:cs="仿宋_GB2312"/>
          <w:sz w:val="32"/>
          <w:szCs w:val="32"/>
        </w:rPr>
        <w:t>。</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二、部门整体支出管理及使用情况</w:t>
      </w:r>
    </w:p>
    <w:p>
      <w:pPr>
        <w:spacing w:line="560" w:lineRule="exact"/>
        <w:ind w:firstLine="643" w:firstLineChars="200"/>
        <w:rPr>
          <w:rFonts w:ascii="Times New Roman" w:hAnsi="Times New Roman" w:eastAsia="楷体_GB2312" w:cs="Times New Roman"/>
          <w:b/>
          <w:bCs/>
          <w:sz w:val="32"/>
          <w:szCs w:val="32"/>
          <w:lang w:val="zh-CN"/>
        </w:rPr>
      </w:pPr>
      <w:r>
        <w:rPr>
          <w:rFonts w:hint="eastAsia" w:ascii="Times New Roman" w:hAnsi="Times New Roman" w:eastAsia="楷体_GB2312" w:cs="Times New Roman"/>
          <w:b/>
          <w:bCs/>
          <w:sz w:val="32"/>
          <w:szCs w:val="32"/>
          <w:lang w:val="zh-CN"/>
        </w:rPr>
        <w:t>（一）、收入支出决算总体情况说明</w:t>
      </w:r>
    </w:p>
    <w:p>
      <w:pPr>
        <w:adjustRightInd w:val="0"/>
        <w:snapToGrid w:val="0"/>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部门预算收支情况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年初预算总收入1</w:t>
      </w:r>
      <w:r>
        <w:rPr>
          <w:rFonts w:hint="eastAsia" w:ascii="仿宋_GB2312" w:eastAsia="仿宋_GB2312"/>
          <w:sz w:val="32"/>
          <w:szCs w:val="32"/>
          <w:lang w:val="en-US" w:eastAsia="zh-CN"/>
        </w:rPr>
        <w:t>21</w:t>
      </w:r>
      <w:r>
        <w:rPr>
          <w:rFonts w:hint="eastAsia" w:ascii="仿宋_GB2312" w:eastAsia="仿宋_GB2312"/>
          <w:sz w:val="32"/>
          <w:szCs w:val="32"/>
        </w:rPr>
        <w:t>8</w:t>
      </w:r>
      <w:r>
        <w:rPr>
          <w:rFonts w:hint="eastAsia" w:ascii="仿宋_GB2312" w:eastAsia="仿宋_GB2312"/>
          <w:sz w:val="32"/>
          <w:szCs w:val="32"/>
          <w:lang w:val="en-US" w:eastAsia="zh-CN"/>
        </w:rPr>
        <w:t>.81</w:t>
      </w:r>
      <w:r>
        <w:rPr>
          <w:rFonts w:hint="eastAsia" w:ascii="仿宋_GB2312" w:eastAsia="仿宋_GB2312"/>
          <w:sz w:val="32"/>
          <w:szCs w:val="32"/>
        </w:rPr>
        <w:t>万，其中工资福利支出</w:t>
      </w:r>
      <w:r>
        <w:rPr>
          <w:rFonts w:hint="eastAsia" w:ascii="仿宋_GB2312" w:eastAsia="仿宋_GB2312"/>
          <w:sz w:val="32"/>
          <w:szCs w:val="32"/>
          <w:lang w:val="en-US" w:eastAsia="zh-CN"/>
        </w:rPr>
        <w:t>872.4</w:t>
      </w:r>
      <w:r>
        <w:rPr>
          <w:rFonts w:hint="eastAsia" w:ascii="仿宋_GB2312" w:eastAsia="仿宋_GB2312"/>
          <w:sz w:val="32"/>
          <w:szCs w:val="32"/>
        </w:rPr>
        <w:t>万，一般商品服务支出</w:t>
      </w:r>
      <w:r>
        <w:rPr>
          <w:rFonts w:hint="eastAsia" w:ascii="仿宋_GB2312" w:eastAsia="仿宋_GB2312"/>
          <w:sz w:val="32"/>
          <w:szCs w:val="32"/>
          <w:lang w:val="en-US" w:eastAsia="zh-CN"/>
        </w:rPr>
        <w:t>191.4</w:t>
      </w:r>
      <w:r>
        <w:rPr>
          <w:rFonts w:hint="eastAsia" w:ascii="仿宋_GB2312" w:eastAsia="仿宋_GB2312"/>
          <w:sz w:val="32"/>
          <w:szCs w:val="32"/>
        </w:rPr>
        <w:t>万，专项商品和服务支出</w:t>
      </w:r>
      <w:r>
        <w:rPr>
          <w:rFonts w:hint="eastAsia" w:ascii="仿宋_GB2312" w:eastAsia="仿宋_GB2312"/>
          <w:sz w:val="32"/>
          <w:szCs w:val="32"/>
          <w:lang w:val="en-US" w:eastAsia="zh-CN"/>
        </w:rPr>
        <w:t>138.69</w:t>
      </w:r>
      <w:r>
        <w:rPr>
          <w:rFonts w:hint="eastAsia" w:ascii="仿宋_GB2312" w:eastAsia="仿宋_GB2312"/>
          <w:sz w:val="32"/>
          <w:szCs w:val="32"/>
        </w:rPr>
        <w:t>万</w:t>
      </w:r>
      <w:r>
        <w:rPr>
          <w:rFonts w:hint="eastAsia" w:ascii="仿宋_GB2312" w:eastAsia="仿宋_GB2312"/>
          <w:sz w:val="32"/>
          <w:szCs w:val="32"/>
          <w:lang w:eastAsia="zh-CN"/>
        </w:rPr>
        <w:t>，</w:t>
      </w:r>
      <w:r>
        <w:rPr>
          <w:rFonts w:hint="eastAsia" w:ascii="仿宋_GB2312" w:eastAsia="仿宋_GB2312"/>
          <w:sz w:val="32"/>
          <w:szCs w:val="32"/>
        </w:rPr>
        <w:t>对家庭和个人补助</w:t>
      </w:r>
      <w:r>
        <w:rPr>
          <w:rFonts w:hint="eastAsia" w:ascii="仿宋_GB2312" w:eastAsia="仿宋_GB2312"/>
          <w:sz w:val="32"/>
          <w:szCs w:val="32"/>
          <w:lang w:val="en-US" w:eastAsia="zh-CN"/>
        </w:rPr>
        <w:t>16.32</w:t>
      </w:r>
      <w:r>
        <w:rPr>
          <w:rFonts w:hint="eastAsia" w:ascii="仿宋_GB2312" w:eastAsia="仿宋_GB2312"/>
          <w:sz w:val="32"/>
          <w:szCs w:val="32"/>
        </w:rPr>
        <w:t>万。</w:t>
      </w:r>
    </w:p>
    <w:p>
      <w:pPr>
        <w:adjustRightInd w:val="0"/>
        <w:snapToGrid w:val="0"/>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2、部门决算收支情况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年度</w:t>
      </w:r>
      <w:r>
        <w:rPr>
          <w:rFonts w:hint="eastAsia" w:ascii="仿宋_GB2312" w:eastAsia="仿宋_GB2312"/>
          <w:sz w:val="32"/>
          <w:szCs w:val="32"/>
          <w:lang w:eastAsia="zh-CN"/>
        </w:rPr>
        <w:t>总</w:t>
      </w:r>
      <w:r>
        <w:rPr>
          <w:rFonts w:hint="eastAsia" w:ascii="仿宋_GB2312" w:eastAsia="仿宋_GB2312"/>
          <w:sz w:val="32"/>
          <w:szCs w:val="32"/>
        </w:rPr>
        <w:t>收入</w:t>
      </w:r>
      <w:r>
        <w:rPr>
          <w:rFonts w:hint="eastAsia" w:ascii="仿宋_GB2312" w:eastAsia="仿宋_GB2312"/>
          <w:sz w:val="32"/>
          <w:szCs w:val="32"/>
          <w:lang w:val="en-US" w:eastAsia="zh-CN"/>
        </w:rPr>
        <w:t>1596.84</w:t>
      </w:r>
      <w:r>
        <w:rPr>
          <w:rFonts w:hint="eastAsia" w:ascii="仿宋_GB2312" w:eastAsia="仿宋_GB2312"/>
          <w:sz w:val="32"/>
          <w:szCs w:val="32"/>
        </w:rPr>
        <w:t>元，其中：公共财政拨款</w:t>
      </w:r>
      <w:r>
        <w:rPr>
          <w:rFonts w:hint="eastAsia" w:ascii="仿宋_GB2312" w:eastAsia="仿宋_GB2312"/>
          <w:sz w:val="32"/>
          <w:szCs w:val="32"/>
          <w:lang w:val="en-US" w:eastAsia="zh-CN"/>
        </w:rPr>
        <w:t>1566.16</w:t>
      </w:r>
      <w:r>
        <w:rPr>
          <w:rFonts w:hint="eastAsia" w:ascii="仿宋_GB2312" w:eastAsia="仿宋_GB2312"/>
          <w:sz w:val="32"/>
          <w:szCs w:val="32"/>
        </w:rPr>
        <w:t>万元， 其他收入（结算资金）</w:t>
      </w:r>
      <w:r>
        <w:rPr>
          <w:rFonts w:hint="eastAsia" w:ascii="仿宋_GB2312" w:eastAsia="仿宋_GB2312"/>
          <w:sz w:val="32"/>
          <w:szCs w:val="32"/>
          <w:lang w:val="en-US" w:eastAsia="zh-CN"/>
        </w:rPr>
        <w:t>30.68</w:t>
      </w:r>
      <w:r>
        <w:rPr>
          <w:rFonts w:hint="eastAsia" w:ascii="仿宋_GB2312" w:eastAsia="仿宋_GB2312"/>
          <w:sz w:val="32"/>
          <w:szCs w:val="32"/>
        </w:rPr>
        <w:t>万元。本年支出总计</w:t>
      </w:r>
      <w:r>
        <w:rPr>
          <w:rFonts w:hint="eastAsia" w:ascii="仿宋_GB2312" w:eastAsia="仿宋_GB2312"/>
          <w:sz w:val="32"/>
          <w:szCs w:val="32"/>
          <w:lang w:val="en-US" w:eastAsia="zh-CN"/>
        </w:rPr>
        <w:t>1596.84</w:t>
      </w:r>
      <w:r>
        <w:rPr>
          <w:rFonts w:hint="eastAsia" w:ascii="仿宋_GB2312" w:eastAsia="仿宋_GB2312"/>
          <w:sz w:val="32"/>
          <w:szCs w:val="32"/>
        </w:rPr>
        <w:t>万元，其中：工资福利支出</w:t>
      </w:r>
      <w:r>
        <w:rPr>
          <w:rFonts w:hint="eastAsia" w:ascii="仿宋_GB2312" w:eastAsia="仿宋_GB2312"/>
          <w:sz w:val="32"/>
          <w:szCs w:val="32"/>
          <w:lang w:val="en-US" w:eastAsia="zh-CN"/>
        </w:rPr>
        <w:t>830.42</w:t>
      </w:r>
      <w:r>
        <w:rPr>
          <w:rFonts w:hint="eastAsia" w:ascii="仿宋_GB2312" w:eastAsia="仿宋_GB2312"/>
          <w:sz w:val="32"/>
          <w:szCs w:val="32"/>
        </w:rPr>
        <w:t>万元</w:t>
      </w:r>
      <w:r>
        <w:rPr>
          <w:rFonts w:hint="eastAsia" w:ascii="仿宋_GB2312" w:eastAsia="仿宋_GB2312"/>
          <w:sz w:val="32"/>
          <w:szCs w:val="32"/>
          <w:lang w:eastAsia="zh-CN"/>
        </w:rPr>
        <w:t>，</w:t>
      </w:r>
      <w:r>
        <w:rPr>
          <w:rFonts w:hint="eastAsia" w:ascii="仿宋_GB2312" w:eastAsia="仿宋_GB2312"/>
          <w:sz w:val="32"/>
          <w:szCs w:val="32"/>
        </w:rPr>
        <w:t>用于在职人员的工资、津贴、各项社会保障支出、住房公积金等</w:t>
      </w:r>
      <w:r>
        <w:rPr>
          <w:rFonts w:hint="eastAsia" w:ascii="仿宋_GB2312" w:eastAsia="仿宋_GB2312"/>
          <w:sz w:val="32"/>
          <w:szCs w:val="32"/>
          <w:lang w:eastAsia="zh-CN"/>
        </w:rPr>
        <w:t>；</w:t>
      </w:r>
      <w:r>
        <w:rPr>
          <w:rFonts w:hint="eastAsia" w:ascii="仿宋_GB2312" w:eastAsia="仿宋_GB2312"/>
          <w:sz w:val="32"/>
          <w:szCs w:val="32"/>
        </w:rPr>
        <w:t>商品和服务支出</w:t>
      </w:r>
      <w:r>
        <w:rPr>
          <w:rFonts w:hint="eastAsia" w:ascii="仿宋_GB2312" w:eastAsia="仿宋_GB2312"/>
          <w:sz w:val="32"/>
          <w:szCs w:val="32"/>
          <w:lang w:val="en-US" w:eastAsia="zh-CN"/>
        </w:rPr>
        <w:t>44.63</w:t>
      </w:r>
      <w:r>
        <w:rPr>
          <w:rFonts w:hint="eastAsia" w:ascii="仿宋_GB2312" w:eastAsia="仿宋_GB2312"/>
          <w:sz w:val="32"/>
          <w:szCs w:val="32"/>
        </w:rPr>
        <w:t>万元，用于办公费、印刷费、水电费、差旅费及其他商品服务支出等日常公用经费</w:t>
      </w:r>
      <w:r>
        <w:rPr>
          <w:rFonts w:hint="eastAsia" w:ascii="仿宋_GB2312" w:eastAsia="仿宋_GB2312"/>
          <w:sz w:val="32"/>
          <w:szCs w:val="32"/>
          <w:lang w:val="en-US" w:eastAsia="zh-CN"/>
        </w:rPr>
        <w:t>;</w:t>
      </w:r>
      <w:r>
        <w:rPr>
          <w:rFonts w:hint="eastAsia" w:ascii="仿宋_GB2312" w:eastAsia="仿宋_GB2312"/>
          <w:sz w:val="32"/>
          <w:szCs w:val="32"/>
        </w:rPr>
        <w:t>个人和家庭补助</w:t>
      </w:r>
      <w:r>
        <w:rPr>
          <w:rFonts w:hint="eastAsia" w:ascii="仿宋_GB2312" w:eastAsia="仿宋_GB2312"/>
          <w:sz w:val="32"/>
          <w:szCs w:val="32"/>
          <w:lang w:val="en-US" w:eastAsia="zh-CN"/>
        </w:rPr>
        <w:t>39.53</w:t>
      </w:r>
      <w:r>
        <w:rPr>
          <w:rFonts w:hint="eastAsia" w:ascii="仿宋_GB2312" w:eastAsia="仿宋_GB2312"/>
          <w:sz w:val="32"/>
          <w:szCs w:val="32"/>
        </w:rPr>
        <w:t>万元，用于补缴以前年度退休人员养老保险、退休人员节日慰问金、医疗费、乡村振兴支出及其他对个人及家庭的补助支出等</w:t>
      </w:r>
      <w:r>
        <w:rPr>
          <w:rFonts w:hint="eastAsia" w:ascii="仿宋_GB2312" w:eastAsia="仿宋_GB2312"/>
          <w:sz w:val="32"/>
          <w:szCs w:val="32"/>
          <w:lang w:val="en-US" w:eastAsia="zh-CN"/>
        </w:rPr>
        <w:t>;</w:t>
      </w:r>
      <w:r>
        <w:rPr>
          <w:rFonts w:hint="eastAsia" w:ascii="仿宋_GB2312" w:eastAsia="仿宋_GB2312"/>
          <w:sz w:val="32"/>
          <w:szCs w:val="32"/>
        </w:rPr>
        <w:t>项目支出</w:t>
      </w:r>
      <w:r>
        <w:rPr>
          <w:rFonts w:hint="eastAsia" w:ascii="仿宋_GB2312" w:eastAsia="仿宋_GB2312"/>
          <w:sz w:val="32"/>
          <w:szCs w:val="32"/>
          <w:lang w:val="en-US" w:eastAsia="zh-CN"/>
        </w:rPr>
        <w:t>682.26</w:t>
      </w:r>
      <w:r>
        <w:rPr>
          <w:rFonts w:hint="eastAsia" w:ascii="仿宋_GB2312" w:eastAsia="仿宋_GB2312"/>
          <w:sz w:val="32"/>
          <w:szCs w:val="32"/>
        </w:rPr>
        <w:t>万元，其中结算资金支出</w:t>
      </w:r>
      <w:r>
        <w:rPr>
          <w:rFonts w:hint="eastAsia" w:ascii="仿宋_GB2312" w:eastAsia="仿宋_GB2312"/>
          <w:sz w:val="32"/>
          <w:szCs w:val="32"/>
          <w:lang w:val="en-US" w:eastAsia="zh-CN"/>
        </w:rPr>
        <w:t>30.68</w:t>
      </w:r>
      <w:r>
        <w:rPr>
          <w:rFonts w:hint="eastAsia" w:ascii="仿宋_GB2312" w:eastAsia="仿宋_GB2312"/>
          <w:sz w:val="32"/>
          <w:szCs w:val="32"/>
        </w:rPr>
        <w:t>万余，</w:t>
      </w:r>
      <w:r>
        <w:rPr>
          <w:rFonts w:hint="eastAsia" w:ascii="仿宋_GB2312" w:eastAsia="仿宋_GB2312"/>
          <w:sz w:val="32"/>
          <w:szCs w:val="32"/>
          <w:lang w:eastAsia="zh-CN"/>
        </w:rPr>
        <w:t>预发在职基础绩效</w:t>
      </w:r>
      <w:r>
        <w:rPr>
          <w:rFonts w:hint="eastAsia" w:ascii="仿宋_GB2312" w:eastAsia="仿宋_GB2312"/>
          <w:sz w:val="32"/>
          <w:szCs w:val="32"/>
          <w:lang w:val="en-US" w:eastAsia="zh-CN"/>
        </w:rPr>
        <w:t>87</w:t>
      </w:r>
      <w:r>
        <w:rPr>
          <w:rFonts w:hint="eastAsia" w:ascii="仿宋_GB2312" w:eastAsia="仿宋_GB2312"/>
          <w:sz w:val="32"/>
          <w:szCs w:val="32"/>
        </w:rPr>
        <w:t>万元，</w:t>
      </w:r>
      <w:r>
        <w:rPr>
          <w:rFonts w:hint="eastAsia" w:ascii="仿宋_GB2312" w:eastAsia="仿宋_GB2312"/>
          <w:sz w:val="32"/>
          <w:szCs w:val="32"/>
          <w:lang w:eastAsia="zh-CN"/>
        </w:rPr>
        <w:t>退休人员基础绩效预发</w:t>
      </w:r>
      <w:r>
        <w:rPr>
          <w:rFonts w:hint="eastAsia" w:ascii="仿宋_GB2312" w:eastAsia="仿宋_GB2312"/>
          <w:sz w:val="32"/>
          <w:szCs w:val="32"/>
          <w:lang w:val="en-US" w:eastAsia="zh-CN"/>
        </w:rPr>
        <w:t>7.8万，</w:t>
      </w:r>
      <w:r>
        <w:rPr>
          <w:rFonts w:hint="eastAsia" w:ascii="仿宋_GB2312" w:eastAsia="仿宋_GB2312"/>
          <w:sz w:val="32"/>
          <w:szCs w:val="32"/>
        </w:rPr>
        <w:t>办案支出</w:t>
      </w:r>
      <w:r>
        <w:rPr>
          <w:rFonts w:hint="eastAsia" w:ascii="仿宋_GB2312" w:eastAsia="仿宋_GB2312"/>
          <w:sz w:val="32"/>
          <w:szCs w:val="32"/>
          <w:lang w:val="en-US" w:eastAsia="zh-CN"/>
        </w:rPr>
        <w:t>111.43</w:t>
      </w:r>
      <w:r>
        <w:rPr>
          <w:rFonts w:hint="eastAsia" w:ascii="仿宋_GB2312" w:eastAsia="仿宋_GB2312"/>
          <w:sz w:val="32"/>
          <w:szCs w:val="32"/>
        </w:rPr>
        <w:t>万元，装备支出</w:t>
      </w:r>
      <w:r>
        <w:rPr>
          <w:rFonts w:hint="eastAsia" w:ascii="仿宋_GB2312" w:eastAsia="仿宋_GB2312"/>
          <w:sz w:val="32"/>
          <w:szCs w:val="32"/>
          <w:lang w:val="en-US" w:eastAsia="zh-CN"/>
        </w:rPr>
        <w:t>20.99</w:t>
      </w:r>
      <w:r>
        <w:rPr>
          <w:rFonts w:hint="eastAsia" w:ascii="仿宋_GB2312" w:eastAsia="仿宋_GB2312"/>
          <w:sz w:val="32"/>
          <w:szCs w:val="32"/>
        </w:rPr>
        <w:t>万元，行政复议支出</w:t>
      </w:r>
      <w:r>
        <w:rPr>
          <w:rFonts w:hint="eastAsia" w:ascii="仿宋_GB2312" w:eastAsia="仿宋_GB2312"/>
          <w:sz w:val="32"/>
          <w:szCs w:val="32"/>
          <w:lang w:val="en-US" w:eastAsia="zh-CN"/>
        </w:rPr>
        <w:t>14.18</w:t>
      </w:r>
      <w:r>
        <w:rPr>
          <w:rFonts w:hint="eastAsia" w:ascii="仿宋_GB2312" w:eastAsia="仿宋_GB2312"/>
          <w:sz w:val="32"/>
          <w:szCs w:val="32"/>
        </w:rPr>
        <w:t>万元，</w:t>
      </w:r>
      <w:r>
        <w:rPr>
          <w:rFonts w:hint="eastAsia" w:ascii="仿宋_GB2312" w:eastAsia="仿宋_GB2312"/>
          <w:sz w:val="32"/>
          <w:szCs w:val="32"/>
          <w:lang w:eastAsia="zh-CN"/>
        </w:rPr>
        <w:t>法律援助支出</w:t>
      </w:r>
      <w:r>
        <w:rPr>
          <w:rFonts w:hint="eastAsia" w:ascii="仿宋_GB2312" w:eastAsia="仿宋_GB2312"/>
          <w:sz w:val="32"/>
          <w:szCs w:val="32"/>
          <w:lang w:val="en-US" w:eastAsia="zh-CN"/>
        </w:rPr>
        <w:t>14.04万元，</w:t>
      </w:r>
      <w:r>
        <w:rPr>
          <w:rFonts w:hint="eastAsia" w:ascii="仿宋_GB2312" w:eastAsia="仿宋_GB2312"/>
          <w:sz w:val="32"/>
          <w:szCs w:val="32"/>
          <w:lang w:eastAsia="zh-CN"/>
        </w:rPr>
        <w:t>社区矫正</w:t>
      </w:r>
      <w:r>
        <w:rPr>
          <w:rFonts w:hint="eastAsia" w:ascii="仿宋_GB2312" w:eastAsia="仿宋_GB2312"/>
          <w:sz w:val="32"/>
          <w:szCs w:val="32"/>
        </w:rPr>
        <w:t>支出</w:t>
      </w:r>
      <w:r>
        <w:rPr>
          <w:rFonts w:hint="eastAsia" w:ascii="仿宋_GB2312" w:eastAsia="仿宋_GB2312"/>
          <w:sz w:val="32"/>
          <w:szCs w:val="32"/>
          <w:lang w:val="en-US" w:eastAsia="zh-CN"/>
        </w:rPr>
        <w:t>72.25</w:t>
      </w:r>
      <w:r>
        <w:rPr>
          <w:rFonts w:hint="eastAsia" w:ascii="仿宋_GB2312" w:eastAsia="仿宋_GB2312"/>
          <w:sz w:val="32"/>
          <w:szCs w:val="32"/>
        </w:rPr>
        <w:t>万元，</w:t>
      </w:r>
      <w:r>
        <w:rPr>
          <w:rFonts w:hint="eastAsia" w:ascii="仿宋_GB2312" w:eastAsia="仿宋_GB2312"/>
          <w:sz w:val="32"/>
          <w:szCs w:val="32"/>
          <w:lang w:eastAsia="zh-CN"/>
        </w:rPr>
        <w:t>普法宣传支出</w:t>
      </w:r>
      <w:r>
        <w:rPr>
          <w:rFonts w:hint="eastAsia" w:ascii="仿宋_GB2312" w:eastAsia="仿宋_GB2312"/>
          <w:sz w:val="32"/>
          <w:szCs w:val="32"/>
          <w:lang w:val="en-US" w:eastAsia="zh-CN"/>
        </w:rPr>
        <w:t>7.9万元，住房公积金支出32.15万元，法律工作者医疗保险9.97万元，法律服务中心退休补差7.4万元，全县自然资源权属纠纷调处经费17.38万元，人民调解9.48万元，司法局诉讼工作经费支出10万元，其他项目支出229.61</w:t>
      </w:r>
      <w:r>
        <w:rPr>
          <w:rFonts w:hint="eastAsia" w:ascii="仿宋_GB2312" w:eastAsia="仿宋_GB2312"/>
          <w:sz w:val="32"/>
          <w:szCs w:val="32"/>
        </w:rPr>
        <w:t>等。</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年公共预算财政拨款支出</w:t>
      </w:r>
      <w:r>
        <w:rPr>
          <w:rFonts w:hint="eastAsia" w:ascii="仿宋_GB2312" w:eastAsia="仿宋_GB2312"/>
          <w:sz w:val="32"/>
          <w:szCs w:val="32"/>
          <w:lang w:val="en-US" w:eastAsia="zh-CN"/>
        </w:rPr>
        <w:t>1566.16</w:t>
      </w:r>
      <w:r>
        <w:rPr>
          <w:rFonts w:hint="eastAsia" w:ascii="仿宋_GB2312" w:eastAsia="仿宋_GB2312"/>
          <w:sz w:val="32"/>
          <w:szCs w:val="32"/>
        </w:rPr>
        <w:t>万元，一般公共财政拨款</w:t>
      </w:r>
      <w:r>
        <w:rPr>
          <w:rFonts w:hint="eastAsia" w:ascii="仿宋_GB2312" w:eastAsia="仿宋_GB2312"/>
          <w:sz w:val="32"/>
          <w:szCs w:val="32"/>
          <w:lang w:val="en-US" w:eastAsia="zh-CN"/>
        </w:rPr>
        <w:t>1566.16</w:t>
      </w:r>
      <w:r>
        <w:rPr>
          <w:rFonts w:hint="eastAsia" w:ascii="仿宋_GB2312" w:eastAsia="仿宋_GB2312"/>
          <w:sz w:val="32"/>
          <w:szCs w:val="32"/>
        </w:rPr>
        <w:t>万元。其中：基本支出</w:t>
      </w:r>
      <w:r>
        <w:rPr>
          <w:rFonts w:hint="eastAsia" w:ascii="仿宋_GB2312" w:eastAsia="仿宋_GB2312"/>
          <w:sz w:val="32"/>
          <w:szCs w:val="32"/>
          <w:lang w:val="en-US" w:eastAsia="zh-CN"/>
        </w:rPr>
        <w:t>914.58</w:t>
      </w:r>
      <w:r>
        <w:rPr>
          <w:rFonts w:hint="eastAsia" w:ascii="仿宋_GB2312" w:eastAsia="仿宋_GB2312"/>
          <w:sz w:val="32"/>
          <w:szCs w:val="32"/>
        </w:rPr>
        <w:t xml:space="preserve">万元，系保障我局机构正常运转、完成日常工作任务而发生的各项支出，包括在职人员基本工资、津贴补贴、社会保障缴费及其他工资福利支出以及补缴退休人员以前年度养老保险，退休人员节日慰问、医疗费等人员经费。还包括办公费、印刷费、水电费、差旅费等其他商品服务支出。 </w:t>
      </w:r>
    </w:p>
    <w:p>
      <w:pPr>
        <w:spacing w:line="560" w:lineRule="exact"/>
        <w:ind w:firstLine="643" w:firstLineChars="200"/>
        <w:rPr>
          <w:rFonts w:hint="eastAsia" w:ascii="Times New Roman" w:hAnsi="Times New Roman" w:eastAsia="楷体_GB2312" w:cs="Times New Roman"/>
          <w:b/>
          <w:bCs/>
          <w:sz w:val="32"/>
          <w:szCs w:val="32"/>
        </w:rPr>
      </w:pPr>
      <w:r>
        <w:rPr>
          <w:rFonts w:hint="eastAsia" w:ascii="Times New Roman" w:hAnsi="Times New Roman" w:eastAsia="楷体_GB2312" w:cs="Times New Roman"/>
          <w:b/>
          <w:bCs/>
          <w:sz w:val="32"/>
          <w:szCs w:val="32"/>
        </w:rPr>
        <w:t>（二）“三公”经费支出使用和管理情况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年“三公”经费预算21.5万，实际支出合计</w:t>
      </w:r>
      <w:r>
        <w:rPr>
          <w:rFonts w:hint="eastAsia" w:ascii="仿宋_GB2312" w:eastAsia="仿宋_GB2312"/>
          <w:sz w:val="32"/>
          <w:szCs w:val="32"/>
          <w:lang w:val="en-US" w:eastAsia="zh-CN"/>
        </w:rPr>
        <w:t>7.5</w:t>
      </w:r>
      <w:r>
        <w:rPr>
          <w:rFonts w:hint="eastAsia" w:ascii="仿宋_GB2312" w:eastAsia="仿宋_GB2312"/>
          <w:sz w:val="32"/>
          <w:szCs w:val="32"/>
        </w:rPr>
        <w:t>万元。分项为：因公出国(境)费支出零元；我局公务用车2台，均为一般执法执勤用车，没有超编购置。主要用于基层指导、办案，全年购置及运行维护费支出</w:t>
      </w:r>
      <w:r>
        <w:rPr>
          <w:rFonts w:hint="eastAsia" w:ascii="仿宋_GB2312" w:eastAsia="仿宋_GB2312"/>
          <w:sz w:val="32"/>
          <w:szCs w:val="32"/>
          <w:lang w:val="en-US" w:eastAsia="zh-CN"/>
        </w:rPr>
        <w:t>2.5</w:t>
      </w:r>
      <w:r>
        <w:rPr>
          <w:rFonts w:hint="eastAsia" w:ascii="仿宋_GB2312" w:eastAsia="仿宋_GB2312"/>
          <w:sz w:val="32"/>
          <w:szCs w:val="32"/>
        </w:rPr>
        <w:t>万元，比预算减少</w:t>
      </w:r>
      <w:r>
        <w:rPr>
          <w:rFonts w:hint="eastAsia" w:ascii="仿宋_GB2312" w:eastAsia="仿宋_GB2312"/>
          <w:sz w:val="32"/>
          <w:szCs w:val="32"/>
          <w:lang w:val="en-US" w:eastAsia="zh-CN"/>
        </w:rPr>
        <w:t>5.5</w:t>
      </w:r>
      <w:r>
        <w:rPr>
          <w:rFonts w:hint="eastAsia" w:ascii="仿宋_GB2312" w:eastAsia="仿宋_GB2312"/>
          <w:sz w:val="32"/>
          <w:szCs w:val="32"/>
        </w:rPr>
        <w:t>万元</w:t>
      </w:r>
      <w:bookmarkStart w:id="0" w:name="_GoBack"/>
      <w:bookmarkEnd w:id="0"/>
      <w:r>
        <w:rPr>
          <w:rFonts w:hint="eastAsia" w:ascii="仿宋_GB2312" w:eastAsia="仿宋_GB2312"/>
          <w:sz w:val="32"/>
          <w:szCs w:val="32"/>
        </w:rPr>
        <w:t>，降低</w:t>
      </w:r>
      <w:r>
        <w:rPr>
          <w:rFonts w:hint="eastAsia" w:ascii="仿宋_GB2312" w:eastAsia="仿宋_GB2312"/>
          <w:sz w:val="32"/>
          <w:szCs w:val="32"/>
          <w:lang w:val="en-US" w:eastAsia="zh-CN"/>
        </w:rPr>
        <w:t>68.75</w:t>
      </w:r>
      <w:r>
        <w:rPr>
          <w:rFonts w:hint="eastAsia" w:ascii="仿宋_GB2312" w:eastAsia="仿宋_GB2312"/>
          <w:sz w:val="32"/>
          <w:szCs w:val="32"/>
        </w:rPr>
        <w:t xml:space="preserve">%；公务接待费支出5万元，比预算减少8万元，降低63%。公务接待严禁奢侈浪费，为节约开支大部分接待都在食堂开支。                          </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截止202</w:t>
      </w:r>
      <w:r>
        <w:rPr>
          <w:rFonts w:hint="eastAsia" w:ascii="仿宋_GB2312" w:eastAsia="仿宋_GB2312"/>
          <w:sz w:val="32"/>
          <w:szCs w:val="32"/>
          <w:lang w:val="en-US" w:eastAsia="zh-CN"/>
        </w:rPr>
        <w:t>3</w:t>
      </w:r>
      <w:r>
        <w:rPr>
          <w:rFonts w:hint="eastAsia" w:ascii="仿宋_GB2312" w:eastAsia="仿宋_GB2312"/>
          <w:sz w:val="32"/>
          <w:szCs w:val="32"/>
        </w:rPr>
        <w:t>年12月31日，我单位共有公车2台，均为一般执法执勤用车。</w:t>
      </w:r>
    </w:p>
    <w:p>
      <w:pPr>
        <w:spacing w:line="560" w:lineRule="exact"/>
        <w:ind w:firstLine="643" w:firstLineChars="200"/>
        <w:rPr>
          <w:rFonts w:ascii="Times New Roman" w:hAnsi="Times New Roman" w:eastAsia="楷体_GB2312" w:cs="Times New Roman"/>
          <w:b/>
          <w:bCs/>
          <w:sz w:val="32"/>
          <w:szCs w:val="32"/>
        </w:rPr>
      </w:pPr>
      <w:r>
        <w:rPr>
          <w:rFonts w:hint="eastAsia" w:ascii="Times New Roman" w:hAnsi="Times New Roman" w:eastAsia="楷体_GB2312" w:cs="Times New Roman"/>
          <w:b/>
          <w:bCs/>
          <w:sz w:val="32"/>
          <w:szCs w:val="32"/>
        </w:rPr>
        <w:t>（三）专项支出项目资金使用情况</w:t>
      </w:r>
    </w:p>
    <w:p>
      <w:pPr>
        <w:adjustRightInd w:val="0"/>
        <w:snapToGrid w:val="0"/>
        <w:spacing w:line="600" w:lineRule="exact"/>
        <w:ind w:firstLine="640"/>
        <w:rPr>
          <w:rFonts w:ascii="仿宋_GB2312" w:eastAsia="仿宋_GB2312"/>
          <w:sz w:val="32"/>
          <w:szCs w:val="32"/>
        </w:rPr>
      </w:pPr>
      <w:r>
        <w:rPr>
          <w:rFonts w:hint="eastAsia" w:ascii="Times New Roman" w:hAnsi="Times New Roman" w:eastAsia="仿宋_GB2312" w:cs="Times New Roman"/>
          <w:sz w:val="32"/>
          <w:szCs w:val="32"/>
        </w:rPr>
        <w:t>2</w:t>
      </w:r>
      <w:r>
        <w:rPr>
          <w:rFonts w:hint="eastAsia" w:ascii="仿宋_GB2312" w:eastAsia="仿宋_GB2312"/>
          <w:sz w:val="32"/>
          <w:szCs w:val="32"/>
        </w:rPr>
        <w:t>02</w:t>
      </w:r>
      <w:r>
        <w:rPr>
          <w:rFonts w:hint="eastAsia" w:ascii="仿宋_GB2312" w:eastAsia="仿宋_GB2312"/>
          <w:sz w:val="32"/>
          <w:szCs w:val="32"/>
          <w:lang w:val="en-US" w:eastAsia="zh-CN"/>
        </w:rPr>
        <w:t>3</w:t>
      </w:r>
      <w:r>
        <w:rPr>
          <w:rFonts w:hint="eastAsia" w:ascii="仿宋_GB2312" w:eastAsia="仿宋_GB2312"/>
          <w:sz w:val="32"/>
          <w:szCs w:val="32"/>
        </w:rPr>
        <w:t>年我局专项项目资金</w:t>
      </w:r>
      <w:r>
        <w:rPr>
          <w:rFonts w:hint="eastAsia" w:ascii="仿宋_GB2312" w:eastAsia="仿宋_GB2312"/>
          <w:sz w:val="32"/>
          <w:szCs w:val="32"/>
          <w:lang w:val="en-US" w:eastAsia="zh-CN"/>
        </w:rPr>
        <w:t>682.26</w:t>
      </w:r>
      <w:r>
        <w:rPr>
          <w:rFonts w:hint="eastAsia" w:ascii="仿宋_GB2312" w:eastAsia="仿宋_GB2312"/>
          <w:sz w:val="32"/>
          <w:szCs w:val="32"/>
        </w:rPr>
        <w:t>万元。按照项目资金的使用内容和用途，项目资金主要是社区矫正、法律援助、普法宣传、人民调解、司法鉴定、中央转移支付经费</w:t>
      </w:r>
      <w:r>
        <w:rPr>
          <w:rFonts w:hint="eastAsia" w:ascii="仿宋_GB2312" w:eastAsia="仿宋_GB2312"/>
          <w:sz w:val="32"/>
          <w:szCs w:val="32"/>
          <w:lang w:eastAsia="zh-CN"/>
        </w:rPr>
        <w:t>，预发在职与退休人员基础绩效奖，法律工作者医疗保险和法律服务中心退休人员工资补差</w:t>
      </w:r>
      <w:r>
        <w:rPr>
          <w:rFonts w:hint="eastAsia" w:ascii="仿宋_GB2312" w:eastAsia="仿宋_GB2312"/>
          <w:sz w:val="32"/>
          <w:szCs w:val="32"/>
        </w:rPr>
        <w:t>等。都是根据我局的工作职能和职责设立，经费支出范围均为我局开展司法业务工作相关的工作经费，为持续性、常年性项目，具体包括律师公证管理、法律援助、普法宣传、社区矫正、人民调解等项目。通过专项工作的开展，全面推进了法制建设，严格了律师监管，加强人民调解，扩展和规范基层法律服务，推进安置帮教工作，落实社区矫正工作的快速发展绩效目标。</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三、部门专项组织实施情况</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我局财务管理严格依法依规，做到公开公平公正，在严格执行各项有关法律法规、财经纪律、财务规章制度的同时，我局根据单位自身情况结合各项规定编制了《衡南县司法局内部控制手册》，系统阐述了预（决）算、政府采购、国库集中支付、专项资金等管理办法和操作规程。</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认真抓好内部审计工作，认真部署，扎扎实实地开展内部审计工作。我们年初制订了详细的审计工作计划，明确了全年的工作任务和要求，使全年的审计工作做到了有计划、有部署。</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四、部门整体支出绩效情况</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根据局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spacing w:line="560" w:lineRule="exact"/>
        <w:ind w:firstLine="643" w:firstLineChars="200"/>
        <w:rPr>
          <w:rFonts w:ascii="Times New Roman" w:hAnsi="Times New Roman" w:eastAsia="楷体_GB2312" w:cs="Times New Roman"/>
          <w:b/>
          <w:bCs/>
          <w:sz w:val="32"/>
          <w:szCs w:val="32"/>
        </w:rPr>
      </w:pPr>
      <w:r>
        <w:rPr>
          <w:rFonts w:hint="eastAsia" w:ascii="Times New Roman" w:hAnsi="Times New Roman" w:eastAsia="楷体_GB2312" w:cs="Times New Roman"/>
          <w:b/>
          <w:bCs/>
          <w:sz w:val="32"/>
          <w:szCs w:val="32"/>
        </w:rPr>
        <w:t xml:space="preserve">（一）经济性评价 </w:t>
      </w:r>
    </w:p>
    <w:p>
      <w:pPr>
        <w:adjustRightInd w:val="0"/>
        <w:snapToGrid w:val="0"/>
        <w:spacing w:line="600" w:lineRule="exact"/>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 xml:space="preserve"> </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本年预算安排控制较好，财政供养人员控制率100%，编制内在</w:t>
      </w:r>
      <w:r>
        <w:rPr>
          <w:rFonts w:hint="eastAsia" w:ascii="Times New Roman" w:hAnsi="Times New Roman" w:eastAsia="仿宋_GB2312" w:cs="Times New Roman"/>
          <w:sz w:val="32"/>
          <w:szCs w:val="32"/>
        </w:rPr>
        <w:t>职人员控制率小于100%，控制在预算编制以内；“三公”经费预算总额未突破上年。</w:t>
      </w:r>
    </w:p>
    <w:p>
      <w:pPr>
        <w:adjustRightInd w:val="0"/>
        <w:snapToGrid w:val="0"/>
        <w:spacing w:line="600" w:lineRule="exact"/>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　</w:t>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预算</w:t>
      </w:r>
      <w:r>
        <w:rPr>
          <w:rFonts w:hint="eastAsia" w:ascii="Times New Roman" w:hAnsi="Times New Roman" w:eastAsia="仿宋_GB2312" w:cs="Times New Roman"/>
          <w:sz w:val="32"/>
          <w:szCs w:val="32"/>
        </w:rPr>
        <w:t xml:space="preserve">执行方面，支出总额控制在预算总额以内。 </w:t>
      </w:r>
    </w:p>
    <w:p>
      <w:pPr>
        <w:spacing w:line="560" w:lineRule="exact"/>
        <w:ind w:firstLine="643" w:firstLineChars="200"/>
        <w:rPr>
          <w:rFonts w:ascii="Times New Roman" w:hAnsi="Times New Roman" w:eastAsia="楷体_GB2312" w:cs="Times New Roman"/>
          <w:b/>
          <w:bCs/>
          <w:sz w:val="32"/>
          <w:szCs w:val="32"/>
        </w:rPr>
      </w:pPr>
      <w:r>
        <w:rPr>
          <w:rFonts w:hint="eastAsia" w:ascii="Times New Roman" w:hAnsi="Times New Roman" w:eastAsia="楷体_GB2312" w:cs="Times New Roman"/>
          <w:b/>
          <w:bCs/>
          <w:sz w:val="32"/>
          <w:szCs w:val="32"/>
        </w:rPr>
        <w:t>（二）项目产出及社会效益评价</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年，通过我局专项工作的开展，我们狠抓重点工作，较好的完成了各项目标任务，取得了较好的社会效益。主要绩效如下：</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1</w:t>
      </w:r>
      <w:r>
        <w:rPr>
          <w:rFonts w:hint="eastAsia" w:ascii="仿宋_GB2312" w:eastAsia="仿宋_GB2312"/>
          <w:sz w:val="32"/>
          <w:szCs w:val="32"/>
          <w:lang w:eastAsia="zh-CN"/>
        </w:rPr>
        <w:t>.</w:t>
      </w:r>
      <w:r>
        <w:rPr>
          <w:rFonts w:hint="eastAsia" w:ascii="仿宋_GB2312" w:eastAsia="仿宋_GB2312"/>
          <w:sz w:val="32"/>
          <w:szCs w:val="32"/>
        </w:rPr>
        <w:t>人民调解工作</w:t>
      </w:r>
      <w:r>
        <w:rPr>
          <w:rFonts w:hint="eastAsia" w:ascii="仿宋_GB2312" w:eastAsia="仿宋_GB2312"/>
          <w:sz w:val="32"/>
          <w:szCs w:val="32"/>
          <w:lang w:eastAsia="zh-CN"/>
        </w:rPr>
        <w:t>。</w:t>
      </w:r>
      <w:r>
        <w:rPr>
          <w:rFonts w:hint="eastAsia" w:ascii="仿宋_GB2312" w:eastAsia="仿宋_GB2312"/>
          <w:sz w:val="32"/>
          <w:szCs w:val="32"/>
        </w:rPr>
        <w:t>以总体国家安全观为统领，以统筹发展和安全为要求，始终把维护国家政治安全和社会稳定置于首位。</w:t>
      </w:r>
      <w:r>
        <w:rPr>
          <w:rFonts w:hint="eastAsia" w:ascii="仿宋_GB2312" w:eastAsia="仿宋_GB2312"/>
          <w:sz w:val="32"/>
          <w:szCs w:val="32"/>
          <w:lang w:val="en-US" w:eastAsia="zh-CN"/>
        </w:rPr>
        <w:t>坚持融入社会治理，法治惠民层次更深。筑牢社会稳定平安基石。调处各类矛盾纠纷4354件，调解成功率98%。通过“屋场恳谈会+人民调解”方式调处各类矛盾纠纷269件。</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2</w:t>
      </w:r>
      <w:r>
        <w:rPr>
          <w:rFonts w:hint="eastAsia" w:ascii="仿宋_GB2312" w:eastAsia="仿宋_GB2312"/>
          <w:sz w:val="32"/>
          <w:szCs w:val="32"/>
          <w:lang w:eastAsia="zh-CN"/>
        </w:rPr>
        <w:t>.</w:t>
      </w:r>
      <w:r>
        <w:rPr>
          <w:rFonts w:hint="eastAsia" w:ascii="仿宋_GB2312" w:eastAsia="仿宋_GB2312"/>
          <w:sz w:val="32"/>
          <w:szCs w:val="32"/>
        </w:rPr>
        <w:t>社区矫正和安置帮教工作</w:t>
      </w:r>
      <w:r>
        <w:rPr>
          <w:rFonts w:hint="eastAsia" w:ascii="仿宋_GB2312" w:eastAsia="仿宋_GB2312"/>
          <w:sz w:val="32"/>
          <w:szCs w:val="32"/>
          <w:lang w:eastAsia="zh-CN"/>
        </w:rPr>
        <w:t>。</w:t>
      </w:r>
      <w:r>
        <w:rPr>
          <w:rFonts w:hint="eastAsia" w:ascii="仿宋_GB2312" w:eastAsia="仿宋_GB2312"/>
          <w:sz w:val="32"/>
          <w:szCs w:val="32"/>
          <w:lang w:val="en-US" w:eastAsia="zh-CN"/>
        </w:rPr>
        <w:t>顺利召开衡南县社区矫正委员会全体会议，审议通过《衡南县社区矫正委员会工作规则》《衡南县社区矫正委员会主要职责及制度》。如期完成智慧矫正中心建设。累计接收社区矫正对象226人，依法开展社会调查评估案件331件，安置帮教人数456人。目前在册社区矫正对象380人。接收刑满释放人员498人。</w:t>
      </w:r>
      <w:r>
        <w:rPr>
          <w:rFonts w:hint="eastAsia" w:ascii="仿宋_GB2312" w:eastAsia="仿宋_GB2312"/>
          <w:sz w:val="32"/>
          <w:szCs w:val="32"/>
        </w:rPr>
        <w:t>没有出现脱管、漏管和重新犯罪情况。</w:t>
      </w:r>
    </w:p>
    <w:p>
      <w:pPr>
        <w:adjustRightInd w:val="0"/>
        <w:snapToGrid w:val="0"/>
        <w:spacing w:line="600" w:lineRule="exact"/>
        <w:ind w:firstLine="640"/>
        <w:rPr>
          <w:rFonts w:hint="eastAsia" w:ascii="仿宋_GB2312" w:eastAsia="仿宋_GB2312"/>
          <w:sz w:val="32"/>
          <w:szCs w:val="32"/>
          <w:lang w:val="en-US" w:eastAsia="zh-CN"/>
        </w:rPr>
      </w:pPr>
      <w:r>
        <w:rPr>
          <w:rFonts w:hint="eastAsia" w:ascii="仿宋_GB2312" w:eastAsia="仿宋_GB2312"/>
          <w:sz w:val="32"/>
          <w:szCs w:val="32"/>
        </w:rPr>
        <w:t>3</w:t>
      </w:r>
      <w:r>
        <w:rPr>
          <w:rFonts w:hint="eastAsia" w:ascii="仿宋_GB2312" w:eastAsia="仿宋_GB2312"/>
          <w:sz w:val="32"/>
          <w:szCs w:val="32"/>
          <w:lang w:eastAsia="zh-CN"/>
        </w:rPr>
        <w:t>.</w:t>
      </w:r>
      <w:r>
        <w:rPr>
          <w:rFonts w:hint="eastAsia" w:ascii="仿宋_GB2312" w:eastAsia="仿宋_GB2312"/>
          <w:sz w:val="32"/>
          <w:szCs w:val="32"/>
        </w:rPr>
        <w:t>法治宣传工作</w:t>
      </w:r>
      <w:r>
        <w:rPr>
          <w:rFonts w:hint="eastAsia" w:ascii="仿宋_GB2312" w:eastAsia="仿宋_GB2312"/>
          <w:sz w:val="32"/>
          <w:szCs w:val="32"/>
          <w:lang w:eastAsia="zh-CN"/>
        </w:rPr>
        <w:t>。</w:t>
      </w:r>
      <w:r>
        <w:rPr>
          <w:rFonts w:hint="eastAsia" w:ascii="仿宋_GB2312" w:eastAsia="仿宋_GB2312"/>
          <w:sz w:val="32"/>
          <w:szCs w:val="32"/>
        </w:rPr>
        <w:t>提供让群众更加满意的服务渠道，满足群众的多元化法律服务需求，着力优化法治营商环境，护航经济社会高质量发展。</w:t>
      </w:r>
      <w:r>
        <w:rPr>
          <w:rFonts w:hint="eastAsia" w:ascii="仿宋_GB2312" w:eastAsia="仿宋_GB2312"/>
          <w:sz w:val="32"/>
          <w:szCs w:val="32"/>
          <w:lang w:val="en-US" w:eastAsia="zh-CN"/>
        </w:rPr>
        <w:t>聚焦全民普法营造法治氛围。开展大型农家屋场法治宣传恳谈会、法治培训讲座、《民法典》巡讲等法治宣传教育活动179场次。成功创建相市乡沿江村为市级民主法治示范村。</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lang w:val="en-US" w:eastAsia="zh-CN"/>
        </w:rPr>
        <w:t>4.法律援助工作。多维强化法治服务保障。开展“新春走基层·法律服务惠民生”主题活动，组织云集法律服务所赴三塘镇龙头岭社区开展法律服务。开展“千所联千企”专项活动，组织律师事务所深入企业，为企业定制特色“法律大餐”。受理法律援助案件655件，办理司法鉴定361件、公证事项187件。 切实提高了人民群众对公共法律服务</w:t>
      </w:r>
      <w:r>
        <w:rPr>
          <w:rFonts w:hint="eastAsia" w:ascii="仿宋_GB2312" w:eastAsia="仿宋_GB2312"/>
          <w:sz w:val="32"/>
          <w:szCs w:val="32"/>
        </w:rPr>
        <w:t>的获得感，同时收到了良好的法律效果和社会效果。</w:t>
      </w:r>
    </w:p>
    <w:p>
      <w:pPr>
        <w:adjustRightInd w:val="0"/>
        <w:snapToGrid w:val="0"/>
        <w:spacing w:line="600" w:lineRule="exact"/>
        <w:ind w:firstLine="640"/>
        <w:rPr>
          <w:rFonts w:hint="eastAsia" w:ascii="仿宋_GB2312" w:eastAsia="仿宋_GB2312"/>
          <w:sz w:val="32"/>
          <w:szCs w:val="32"/>
          <w:lang w:val="en-US" w:eastAsia="zh-CN"/>
        </w:rPr>
      </w:pPr>
      <w:r>
        <w:rPr>
          <w:rFonts w:hint="eastAsia" w:ascii="仿宋_GB2312" w:eastAsia="仿宋_GB2312"/>
          <w:sz w:val="32"/>
          <w:szCs w:val="32"/>
          <w:lang w:val="en-US" w:eastAsia="zh-CN"/>
        </w:rPr>
        <w:t>5</w:t>
      </w:r>
      <w:r>
        <w:rPr>
          <w:rFonts w:hint="eastAsia" w:ascii="仿宋_GB2312" w:eastAsia="仿宋_GB2312"/>
          <w:sz w:val="32"/>
          <w:szCs w:val="32"/>
          <w:lang w:eastAsia="zh-CN"/>
        </w:rPr>
        <w:t>.</w:t>
      </w:r>
      <w:r>
        <w:rPr>
          <w:rFonts w:hint="eastAsia" w:ascii="仿宋_GB2312" w:eastAsia="仿宋_GB2312"/>
          <w:sz w:val="32"/>
          <w:szCs w:val="32"/>
        </w:rPr>
        <w:t>法治建设</w:t>
      </w:r>
      <w:r>
        <w:rPr>
          <w:rFonts w:hint="eastAsia" w:ascii="仿宋_GB2312" w:eastAsia="仿宋_GB2312"/>
          <w:sz w:val="32"/>
          <w:szCs w:val="32"/>
          <w:lang w:eastAsia="zh-CN"/>
        </w:rPr>
        <w:t>工作。</w:t>
      </w:r>
      <w:r>
        <w:rPr>
          <w:rFonts w:hint="eastAsia" w:ascii="仿宋_GB2312" w:eastAsia="仿宋_GB2312"/>
          <w:sz w:val="32"/>
          <w:szCs w:val="32"/>
          <w:lang w:val="en-US" w:eastAsia="zh-CN"/>
        </w:rPr>
        <w:t>坚持高位统筹谋划，依法治县水平更高。一是统筹推进全面依法治县。开展贯彻落实“一规划两纲要”法治督察。全力推进法治政府示范创建,衡南县“首创屋场恳谈会制度 探索基层治理新模式”被命名为“全省法治政府建设示范项目”。召开了县委全面依法治县委员会2023年第一次会议。</w:t>
      </w:r>
    </w:p>
    <w:p>
      <w:pPr>
        <w:adjustRightInd w:val="0"/>
        <w:snapToGrid w:val="0"/>
        <w:spacing w:line="600" w:lineRule="exact"/>
        <w:ind w:firstLine="640"/>
        <w:rPr>
          <w:rFonts w:hint="eastAsia" w:ascii="仿宋_GB2312" w:eastAsia="仿宋_GB2312"/>
          <w:sz w:val="32"/>
          <w:szCs w:val="32"/>
          <w:lang w:val="en-US" w:eastAsia="zh-CN"/>
        </w:rPr>
      </w:pPr>
      <w:r>
        <w:rPr>
          <w:rFonts w:hint="eastAsia" w:ascii="仿宋_GB2312" w:eastAsia="仿宋_GB2312"/>
          <w:sz w:val="32"/>
          <w:szCs w:val="32"/>
          <w:lang w:val="en-US" w:eastAsia="zh-CN"/>
        </w:rPr>
        <w:t>6.行政复议与行政执法监督工作。一是依法做好复议应诉工作。全县受理行政复议案件29件，办理行政诉讼案10件。受理山林权属纠纷7件，已办理4件。二是优化提升行政执法监督。规范行政执法人员持证上岗和资格管理，组织672名考生参加行政执法证资格考试。深入开展道路交通安全和运输执法领域突出问题专项整治工作，通过开展案卷评查、实地督导检查、对执法人员进行法治培训、加强装备财务保障等方式，不断加强执勤执法规范化建设，推进严格规范公正文明执法。在全县范围内开展行政执法评议工作，进一步规范行政执法行为，提升依法行政能力和法治政府建设水平。</w:t>
      </w:r>
    </w:p>
    <w:p>
      <w:pPr>
        <w:spacing w:line="560" w:lineRule="exact"/>
        <w:ind w:firstLine="321" w:firstLineChars="100"/>
        <w:rPr>
          <w:rFonts w:ascii="Times New Roman" w:hAnsi="Times New Roman" w:eastAsia="楷体_GB2312" w:cs="Times New Roman"/>
          <w:b/>
          <w:bCs/>
          <w:sz w:val="32"/>
          <w:szCs w:val="32"/>
          <w:lang w:val="zh-CN"/>
        </w:rPr>
      </w:pPr>
      <w:r>
        <w:rPr>
          <w:rFonts w:hint="eastAsia" w:ascii="Times New Roman" w:hAnsi="Times New Roman" w:eastAsia="楷体_GB2312" w:cs="Times New Roman"/>
          <w:b/>
          <w:bCs/>
          <w:sz w:val="32"/>
          <w:szCs w:val="32"/>
          <w:lang w:val="zh-CN"/>
        </w:rPr>
        <w:t>（三）社会公众满意度评价</w:t>
      </w:r>
    </w:p>
    <w:p>
      <w:pPr>
        <w:adjustRightInd w:val="0"/>
        <w:snapToGrid w:val="0"/>
        <w:spacing w:line="600" w:lineRule="exact"/>
        <w:ind w:firstLine="640"/>
        <w:rPr>
          <w:rFonts w:hint="eastAsia" w:ascii="仿宋" w:hAnsi="仿宋" w:eastAsia="仿宋" w:cs="仿宋"/>
          <w:sz w:val="32"/>
          <w:szCs w:val="32"/>
        </w:rPr>
      </w:pPr>
      <w:r>
        <w:rPr>
          <w:rFonts w:hint="eastAsia" w:ascii="仿宋" w:hAnsi="仿宋" w:eastAsia="仿宋" w:cs="仿宋"/>
          <w:sz w:val="32"/>
          <w:szCs w:val="32"/>
        </w:rPr>
        <w:t>通过上述工作的开展，省内法治环境逐步优化，社会公众的法制意识得到加强，社会的安定团结得到保障，社会公众的满意度得到了提高。</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四、存在的主要问题</w:t>
      </w:r>
    </w:p>
    <w:p>
      <w:pPr>
        <w:adjustRightInd w:val="0"/>
        <w:snapToGrid w:val="0"/>
        <w:spacing w:line="600" w:lineRule="exact"/>
        <w:ind w:firstLine="640"/>
        <w:rPr>
          <w:rFonts w:ascii="Times New Roman" w:hAnsi="Times New Roman" w:eastAsia="仿宋_GB2312" w:cs="Times New Roman"/>
          <w:sz w:val="32"/>
          <w:szCs w:val="32"/>
        </w:rPr>
      </w:pPr>
      <w:r>
        <w:rPr>
          <w:rFonts w:hint="eastAsia" w:ascii="仿宋" w:hAnsi="仿宋" w:eastAsia="仿宋" w:cs="仿宋"/>
          <w:sz w:val="32"/>
          <w:szCs w:val="32"/>
        </w:rPr>
        <w:t>年初预算的编制较为精细，按照费用支出的使用范围和内容，进行了类、款、项三个层级的明细预算，进行了基本支出、项目支出的严格区分，同时在基本支出和项目支出中又进行了更为明细的预算，并按照预算的最末级明细进行预算支出管理，专款专用。但对于追加的项目支出、上年结余结转的项目资金，没有进行预算分解，编制明细预算，因此涉及上年结转和追加预算的项目支出的预算管理均仅从总额进行控制，不便于对其进行精细化的预算管理和分析评价。</w:t>
      </w:r>
    </w:p>
    <w:p>
      <w:pPr>
        <w:spacing w:line="560" w:lineRule="exact"/>
        <w:ind w:firstLine="640" w:firstLineChars="200"/>
        <w:rPr>
          <w:rFonts w:ascii="黑体" w:hAnsi="黑体" w:eastAsia="黑体" w:cs="黑体"/>
          <w:kern w:val="0"/>
          <w:sz w:val="32"/>
          <w:szCs w:val="32"/>
        </w:rPr>
      </w:pPr>
      <w:r>
        <w:rPr>
          <w:rFonts w:hint="eastAsia" w:ascii="黑体" w:hAnsi="黑体" w:eastAsia="黑体" w:cs="黑体"/>
          <w:kern w:val="0"/>
          <w:sz w:val="32"/>
          <w:szCs w:val="32"/>
        </w:rPr>
        <w:t>五、改进措施和建议</w:t>
      </w:r>
    </w:p>
    <w:p>
      <w:pPr>
        <w:adjustRightInd w:val="0"/>
        <w:snapToGrid w:val="0"/>
        <w:spacing w:line="600" w:lineRule="exact"/>
        <w:ind w:firstLine="640"/>
        <w:rPr>
          <w:rFonts w:hint="eastAsia"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sz w:val="32"/>
          <w:szCs w:val="32"/>
          <w:lang w:val="en-US" w:eastAsia="zh-CN"/>
        </w:rPr>
        <w:t>.</w:t>
      </w:r>
      <w:r>
        <w:rPr>
          <w:rFonts w:hint="eastAsia" w:ascii="仿宋" w:hAnsi="仿宋" w:eastAsia="仿宋" w:cs="仿宋"/>
          <w:sz w:val="32"/>
          <w:szCs w:val="32"/>
        </w:rPr>
        <w:t>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pPr>
        <w:adjustRightInd w:val="0"/>
        <w:snapToGrid w:val="0"/>
        <w:spacing w:line="600" w:lineRule="exact"/>
        <w:ind w:firstLine="640"/>
        <w:rPr>
          <w:rFonts w:ascii="Times New Roman" w:hAnsi="Times New Roman" w:eastAsia="仿宋_GB2312" w:cs="Times New Roman"/>
          <w:sz w:val="32"/>
          <w:szCs w:val="32"/>
        </w:rPr>
      </w:pPr>
      <w:r>
        <w:rPr>
          <w:rFonts w:hint="eastAsia" w:ascii="仿宋" w:hAnsi="仿宋" w:eastAsia="仿宋" w:cs="仿宋"/>
          <w:sz w:val="32"/>
          <w:szCs w:val="32"/>
        </w:rPr>
        <w:t>2</w:t>
      </w:r>
      <w:r>
        <w:rPr>
          <w:rFonts w:hint="eastAsia" w:ascii="仿宋" w:hAnsi="仿宋" w:eastAsia="仿宋" w:cs="仿宋"/>
          <w:sz w:val="32"/>
          <w:szCs w:val="32"/>
          <w:lang w:val="en-US" w:eastAsia="zh-CN"/>
        </w:rPr>
        <w:t>.</w:t>
      </w:r>
      <w:r>
        <w:rPr>
          <w:rFonts w:hint="eastAsia" w:ascii="仿宋" w:hAnsi="仿宋" w:eastAsia="仿宋" w:cs="仿宋"/>
          <w:sz w:val="32"/>
          <w:szCs w:val="32"/>
        </w:rPr>
        <w:t>在日常预算管理过程中，进一步</w:t>
      </w:r>
      <w:r>
        <w:rPr>
          <w:rFonts w:hint="eastAsia" w:ascii="Times New Roman" w:hAnsi="Times New Roman" w:eastAsia="仿宋_GB2312" w:cs="Times New Roman"/>
          <w:sz w:val="32"/>
          <w:szCs w:val="32"/>
        </w:rPr>
        <w:t>加强预算支出的审核、跟踪及预算执行情况分析。</w:t>
      </w:r>
    </w:p>
    <w:p>
      <w:pPr>
        <w:wordWrap w:val="0"/>
        <w:spacing w:line="560" w:lineRule="exact"/>
        <w:ind w:right="480"/>
        <w:jc w:val="right"/>
        <w:rPr>
          <w:rFonts w:ascii="仿宋_GB2312" w:eastAsia="仿宋_GB2312"/>
          <w:sz w:val="32"/>
          <w:szCs w:val="32"/>
        </w:rPr>
      </w:pPr>
      <w:r>
        <w:rPr>
          <w:rFonts w:hint="eastAsia" w:ascii="仿宋_GB2312" w:eastAsia="仿宋_GB2312"/>
          <w:sz w:val="32"/>
          <w:szCs w:val="32"/>
        </w:rPr>
        <w:t>衡南县司法局</w:t>
      </w:r>
    </w:p>
    <w:p>
      <w:pPr>
        <w:spacing w:line="560" w:lineRule="exact"/>
        <w:ind w:right="480" w:firstLine="640" w:firstLineChars="200"/>
        <w:jc w:val="right"/>
        <w:rPr>
          <w:rFonts w:ascii="黑体" w:hAnsi="黑体" w:eastAsia="黑体" w:cs="黑体"/>
          <w:bCs/>
          <w:sz w:val="32"/>
          <w:szCs w:val="32"/>
        </w:rPr>
      </w:pPr>
      <w:r>
        <w:rPr>
          <w:rFonts w:hint="eastAsia" w:ascii="仿宋_GB2312" w:eastAsia="仿宋_GB2312"/>
          <w:sz w:val="32"/>
          <w:szCs w:val="32"/>
        </w:rPr>
        <w:t>2023年4月19日</w:t>
      </w:r>
    </w:p>
    <w:p>
      <w:pPr>
        <w:jc w:val="right"/>
      </w:pPr>
    </w:p>
    <w:p>
      <w:pPr>
        <w:tabs>
          <w:tab w:val="left" w:pos="2421"/>
        </w:tabs>
        <w:rPr>
          <w:rFonts w:hint="eastAsia" w:eastAsiaTheme="minor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0000000000000000000"/>
    <w:charset w:val="86"/>
    <w:family w:val="auto"/>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zMTI3ZDZjZDMxNzZiNmE0MzNkNTc4ZjYwMWMxOGUifQ=="/>
  </w:docVars>
  <w:rsids>
    <w:rsidRoot w:val="20C4205D"/>
    <w:rsid w:val="0EEA7BE2"/>
    <w:rsid w:val="20C4205D"/>
    <w:rsid w:val="32714E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footer"/>
    <w:basedOn w:val="1"/>
    <w:next w:val="1"/>
    <w:autoRedefine/>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13</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2024-04-29T08:11:00Z</dcterms:created>
  <dc:creator>Administrator</dc:creator>
  <cp:lastModifiedBy>Administrator</cp:lastModifiedBy>
  <cp:lastPrinted>2024-05-06T01:33:00Z</cp:lastPrinted>
  <dcterms:modified xsi:type="dcterms:W3CDTF">2024-05-15T08:37:42Z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E5F54F768A564DCBAFFD7B9DBBB96A0F_11</vt:lpwstr>
  </property>
</Properties>
</file>