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3B761E">
      <w:pPr>
        <w:pStyle w:val="5"/>
        <w:rPr>
          <w:rFonts w:hint="eastAsia" w:ascii="仿宋" w:hAnsi="仿宋" w:eastAsia="仿宋" w:cs="仿宋"/>
          <w:color w:val="auto"/>
          <w:sz w:val="20"/>
        </w:rPr>
      </w:pPr>
    </w:p>
    <w:p w14:paraId="7628E589">
      <w:pPr>
        <w:pStyle w:val="5"/>
        <w:rPr>
          <w:rFonts w:hint="eastAsia" w:ascii="仿宋" w:hAnsi="仿宋" w:eastAsia="仿宋" w:cs="仿宋"/>
          <w:color w:val="auto"/>
          <w:sz w:val="20"/>
        </w:rPr>
      </w:pPr>
    </w:p>
    <w:p w14:paraId="3D97414B">
      <w:pPr>
        <w:pStyle w:val="5"/>
        <w:rPr>
          <w:rFonts w:hint="eastAsia" w:ascii="仿宋" w:hAnsi="仿宋" w:eastAsia="仿宋" w:cs="仿宋"/>
          <w:color w:val="auto"/>
          <w:sz w:val="20"/>
        </w:rPr>
      </w:pPr>
    </w:p>
    <w:p w14:paraId="23635B54">
      <w:pPr>
        <w:pStyle w:val="5"/>
        <w:rPr>
          <w:rFonts w:hint="eastAsia" w:ascii="仿宋" w:hAnsi="仿宋" w:eastAsia="仿宋" w:cs="仿宋"/>
          <w:color w:val="auto"/>
          <w:sz w:val="20"/>
        </w:rPr>
      </w:pPr>
    </w:p>
    <w:p w14:paraId="153873BC">
      <w:pPr>
        <w:pStyle w:val="5"/>
        <w:rPr>
          <w:rFonts w:hint="eastAsia" w:ascii="仿宋" w:hAnsi="仿宋" w:eastAsia="仿宋" w:cs="仿宋"/>
          <w:color w:val="auto"/>
          <w:sz w:val="20"/>
        </w:rPr>
      </w:pPr>
    </w:p>
    <w:p w14:paraId="418EA5B5">
      <w:pPr>
        <w:pStyle w:val="5"/>
        <w:rPr>
          <w:rFonts w:hint="eastAsia" w:ascii="仿宋" w:hAnsi="仿宋" w:eastAsia="仿宋" w:cs="仿宋"/>
          <w:color w:val="auto"/>
          <w:sz w:val="20"/>
        </w:rPr>
      </w:pPr>
    </w:p>
    <w:p w14:paraId="1CF426A9">
      <w:pPr>
        <w:pStyle w:val="5"/>
        <w:rPr>
          <w:rFonts w:hint="eastAsia" w:ascii="仿宋" w:hAnsi="仿宋" w:eastAsia="仿宋" w:cs="仿宋"/>
          <w:color w:val="auto"/>
          <w:sz w:val="20"/>
        </w:rPr>
      </w:pPr>
    </w:p>
    <w:p w14:paraId="6F99C66A">
      <w:pPr>
        <w:pStyle w:val="5"/>
        <w:rPr>
          <w:rFonts w:hint="eastAsia" w:ascii="仿宋" w:hAnsi="仿宋" w:eastAsia="仿宋" w:cs="仿宋"/>
          <w:color w:val="auto"/>
          <w:sz w:val="20"/>
        </w:rPr>
      </w:pPr>
    </w:p>
    <w:p w14:paraId="518E6539">
      <w:pPr>
        <w:pStyle w:val="5"/>
        <w:rPr>
          <w:rFonts w:hint="eastAsia" w:ascii="仿宋" w:hAnsi="仿宋" w:eastAsia="仿宋" w:cs="仿宋"/>
          <w:color w:val="auto"/>
          <w:sz w:val="20"/>
        </w:rPr>
      </w:pPr>
    </w:p>
    <w:p w14:paraId="09DB6871">
      <w:pPr>
        <w:pStyle w:val="5"/>
        <w:spacing w:before="8"/>
        <w:rPr>
          <w:rFonts w:hint="eastAsia" w:ascii="仿宋" w:hAnsi="仿宋" w:eastAsia="仿宋" w:cs="仿宋"/>
          <w:color w:val="auto"/>
          <w:sz w:val="29"/>
        </w:rPr>
      </w:pPr>
    </w:p>
    <w:p w14:paraId="75ABA43E">
      <w:pPr>
        <w:keepNext w:val="0"/>
        <w:keepLines w:val="0"/>
        <w:pageBreakBefore w:val="0"/>
        <w:widowControl w:val="0"/>
        <w:kinsoku/>
        <w:wordWrap/>
        <w:overflowPunct/>
        <w:topLinePunct w:val="0"/>
        <w:autoSpaceDE w:val="0"/>
        <w:autoSpaceDN w:val="0"/>
        <w:bidi w:val="0"/>
        <w:adjustRightInd/>
        <w:snapToGrid/>
        <w:spacing w:before="0" w:line="214" w:lineRule="auto"/>
        <w:ind w:left="0" w:right="0" w:firstLine="0"/>
        <w:jc w:val="center"/>
        <w:textAlignment w:val="auto"/>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2023年度</w:t>
      </w:r>
      <w:r>
        <w:rPr>
          <w:rFonts w:hint="eastAsia" w:ascii="方正小标宋简体" w:hAnsi="方正小标宋简体" w:eastAsia="方正小标宋简体" w:cs="方正小标宋简体"/>
          <w:color w:val="auto"/>
          <w:sz w:val="44"/>
          <w:szCs w:val="44"/>
          <w:lang w:eastAsia="zh-CN"/>
        </w:rPr>
        <w:t>衡南县审计局</w:t>
      </w:r>
      <w:r>
        <w:rPr>
          <w:rFonts w:hint="eastAsia" w:ascii="方正小标宋简体" w:hAnsi="方正小标宋简体" w:eastAsia="方正小标宋简体" w:cs="方正小标宋简体"/>
          <w:color w:val="auto"/>
          <w:sz w:val="44"/>
          <w:szCs w:val="44"/>
        </w:rPr>
        <w:t>部门整体支出绩效自评报告</w:t>
      </w:r>
    </w:p>
    <w:p w14:paraId="371B0BA8">
      <w:pPr>
        <w:pStyle w:val="5"/>
        <w:rPr>
          <w:rFonts w:hint="eastAsia" w:ascii="仿宋" w:hAnsi="仿宋" w:eastAsia="仿宋" w:cs="仿宋"/>
          <w:color w:val="auto"/>
          <w:sz w:val="62"/>
        </w:rPr>
      </w:pPr>
    </w:p>
    <w:p w14:paraId="1FF00C7E">
      <w:pPr>
        <w:pStyle w:val="5"/>
        <w:rPr>
          <w:rFonts w:hint="eastAsia" w:ascii="仿宋" w:hAnsi="仿宋" w:eastAsia="仿宋" w:cs="仿宋"/>
          <w:color w:val="auto"/>
          <w:sz w:val="62"/>
        </w:rPr>
      </w:pPr>
    </w:p>
    <w:p w14:paraId="117E9A9F">
      <w:pPr>
        <w:pStyle w:val="5"/>
        <w:rPr>
          <w:rFonts w:hint="eastAsia" w:ascii="仿宋" w:hAnsi="仿宋" w:eastAsia="仿宋" w:cs="仿宋"/>
          <w:color w:val="auto"/>
          <w:sz w:val="62"/>
        </w:rPr>
      </w:pPr>
    </w:p>
    <w:p w14:paraId="608B70B9">
      <w:pPr>
        <w:pStyle w:val="5"/>
        <w:rPr>
          <w:rFonts w:hint="eastAsia" w:ascii="仿宋" w:hAnsi="仿宋" w:eastAsia="仿宋" w:cs="仿宋"/>
          <w:color w:val="auto"/>
          <w:sz w:val="62"/>
        </w:rPr>
      </w:pPr>
    </w:p>
    <w:p w14:paraId="748745E1">
      <w:pPr>
        <w:pStyle w:val="5"/>
        <w:rPr>
          <w:rFonts w:hint="eastAsia" w:ascii="仿宋" w:hAnsi="仿宋" w:eastAsia="仿宋" w:cs="仿宋"/>
          <w:color w:val="auto"/>
          <w:sz w:val="62"/>
        </w:rPr>
      </w:pPr>
    </w:p>
    <w:p w14:paraId="6D8AFE29">
      <w:pPr>
        <w:pStyle w:val="5"/>
        <w:spacing w:before="9"/>
        <w:rPr>
          <w:rFonts w:hint="eastAsia" w:ascii="仿宋" w:hAnsi="仿宋" w:eastAsia="仿宋" w:cs="仿宋"/>
          <w:color w:val="auto"/>
          <w:sz w:val="71"/>
        </w:rPr>
      </w:pPr>
    </w:p>
    <w:p w14:paraId="1E5FFAF2">
      <w:pPr>
        <w:pStyle w:val="5"/>
        <w:tabs>
          <w:tab w:val="left" w:pos="5973"/>
        </w:tabs>
        <w:ind w:left="535"/>
        <w:jc w:val="center"/>
        <w:rPr>
          <w:rFonts w:hint="eastAsia" w:ascii="仿宋" w:hAnsi="仿宋" w:eastAsia="仿宋" w:cs="仿宋"/>
          <w:color w:val="auto"/>
        </w:rPr>
      </w:pPr>
      <w:r>
        <w:rPr>
          <w:rFonts w:hint="eastAsia" w:ascii="仿宋" w:hAnsi="仿宋" w:eastAsia="仿宋" w:cs="仿宋"/>
          <w:color w:val="auto"/>
        </w:rPr>
        <w:t>部门（单位）名称</w:t>
      </w:r>
      <w:r>
        <w:rPr>
          <w:rFonts w:hint="eastAsia" w:ascii="仿宋" w:hAnsi="仿宋" w:eastAsia="仿宋" w:cs="仿宋"/>
          <w:color w:val="auto"/>
          <w:spacing w:val="155"/>
        </w:rPr>
        <w:t xml:space="preserve"> </w:t>
      </w:r>
      <w:r>
        <w:rPr>
          <w:rFonts w:hint="eastAsia" w:ascii="仿宋" w:hAnsi="仿宋" w:eastAsia="仿宋" w:cs="仿宋"/>
          <w:color w:val="auto"/>
          <w:u w:val="single"/>
          <w:lang w:eastAsia="zh-CN"/>
        </w:rPr>
        <w:t>衡南县审计局</w:t>
      </w:r>
      <w:r>
        <w:rPr>
          <w:rFonts w:hint="eastAsia" w:ascii="仿宋" w:hAnsi="仿宋" w:eastAsia="仿宋" w:cs="仿宋"/>
          <w:color w:val="auto"/>
          <w:u w:val="single"/>
        </w:rPr>
        <w:tab/>
      </w:r>
    </w:p>
    <w:p w14:paraId="02698E3C">
      <w:pPr>
        <w:pStyle w:val="5"/>
        <w:spacing w:before="190"/>
        <w:ind w:left="3987" w:firstLine="640" w:firstLineChars="200"/>
        <w:rPr>
          <w:rFonts w:hint="eastAsia" w:ascii="楷体" w:hAnsi="楷体" w:eastAsia="楷体" w:cs="楷体"/>
          <w:color w:val="auto"/>
        </w:rPr>
      </w:pPr>
      <w:r>
        <w:rPr>
          <w:rFonts w:hint="eastAsia" w:ascii="楷体" w:hAnsi="楷体" w:eastAsia="楷体" w:cs="楷体"/>
          <w:color w:val="auto"/>
          <w:lang w:val="en-US" w:eastAsia="zh-CN"/>
        </w:rPr>
        <w:t>2024</w:t>
      </w:r>
      <w:r>
        <w:rPr>
          <w:rFonts w:hint="eastAsia" w:ascii="楷体" w:hAnsi="楷体" w:eastAsia="楷体" w:cs="楷体"/>
          <w:color w:val="auto"/>
        </w:rPr>
        <w:t>年</w:t>
      </w:r>
      <w:r>
        <w:rPr>
          <w:rFonts w:hint="eastAsia" w:ascii="楷体" w:hAnsi="楷体" w:eastAsia="楷体" w:cs="楷体"/>
          <w:color w:val="auto"/>
          <w:lang w:val="en-US" w:eastAsia="zh-CN"/>
        </w:rPr>
        <w:t>8月30日</w:t>
      </w:r>
    </w:p>
    <w:p w14:paraId="34D39FB2">
      <w:pPr>
        <w:pStyle w:val="5"/>
        <w:spacing w:before="4"/>
        <w:rPr>
          <w:rFonts w:hint="eastAsia" w:ascii="仿宋" w:hAnsi="仿宋" w:eastAsia="仿宋" w:cs="仿宋"/>
          <w:color w:val="auto"/>
          <w:sz w:val="31"/>
        </w:rPr>
      </w:pPr>
    </w:p>
    <w:p w14:paraId="7FEFF88F">
      <w:pPr>
        <w:pStyle w:val="5"/>
        <w:ind w:left="4031"/>
        <w:rPr>
          <w:rFonts w:hint="eastAsia" w:ascii="仿宋" w:hAnsi="仿宋" w:eastAsia="仿宋" w:cs="仿宋"/>
          <w:color w:val="auto"/>
        </w:rPr>
      </w:pPr>
      <w:r>
        <w:rPr>
          <w:rFonts w:hint="eastAsia" w:ascii="仿宋" w:hAnsi="仿宋" w:eastAsia="仿宋" w:cs="仿宋"/>
          <w:color w:val="auto"/>
        </w:rPr>
        <w:t>（此页为封面）</w:t>
      </w:r>
    </w:p>
    <w:p w14:paraId="77EE41B9">
      <w:pPr>
        <w:spacing w:after="0"/>
        <w:rPr>
          <w:rFonts w:hint="eastAsia" w:ascii="仿宋" w:hAnsi="仿宋" w:eastAsia="仿宋" w:cs="仿宋"/>
          <w:color w:val="auto"/>
        </w:rPr>
        <w:sectPr>
          <w:pgSz w:w="11900" w:h="16840"/>
          <w:pgMar w:top="1440" w:right="1803" w:bottom="1440" w:left="1803" w:header="720" w:footer="992" w:gutter="0"/>
          <w:cols w:space="0" w:num="1"/>
          <w:rtlGutter w:val="0"/>
          <w:docGrid w:linePitch="0" w:charSpace="0"/>
        </w:sectPr>
      </w:pPr>
    </w:p>
    <w:p w14:paraId="4BB6138F">
      <w:pPr>
        <w:pStyle w:val="2"/>
        <w:keepNext w:val="0"/>
        <w:keepLines w:val="0"/>
        <w:pageBreakBefore w:val="0"/>
        <w:widowControl w:val="0"/>
        <w:kinsoku/>
        <w:wordWrap/>
        <w:overflowPunct/>
        <w:topLinePunct w:val="0"/>
        <w:autoSpaceDE w:val="0"/>
        <w:autoSpaceDN w:val="0"/>
        <w:bidi w:val="0"/>
        <w:adjustRightInd/>
        <w:snapToGrid/>
        <w:spacing w:before="0" w:line="214" w:lineRule="auto"/>
        <w:ind w:left="0" w:right="0" w:firstLine="0"/>
        <w:jc w:val="center"/>
        <w:textAlignment w:val="auto"/>
        <w:rPr>
          <w:rFonts w:hint="eastAsia" w:ascii="方正小标宋简体" w:hAnsi="方正小标宋简体" w:eastAsia="方正小标宋简体" w:cs="方正小标宋简体"/>
          <w:color w:val="auto"/>
          <w:sz w:val="36"/>
          <w:szCs w:val="36"/>
        </w:rPr>
      </w:pPr>
      <w:r>
        <w:rPr>
          <w:rFonts w:hint="eastAsia" w:ascii="方正小标宋简体" w:hAnsi="方正小标宋简体" w:eastAsia="方正小标宋简体" w:cs="方正小标宋简体"/>
          <w:color w:val="auto"/>
          <w:sz w:val="36"/>
          <w:szCs w:val="36"/>
        </w:rPr>
        <w:t>2023年度</w:t>
      </w:r>
      <w:r>
        <w:rPr>
          <w:rFonts w:hint="eastAsia" w:ascii="方正小标宋简体" w:hAnsi="方正小标宋简体" w:cs="方正小标宋简体"/>
          <w:color w:val="auto"/>
          <w:sz w:val="36"/>
          <w:szCs w:val="36"/>
          <w:lang w:eastAsia="zh-CN"/>
        </w:rPr>
        <w:t>衡南县审计局</w:t>
      </w:r>
      <w:r>
        <w:rPr>
          <w:rFonts w:hint="eastAsia" w:ascii="方正小标宋简体" w:hAnsi="方正小标宋简体" w:eastAsia="方正小标宋简体" w:cs="方正小标宋简体"/>
          <w:color w:val="auto"/>
          <w:sz w:val="36"/>
          <w:szCs w:val="36"/>
        </w:rPr>
        <w:t>部门</w:t>
      </w:r>
    </w:p>
    <w:p w14:paraId="74900615">
      <w:pPr>
        <w:pStyle w:val="2"/>
        <w:keepNext w:val="0"/>
        <w:keepLines w:val="0"/>
        <w:pageBreakBefore w:val="0"/>
        <w:widowControl w:val="0"/>
        <w:kinsoku/>
        <w:wordWrap/>
        <w:overflowPunct/>
        <w:topLinePunct w:val="0"/>
        <w:autoSpaceDE w:val="0"/>
        <w:autoSpaceDN w:val="0"/>
        <w:bidi w:val="0"/>
        <w:adjustRightInd/>
        <w:snapToGrid/>
        <w:spacing w:before="0" w:line="214" w:lineRule="auto"/>
        <w:ind w:left="0" w:right="0" w:firstLine="0"/>
        <w:jc w:val="center"/>
        <w:textAlignment w:val="auto"/>
        <w:rPr>
          <w:rFonts w:hint="eastAsia" w:ascii="方正小标宋简体" w:hAnsi="方正小标宋简体" w:eastAsia="方正小标宋简体" w:cs="方正小标宋简体"/>
          <w:color w:val="auto"/>
          <w:sz w:val="36"/>
          <w:szCs w:val="36"/>
        </w:rPr>
      </w:pPr>
      <w:r>
        <w:rPr>
          <w:rFonts w:hint="eastAsia" w:ascii="方正小标宋简体" w:hAnsi="方正小标宋简体" w:eastAsia="方正小标宋简体" w:cs="方正小标宋简体"/>
          <w:color w:val="auto"/>
          <w:sz w:val="36"/>
          <w:szCs w:val="36"/>
        </w:rPr>
        <w:t>整体支出绩效自评报告</w:t>
      </w:r>
    </w:p>
    <w:p w14:paraId="47BD2824">
      <w:pPr>
        <w:pStyle w:val="5"/>
        <w:spacing w:before="5"/>
        <w:rPr>
          <w:rFonts w:hint="eastAsia" w:ascii="仿宋" w:hAnsi="仿宋" w:eastAsia="仿宋" w:cs="仿宋"/>
          <w:color w:val="auto"/>
          <w:sz w:val="51"/>
        </w:rPr>
      </w:pPr>
    </w:p>
    <w:p w14:paraId="7AE81AD8">
      <w:pPr>
        <w:pStyle w:val="5"/>
        <w:keepNext w:val="0"/>
        <w:keepLines w:val="0"/>
        <w:pageBreakBefore w:val="0"/>
        <w:widowControl w:val="0"/>
        <w:numPr>
          <w:ilvl w:val="0"/>
          <w:numId w:val="1"/>
        </w:numPr>
        <w:kinsoku/>
        <w:wordWrap/>
        <w:overflowPunct/>
        <w:topLinePunct w:val="0"/>
        <w:autoSpaceDE w:val="0"/>
        <w:autoSpaceDN w:val="0"/>
        <w:bidi w:val="0"/>
        <w:adjustRightInd/>
        <w:snapToGrid/>
        <w:spacing w:before="0" w:line="600" w:lineRule="exact"/>
        <w:ind w:left="0" w:right="0"/>
        <w:jc w:val="both"/>
        <w:textAlignment w:val="auto"/>
        <w:rPr>
          <w:rFonts w:hint="eastAsia" w:ascii="黑体" w:hAnsi="黑体" w:eastAsia="黑体" w:cs="黑体"/>
          <w:color w:val="auto"/>
          <w:sz w:val="30"/>
          <w:szCs w:val="30"/>
        </w:rPr>
      </w:pPr>
      <w:r>
        <w:rPr>
          <w:rFonts w:hint="eastAsia" w:ascii="黑体" w:hAnsi="黑体" w:eastAsia="黑体" w:cs="黑体"/>
          <w:color w:val="auto"/>
          <w:sz w:val="30"/>
          <w:szCs w:val="30"/>
        </w:rPr>
        <w:t>部门基本情况</w:t>
      </w:r>
    </w:p>
    <w:p w14:paraId="7B4B8355">
      <w:pPr>
        <w:keepNext w:val="0"/>
        <w:keepLines w:val="0"/>
        <w:pageBreakBefore w:val="0"/>
        <w:numPr>
          <w:ilvl w:val="0"/>
          <w:numId w:val="2"/>
        </w:numPr>
        <w:kinsoku/>
        <w:wordWrap/>
        <w:overflowPunct/>
        <w:topLinePunct w:val="0"/>
        <w:autoSpaceDE/>
        <w:autoSpaceDN/>
        <w:bidi w:val="0"/>
        <w:adjustRightInd w:val="0"/>
        <w:snapToGrid w:val="0"/>
        <w:spacing w:line="500" w:lineRule="exact"/>
        <w:ind w:firstLine="602" w:firstLineChars="200"/>
        <w:textAlignment w:val="auto"/>
        <w:rPr>
          <w:rFonts w:hint="eastAsia" w:ascii="仿宋" w:hAnsi="仿宋" w:eastAsia="仿宋" w:cs="仿宋"/>
          <w:b/>
          <w:sz w:val="30"/>
          <w:szCs w:val="30"/>
        </w:rPr>
      </w:pPr>
      <w:r>
        <w:rPr>
          <w:rFonts w:hint="eastAsia" w:ascii="仿宋" w:hAnsi="仿宋" w:eastAsia="仿宋" w:cs="仿宋"/>
          <w:b/>
          <w:sz w:val="30"/>
          <w:szCs w:val="30"/>
        </w:rPr>
        <w:t>职能职责</w:t>
      </w:r>
    </w:p>
    <w:p w14:paraId="599014CE">
      <w:pPr>
        <w:keepNext w:val="0"/>
        <w:keepLines w:val="0"/>
        <w:pageBreakBefore w:val="0"/>
        <w:numPr>
          <w:ilvl w:val="0"/>
          <w:numId w:val="3"/>
        </w:numPr>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主管全县审计工作。</w:t>
      </w:r>
    </w:p>
    <w:p w14:paraId="78239040">
      <w:pPr>
        <w:keepNext w:val="0"/>
        <w:keepLines w:val="0"/>
        <w:pageBreakBefore w:val="0"/>
        <w:numPr>
          <w:numId w:val="0"/>
        </w:numPr>
        <w:kinsoku/>
        <w:wordWrap/>
        <w:overflowPunct/>
        <w:topLinePunct w:val="0"/>
        <w:autoSpaceDE/>
        <w:autoSpaceDN/>
        <w:bidi w:val="0"/>
        <w:adjustRightInd w:val="0"/>
        <w:snapToGrid w:val="0"/>
        <w:spacing w:line="500" w:lineRule="exact"/>
        <w:ind w:right="0" w:rightChars="0"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负责对全县财政收支和法律法 规规定属于审计监督范围的财务收支的真实、合法和效益进行 审计监督，对公共资金、国有资产、国有资源和领导干部履行 经济责任情况实行审计全覆盖，对领导干部实行自然资源资产 离任审计，对中央、省委省政府、市委市政府、县委县政府有 关重大政策措施贯彻落实情况进行跟踪审计。对审计、专项审计调查和核查社会审计机构相关审计报告的结果承担责任，并负有督促被审计单位整改的责任。 </w:t>
      </w:r>
    </w:p>
    <w:p w14:paraId="7EB01B30">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（二）贯彻执行国家、省、市关于审计工作的方针、政策 和法律法规，拟订全县审计工作政策，参与起草审计、财政经 济有关规范性文件，制定审计业务规章制度，并监督执行；制定并组织实施全县审计工作发展规划和专业领城审计工作规划及年度审计计划；对直接审计、调查和核查的事项依法进行审计评价，做出审计决定或提出审计建议。 </w:t>
      </w:r>
    </w:p>
    <w:p w14:paraId="70A474D4">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三）向县委审计委员会提出年度县本级预算执行和其他财政收支的审计报告。向县人民政府县长提出年度县本级预算执行和其他财政收支情况的审计结果报告；受县人民政府委托向县人大常委会提出县本级预算执行情况和其他财政收支情况的审计工作报告、审计发现问题的纠正和处理结果报告。向县委、县政府报告对其他事项的审计和专项审计调查情况及结果。向县委和县政府有关部门、乡镇党委和政府通报审计情况和审计结果。 </w:t>
      </w:r>
    </w:p>
    <w:p w14:paraId="279C3A6A">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四）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的建议。 </w:t>
      </w:r>
    </w:p>
    <w:p w14:paraId="2A2DC388">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（五）直接审计下列事项，出具审计报告，在法定职权范围内做出审计决定或向有关主管机关提出处理处罚的建议： </w:t>
      </w:r>
    </w:p>
    <w:p w14:paraId="7B7FFF19">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1.县本级财政预算执行情况和其他财政收支； </w:t>
      </w:r>
    </w:p>
    <w:p w14:paraId="785D7E8E">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2.乡镇人民政府财政决算和其他财政收支；</w:t>
      </w:r>
    </w:p>
    <w:p w14:paraId="343BDA56">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3.县直各部门、事业单位及其下属单位预算执行情况、决算和其他财政收支； </w:t>
      </w:r>
    </w:p>
    <w:p w14:paraId="36A150AA">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4.县属国有企业和融资平台、县属国有资本占控股或主导地位的企业和金融机构的资产、负债和损益情况； </w:t>
      </w:r>
    </w:p>
    <w:p w14:paraId="1014A285">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5.县人民政府部门管理的和其他单位受县人民政府委托管理的社会保障基金、社会捐赠资金以及其他有关基金、资金的财务收支； </w:t>
      </w:r>
    </w:p>
    <w:p w14:paraId="209F2A5E">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6.县人民政府接收的国际组织和外国政府援助、贷款项目以及赠款项目的财务收支； </w:t>
      </w:r>
    </w:p>
    <w:p w14:paraId="4EF56C32">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7.法律、法规规定应由县审计局审计的其他事项。 </w:t>
      </w:r>
    </w:p>
    <w:p w14:paraId="48635F3F">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（六）按规定对县管党政领导干部及依法属于县审计局监督对象的其他单位主要负责人实施经济责任审计和自然资源资产离任审计；指导全县经济责任审计工作和自然资源资产离任审计。 </w:t>
      </w:r>
    </w:p>
    <w:p w14:paraId="0F4FB37F">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七）负责城市建设、管理及公用企、事业单位的财务收支的审计监督，负责与建设项目有关的勘察、设计、施工、监理等财务收支的审计监督；组织建设项目专项审计或审计调查，指导全县固定资产投资审计业务。 </w:t>
      </w:r>
    </w:p>
    <w:p w14:paraId="0C68903D">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（八）组织实施对国家财经法律、法规、规章、政策和宏观调控措施执行情况、财政预算管理或国有资产管理使用等与国家财政收支有关的特定事项进行专项审计调查。 </w:t>
      </w:r>
    </w:p>
    <w:p w14:paraId="7B1E5613">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（九）负责上级审计机关授权的审计项目和专项审计调查项目以及国家重大政策措施和宏观调控部署落实情况的跟踪审计项目的组织实施。 </w:t>
      </w:r>
    </w:p>
    <w:p w14:paraId="6CA06D74">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（十）依法检查审计决定执行情况，督促纠正和处理审计发现的问题，依法办理被审计单位对审计决定提请行政复议、行政诉讼或县人民政府裁决中的有关事项；协助配合有关部门查处相关重大案件。 </w:t>
      </w:r>
    </w:p>
    <w:p w14:paraId="28103FE7">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（十一）指导和监督内部审计和社会审计机构工作，对依法属于审计监督对象的单位的内部审计业务进行指导和监督，对依法属于审计机关审计监督对象的社会审计机构出具的审计报告进行检查。 </w:t>
      </w:r>
    </w:p>
    <w:p w14:paraId="2F557C4E">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（十二）组织审计我县驻外机构的财务收支，依法通过适当方式组织审计县属企业和金融机构的境外资产、负债和损益。 </w:t>
      </w:r>
    </w:p>
    <w:p w14:paraId="5A2339A4">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十三）指导和推广信息技术在全县审计系统的应用，负责审计信息化建设，管理和维护工作；组织审计我县政府和国有企业电子政务工程和信息化项目以及信息系统；组织开展全县审计系统电子数据审计培训和考试工作。 </w:t>
      </w:r>
    </w:p>
    <w:p w14:paraId="7F220396">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（十四）完成市县交办的其他任务。 </w:t>
      </w:r>
    </w:p>
    <w:p w14:paraId="28B5B963">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b/>
          <w:sz w:val="30"/>
          <w:szCs w:val="30"/>
        </w:rPr>
      </w:pPr>
      <w:r>
        <w:rPr>
          <w:rFonts w:hint="eastAsia" w:ascii="仿宋" w:hAnsi="仿宋" w:eastAsia="仿宋" w:cs="仿宋"/>
          <w:color w:val="auto"/>
          <w:sz w:val="28"/>
          <w:szCs w:val="28"/>
          <w:lang w:val="en-US" w:eastAsia="zh-CN"/>
        </w:rPr>
        <w:t>(十五)职能转变。进一步完善审计管理体制，加强全县审计工作统筹，明晰职能定位，理顺内部职责关系，优化审计资源配置，充实加强一线审计力量，构建集中统一、全面覆盖、权威高效的审计监督体系。优化审计工作机制，坚持科技强审，完善业务流程，改进工作方式，加强与相关部门的沟通协调，充分调动内部审计和社会审计力量，增强监督合力。</w:t>
      </w:r>
    </w:p>
    <w:p w14:paraId="11A99C26">
      <w:pPr>
        <w:keepNext w:val="0"/>
        <w:keepLines w:val="0"/>
        <w:pageBreakBefore w:val="0"/>
        <w:kinsoku/>
        <w:wordWrap/>
        <w:overflowPunct/>
        <w:topLinePunct w:val="0"/>
        <w:autoSpaceDE/>
        <w:autoSpaceDN/>
        <w:bidi w:val="0"/>
        <w:adjustRightInd w:val="0"/>
        <w:snapToGrid w:val="0"/>
        <w:spacing w:line="500" w:lineRule="exact"/>
        <w:ind w:firstLine="602" w:firstLineChars="200"/>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rPr>
        <w:t>2、</w:t>
      </w:r>
      <w:r>
        <w:rPr>
          <w:rFonts w:hint="eastAsia" w:ascii="仿宋" w:hAnsi="仿宋" w:eastAsia="仿宋" w:cs="仿宋"/>
          <w:b/>
          <w:color w:val="auto"/>
          <w:sz w:val="30"/>
          <w:szCs w:val="30"/>
          <w:lang w:val="en-US" w:eastAsia="zh-CN"/>
        </w:rPr>
        <w:t>编制</w:t>
      </w:r>
      <w:r>
        <w:rPr>
          <w:rFonts w:hint="eastAsia" w:ascii="仿宋" w:hAnsi="仿宋" w:eastAsia="仿宋" w:cs="仿宋"/>
          <w:b/>
          <w:color w:val="auto"/>
          <w:sz w:val="30"/>
          <w:szCs w:val="30"/>
        </w:rPr>
        <w:t>设置</w:t>
      </w:r>
    </w:p>
    <w:p w14:paraId="50254CDB">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县审计局设 13 个内设机构：办公室(审计委员会办公室秘书组)。组织人事股、法规审理股、电子数据审计股、审计执行股（财政监督检查股）、经济责任审计股、固定资产投资审计股、审计一股、审计二股、审计三股、审计四股、审计五股、审计六股</w:t>
      </w:r>
    </w:p>
    <w:p w14:paraId="0F4C361D">
      <w:pPr>
        <w:keepNext w:val="0"/>
        <w:keepLines w:val="0"/>
        <w:pageBreakBefore w:val="0"/>
        <w:numPr>
          <w:ilvl w:val="0"/>
          <w:numId w:val="4"/>
        </w:numPr>
        <w:kinsoku/>
        <w:wordWrap/>
        <w:overflowPunct/>
        <w:topLinePunct w:val="0"/>
        <w:autoSpaceDE/>
        <w:autoSpaceDN/>
        <w:bidi w:val="0"/>
        <w:adjustRightInd w:val="0"/>
        <w:snapToGrid w:val="0"/>
        <w:spacing w:line="500" w:lineRule="exact"/>
        <w:ind w:firstLine="602" w:firstLineChars="200"/>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rPr>
        <w:t>人员情况</w:t>
      </w:r>
    </w:p>
    <w:p w14:paraId="72ABBF17">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eastAsia="zh-CN"/>
        </w:rPr>
        <w:t>衡南县审计局</w:t>
      </w:r>
      <w:r>
        <w:rPr>
          <w:rFonts w:hint="eastAsia" w:ascii="仿宋" w:hAnsi="仿宋" w:eastAsia="仿宋" w:cs="仿宋"/>
          <w:color w:val="auto"/>
          <w:sz w:val="28"/>
          <w:szCs w:val="28"/>
        </w:rPr>
        <w:t>是正科级全额拨款单位，共有编制45名，实有人数</w:t>
      </w:r>
      <w:r>
        <w:rPr>
          <w:rFonts w:hint="eastAsia" w:ascii="仿宋" w:hAnsi="仿宋" w:eastAsia="仿宋" w:cs="仿宋"/>
          <w:color w:val="auto"/>
          <w:sz w:val="28"/>
          <w:szCs w:val="28"/>
          <w:lang w:val="en-US" w:eastAsia="zh-CN"/>
        </w:rPr>
        <w:t>45</w:t>
      </w:r>
      <w:r>
        <w:rPr>
          <w:rFonts w:hint="eastAsia" w:ascii="仿宋" w:hAnsi="仿宋" w:eastAsia="仿宋" w:cs="仿宋"/>
          <w:color w:val="auto"/>
          <w:sz w:val="28"/>
          <w:szCs w:val="28"/>
        </w:rPr>
        <w:t>人。</w:t>
      </w:r>
    </w:p>
    <w:p w14:paraId="2B6194BB">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602" w:firstLineChars="200"/>
        <w:textAlignment w:val="auto"/>
        <w:rPr>
          <w:rFonts w:hint="eastAsia" w:ascii="仿宋" w:hAnsi="仿宋" w:eastAsia="仿宋" w:cs="仿宋"/>
          <w:b/>
          <w:bCs/>
          <w:color w:val="auto"/>
          <w:sz w:val="30"/>
          <w:szCs w:val="30"/>
          <w:shd w:val="clear" w:color="auto" w:fill="FFFFFF"/>
          <w:lang w:val="en-US" w:eastAsia="zh-CN"/>
        </w:rPr>
      </w:pPr>
      <w:r>
        <w:rPr>
          <w:rFonts w:hint="eastAsia" w:ascii="仿宋" w:hAnsi="仿宋" w:eastAsia="仿宋" w:cs="仿宋"/>
          <w:b/>
          <w:bCs/>
          <w:color w:val="auto"/>
          <w:sz w:val="30"/>
          <w:szCs w:val="30"/>
          <w:shd w:val="clear" w:color="auto" w:fill="FFFFFF"/>
          <w:lang w:val="en-US" w:eastAsia="zh-CN"/>
        </w:rPr>
        <w:t>4、2023年单位工作任务完成情况</w:t>
      </w:r>
    </w:p>
    <w:p w14:paraId="37482CE7">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一、主要做法及成效</w:t>
      </w:r>
    </w:p>
    <w:p w14:paraId="159E1482">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一）坚持党的领导。集中传达学习习近平总书记重要讲话、中央、省委、市委审计委员会会议以及全国、全省、全市有关审计工作会议精神。强化审计机关首先是政治机关意识，严格落实审计委员会办公室请示报告制度。加强党组对意识形态工作的领导，扎实开展"学习强国"平台学习应用工作，坚持党员"三会一课"学习教育常态化，组织干部职工赴"归园"等红色基地参观学习4次，组织"屋场+乡村振兴""屋场+审计"等审计恳谈会4次。加强纪律建设、惩防体系建设及廉洁风险防控，压实廉政建设主体责任和监督责任。落实谈心谈话全覆盖。严格落实"三重一大"事项集体决策和"一把手末位表态"制度。突出廉政建设和作风建设两个重点，深入贯彻落实县委《关于锲而不舍落实中央八项规定精神深化纠治"四风"工作的实施办法》，组织警示教育2次。对办公用房进行动态调整清理。</w:t>
      </w:r>
    </w:p>
    <w:p w14:paraId="3F39AD16">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二）积极筹备会议。今年5月，筹备并提请召开十三届县委审计委员会第二次会议，审议并通过《关于调整县委审计委员会组成人员任职的通知》《中共衡南县委审计委员会2022年工作总结和2023年工作要点》《中共衡南县委审计委员会成员单位工作协调推进机制》《衡南县审计工作重大事项督察督办制度》《2023年度衡南县统一组织审计项目计划》等制度文件。根据中央、省委、市委审计委员会会议和全国、全省、全市审计工作会议精神，突出审计重点，落实审计全覆盖要求，结合我局力量实际，统筹安排实施本级计划内审计项目任务43个，其中上年度结转项目13个，当年度审计项目30个：财政预算执行审计项目3个、财政财务收支审计7个、领导干部经济责任审计项目3个、自然资源资产审计项目1个、国有企业审计项目1个、专项审计调查项目7个、政府投资审计项目8个。</w:t>
      </w:r>
    </w:p>
    <w:p w14:paraId="4CF44D3F">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三）精心组织实施。根据上级审计机关的安排和县委审计委员会审定的年度审计项目计划，扎实组织开展项目实施。一是已完成审计项目44个。按照省市审计机关的统一部署，完成县法院和县检察院财物统管改革情况的审计调查、衡南产业开发区2020年1月至2022年12月园区发展状况专项审计调查、县域经济发展情况况专项审计调查等4个项目；出具县本级财政2022年度预算执行审计、县教育局和县科工信局2022年度部门预算执行和其他财政财务收支情况审计、县交警队经济责任审计、县妇幼保健计划生育服务中心财务收支审计、泉溪镇人民政府2020年1月至2021年12月财政收支情况审计、衡南县星火实验小学（原五技校校区）提质改造工程决算审计、衡南县三塘联合学校雁西小学改扩建工程等40个项目的审计报告。二是正开展现场审计项目3个。铁丝塘镇书记、镇长经济责任审计及自然资源资产任中审计、花桥镇书记经济责任审计等3个项目正在开展现场审计。三是完成县委县政府安排的计划外审计项目4个。扎实开展衡阳汇源建材市场管理公司资产负债及损益审计调查、娄底至衡阳高速公路建设协调指挥部2019年1月至2023年11月财务收支情况专项审计调查等审计项目4个。</w:t>
      </w:r>
    </w:p>
    <w:p w14:paraId="32495F04">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四）强化整改成果。一是指导上级项目，协助并指导各主管部门落实省、市各项督办的审计整改工作，及时与上级审计机关沟通衔接并汇报进度，多次陪同政府主要领导及相关单位到省厅市局相关处（科）室与对接联系审计整改相关工作，成效明显。二是督促本级项目，对本级36个项目259个问题，通过3轮督促整改，已整改问题223个，整改率为86.10%，其中，县退役军人事务局、县委党校等25个单位完成全部问题整改销号。三是加强成果提炼，撰写的2篇新闻信息《整合专业人才资源、增强审计监督力量，衡南县聘任20名兼职审计员》和《衡南县审计局强化审计成果运用突出审计整改成效》分别在《湖南日报》和省审计厅网站发表。向县委审计委员会报送审计要情(专报)5篇，督促开展公职人员拖欠公款专项治理和惠农惠民资金专项检查等全县性专项治理工作2项，督促相关部门制相关管理制度5项，强化了审计成果运用能力，提升了审计整改的治理效能。</w:t>
      </w:r>
    </w:p>
    <w:p w14:paraId="535D7E14">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五）推进内部审计。5至7月，会同县政府办对全县12家重点单位内部审计工作开展情况进行专题调研，考察学习省内兄弟县市内部审计工作经验，组织相关单位内审人员参加内部审计业务培训。推动和指导县农业农村局、县卫健局等10个单位开展内部审计工作。</w:t>
      </w:r>
    </w:p>
    <w:p w14:paraId="7431E24B">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六）促进人才培养。落实兼职审计员制度，安排12名兼职审计员参与各类审计项目。通过人才引进方式录用3名审计专业优秀大学毕业生，补充了后备力量。择优选派年轻干部到重点任务一线锻炼，到更高平台加强培训，选派人员参与省市审计机关实施项目、巡视巡察、纪检监察等工作20人次，其中2人分别被省委巡视办和省审计厅通报表彰。</w:t>
      </w:r>
    </w:p>
    <w:p w14:paraId="01680A64">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在全体干部职工的共同努力下，2023年各项工作取得较好的成绩。其中：2021年度县本级预算执行及其他财政收支情况审计项目荣获全市优秀项目一等奖和全省优秀项目一等奖、县卫生健康局2020年至2021年度财政收支审计项目获全市优秀项目三等奖、参与由省审计厅组织实施的2022年园区发展状况专项审计调查项目获全国审计机关优秀审计项目一等奖；再次获评全省审计通联宣传工作先进单位，1名同志获评全省审计通联宣传工作先进个人；再次获评全县平安创建先进单位和全县绩效考核优秀单位；局领导班子获评全县优秀领导班子；机关支部获评全县五星级支部。</w:t>
      </w:r>
    </w:p>
    <w:p w14:paraId="22E56DE0">
      <w:pPr>
        <w:rPr>
          <w:rFonts w:hint="eastAsia"/>
        </w:rPr>
      </w:pPr>
    </w:p>
    <w:p w14:paraId="50983D42">
      <w:pPr>
        <w:pStyle w:val="5"/>
        <w:keepNext w:val="0"/>
        <w:keepLines w:val="0"/>
        <w:pageBreakBefore w:val="0"/>
        <w:widowControl w:val="0"/>
        <w:numPr>
          <w:ilvl w:val="0"/>
          <w:numId w:val="1"/>
        </w:numPr>
        <w:kinsoku/>
        <w:wordWrap/>
        <w:overflowPunct/>
        <w:topLinePunct w:val="0"/>
        <w:autoSpaceDE w:val="0"/>
        <w:autoSpaceDN w:val="0"/>
        <w:bidi w:val="0"/>
        <w:adjustRightInd/>
        <w:snapToGrid/>
        <w:spacing w:before="0" w:line="600" w:lineRule="exact"/>
        <w:ind w:left="0" w:leftChars="0" w:right="0" w:firstLine="0" w:firstLineChars="0"/>
        <w:jc w:val="both"/>
        <w:textAlignment w:val="auto"/>
        <w:rPr>
          <w:rFonts w:hint="eastAsia" w:ascii="黑体" w:hAnsi="黑体" w:eastAsia="黑体" w:cs="黑体"/>
          <w:color w:val="auto"/>
          <w:sz w:val="30"/>
          <w:szCs w:val="30"/>
        </w:rPr>
      </w:pPr>
      <w:r>
        <w:rPr>
          <w:rFonts w:hint="eastAsia" w:ascii="黑体" w:hAnsi="黑体" w:eastAsia="黑体" w:cs="黑体"/>
          <w:color w:val="auto"/>
          <w:sz w:val="30"/>
          <w:szCs w:val="30"/>
        </w:rPr>
        <w:t>一般公共预算支出情况</w:t>
      </w:r>
    </w:p>
    <w:p w14:paraId="0A9AFE77">
      <w:pPr>
        <w:pStyle w:val="15"/>
        <w:widowControl/>
        <w:numPr>
          <w:numId w:val="0"/>
        </w:numPr>
        <w:spacing w:line="600" w:lineRule="exact"/>
        <w:ind w:leftChars="300" w:right="0" w:rightChars="0"/>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（一）</w:t>
      </w:r>
      <w:r>
        <w:rPr>
          <w:rFonts w:hint="default" w:ascii="Times New Roman" w:hAnsi="Times New Roman" w:eastAsia="黑体" w:cs="Times New Roman"/>
          <w:sz w:val="32"/>
          <w:szCs w:val="32"/>
          <w:lang w:eastAsia="zh-CN"/>
        </w:rPr>
        <w:t>经批复的预、决算情况</w:t>
      </w:r>
    </w:p>
    <w:p w14:paraId="0A0C82F5">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预算情况：2023年度年初部门预算收入为817.36万元，其中公共财政预算拨款817.36万元，政府性基金收入0万元，其他收入0万元，上年结转资金0万元。预算支出817.36万元，其中：基本支出655.36万元，项目支出162万元。</w:t>
      </w:r>
    </w:p>
    <w:p w14:paraId="5C0E1B4D">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2、预算调整：年终调减基本支出138.26万元；调增项目预算467.45万元。</w:t>
      </w:r>
    </w:p>
    <w:p w14:paraId="702131DA">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default" w:ascii="仿宋" w:hAnsi="仿宋" w:eastAsia="仿宋" w:cs="仿宋"/>
          <w:color w:val="auto"/>
          <w:sz w:val="28"/>
          <w:szCs w:val="28"/>
          <w:lang w:val="zh-CN" w:eastAsia="zh-CN"/>
        </w:rPr>
      </w:pPr>
      <w:r>
        <w:rPr>
          <w:rFonts w:hint="eastAsia" w:ascii="仿宋" w:hAnsi="仿宋" w:eastAsia="仿宋" w:cs="仿宋"/>
          <w:color w:val="auto"/>
          <w:sz w:val="28"/>
          <w:szCs w:val="28"/>
          <w:lang w:val="en-US" w:eastAsia="zh-CN"/>
        </w:rPr>
        <w:t>3、决算情况：2023年总收入1146.55万元，其中：一般财政拨款收入1102万元，政府性基金收入0万元，其他收入44.57万元。总支出1146.55万元，其中：基本支出517.1万元，项目支出629.45</w:t>
      </w:r>
      <w:bookmarkStart w:id="0" w:name="_GoBack"/>
      <w:bookmarkEnd w:id="0"/>
      <w:r>
        <w:rPr>
          <w:rFonts w:hint="eastAsia" w:ascii="仿宋" w:hAnsi="仿宋" w:eastAsia="仿宋" w:cs="仿宋"/>
          <w:color w:val="auto"/>
          <w:sz w:val="28"/>
          <w:szCs w:val="28"/>
          <w:lang w:val="en-US" w:eastAsia="zh-CN"/>
        </w:rPr>
        <w:t>万元。年底总结余0万元。</w:t>
      </w:r>
    </w:p>
    <w:p w14:paraId="4D66C7ED">
      <w:pPr>
        <w:pStyle w:val="15"/>
        <w:widowControl/>
        <w:numPr>
          <w:numId w:val="0"/>
        </w:numPr>
        <w:spacing w:line="600" w:lineRule="exact"/>
        <w:ind w:leftChars="300" w:right="0" w:rightChars="0"/>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（二）</w:t>
      </w:r>
      <w:r>
        <w:rPr>
          <w:rFonts w:hint="default" w:ascii="Times New Roman" w:hAnsi="Times New Roman" w:eastAsia="黑体" w:cs="Times New Roman"/>
          <w:sz w:val="32"/>
          <w:szCs w:val="32"/>
          <w:lang w:eastAsia="zh-CN"/>
        </w:rPr>
        <w:t>部门预算执行情况</w:t>
      </w:r>
      <w:r>
        <w:rPr>
          <w:rFonts w:hint="eastAsia" w:ascii="Times New Roman" w:hAnsi="Times New Roman" w:eastAsia="黑体" w:cs="Times New Roman"/>
          <w:sz w:val="32"/>
          <w:szCs w:val="32"/>
          <w:lang w:eastAsia="zh-CN"/>
        </w:rPr>
        <w:t>。</w:t>
      </w:r>
    </w:p>
    <w:p w14:paraId="0991ED9D">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黑体" w:hAnsi="黑体" w:eastAsia="黑体" w:cs="黑体"/>
          <w:color w:val="auto"/>
          <w:sz w:val="30"/>
          <w:szCs w:val="30"/>
        </w:rPr>
      </w:pPr>
      <w:r>
        <w:rPr>
          <w:rFonts w:hint="eastAsia" w:ascii="仿宋" w:hAnsi="仿宋" w:eastAsia="仿宋" w:cs="仿宋"/>
          <w:color w:val="auto"/>
          <w:sz w:val="28"/>
          <w:szCs w:val="28"/>
          <w:lang w:val="en-US" w:eastAsia="zh-CN"/>
        </w:rPr>
        <w:t>基本支出为保障单位机构正常运转、完成日常工作任务而发生的各项支出，包括用于基本工资、津贴补贴等人员经费以及办公费、印刷费、水电费、工会经费等日常公用经费。</w:t>
      </w:r>
    </w:p>
    <w:p w14:paraId="6CC3B6A4">
      <w:pPr>
        <w:pStyle w:val="5"/>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300" w:firstLineChars="100"/>
        <w:jc w:val="both"/>
        <w:textAlignment w:val="auto"/>
        <w:rPr>
          <w:rFonts w:hint="eastAsia" w:ascii="楷体" w:hAnsi="楷体" w:eastAsia="楷体" w:cs="楷体"/>
          <w:b w:val="0"/>
          <w:bCs w:val="0"/>
          <w:color w:val="auto"/>
          <w:sz w:val="30"/>
          <w:szCs w:val="30"/>
        </w:rPr>
      </w:pPr>
      <w:r>
        <w:rPr>
          <w:rFonts w:hint="eastAsia" w:ascii="楷体" w:hAnsi="楷体" w:eastAsia="楷体" w:cs="楷体"/>
          <w:b w:val="0"/>
          <w:bCs w:val="0"/>
          <w:color w:val="auto"/>
          <w:sz w:val="30"/>
          <w:szCs w:val="30"/>
          <w:lang w:val="en-US" w:eastAsia="zh-CN"/>
        </w:rPr>
        <w:t>1、</w:t>
      </w:r>
      <w:r>
        <w:rPr>
          <w:rFonts w:hint="eastAsia" w:ascii="楷体" w:hAnsi="楷体" w:eastAsia="楷体" w:cs="楷体"/>
          <w:b w:val="0"/>
          <w:bCs w:val="0"/>
          <w:color w:val="auto"/>
          <w:sz w:val="30"/>
          <w:szCs w:val="30"/>
        </w:rPr>
        <w:t>基本支出情况</w:t>
      </w:r>
    </w:p>
    <w:p w14:paraId="136EAE5A">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default" w:ascii="仿宋" w:hAnsi="仿宋" w:eastAsia="仿宋" w:cs="仿宋"/>
          <w:sz w:val="28"/>
          <w:szCs w:val="28"/>
          <w:lang w:val="en-US"/>
        </w:rPr>
      </w:pPr>
      <w:r>
        <w:rPr>
          <w:rFonts w:hint="eastAsia" w:ascii="仿宋" w:hAnsi="仿宋" w:eastAsia="仿宋" w:cs="仿宋"/>
          <w:color w:val="auto"/>
          <w:sz w:val="28"/>
          <w:szCs w:val="28"/>
          <w:lang w:val="en-US" w:eastAsia="zh-CN"/>
        </w:rPr>
        <w:t>2023年财政拨款基本支出为517.1万元，具体情况为：（1）工资福利支出487.34万元：基本工资216.43万元，津贴补贴42.08万元，奖金0.14万元，伙食补助5.45万元，绩效工资82.22万元，保险缴费36.5万元，住房公积金52.75万元，医疗费46.62万元，其他工资福利支出5.15万元。（2）公用经费支出20.48万元：办公费 3.71万元，印刷费3.1万元，水电费1.57万元，邮电费0.2万元，差旅费1万元，会议培训费0.9万元，委托业务费2.85万元，福利费6.1万元，其他商品服务支出1.1万元。（3）对个人和家庭的补助支出3.79万元：退休费0.75万元，抚恤金1万元，生活补助1.04万元，奖励金1万元。</w:t>
      </w:r>
    </w:p>
    <w:p w14:paraId="75AA7F67">
      <w:pPr>
        <w:pStyle w:val="5"/>
        <w:keepNext w:val="0"/>
        <w:keepLines w:val="0"/>
        <w:pageBreakBefore w:val="0"/>
        <w:widowControl w:val="0"/>
        <w:numPr>
          <w:ilvl w:val="0"/>
          <w:numId w:val="5"/>
        </w:numPr>
        <w:kinsoku/>
        <w:wordWrap/>
        <w:overflowPunct/>
        <w:topLinePunct w:val="0"/>
        <w:autoSpaceDE w:val="0"/>
        <w:autoSpaceDN w:val="0"/>
        <w:bidi w:val="0"/>
        <w:adjustRightInd/>
        <w:snapToGrid/>
        <w:spacing w:before="0" w:line="600" w:lineRule="exact"/>
        <w:ind w:left="0" w:right="0" w:firstLine="300" w:firstLineChars="100"/>
        <w:jc w:val="both"/>
        <w:textAlignment w:val="auto"/>
        <w:rPr>
          <w:rFonts w:hint="eastAsia" w:ascii="楷体" w:hAnsi="楷体" w:eastAsia="楷体" w:cs="楷体"/>
          <w:b w:val="0"/>
          <w:bCs w:val="0"/>
          <w:color w:val="auto"/>
          <w:sz w:val="30"/>
          <w:szCs w:val="30"/>
        </w:rPr>
      </w:pPr>
      <w:r>
        <w:rPr>
          <w:rFonts w:hint="eastAsia" w:ascii="楷体" w:hAnsi="楷体" w:eastAsia="楷体" w:cs="楷体"/>
          <w:b w:val="0"/>
          <w:bCs w:val="0"/>
          <w:color w:val="auto"/>
          <w:sz w:val="30"/>
          <w:szCs w:val="30"/>
          <w:lang w:val="en-US" w:eastAsia="zh-CN"/>
        </w:rPr>
        <w:t>项目</w:t>
      </w:r>
      <w:r>
        <w:rPr>
          <w:rFonts w:hint="eastAsia" w:ascii="楷体" w:hAnsi="楷体" w:eastAsia="楷体" w:cs="楷体"/>
          <w:b w:val="0"/>
          <w:bCs w:val="0"/>
          <w:color w:val="auto"/>
          <w:sz w:val="30"/>
          <w:szCs w:val="30"/>
        </w:rPr>
        <w:t>支出情况</w:t>
      </w:r>
    </w:p>
    <w:p w14:paraId="34936A3F">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2023年决算项目支出629.45万元。</w:t>
      </w:r>
    </w:p>
    <w:p w14:paraId="646B617F">
      <w:pPr>
        <w:keepNext w:val="0"/>
        <w:keepLines w:val="0"/>
        <w:pageBreakBefore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其中：（1）重大项目稽查10万元。</w:t>
      </w:r>
    </w:p>
    <w:p w14:paraId="20A09EE1">
      <w:pPr>
        <w:pStyle w:val="4"/>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（2）金审工程3万元。</w:t>
      </w:r>
    </w:p>
    <w:p w14:paraId="2FCE6AAE">
      <w:pPr>
        <w:pStyle w:val="4"/>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（3）经济责任审计9.7万元。</w:t>
      </w:r>
    </w:p>
    <w:p w14:paraId="56F9446C">
      <w:pPr>
        <w:pStyle w:val="4"/>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（4）专项审计调查34.9万元。</w:t>
      </w:r>
    </w:p>
    <w:p w14:paraId="17BA402B">
      <w:pPr>
        <w:pStyle w:val="4"/>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（5）非税返回350万元。</w:t>
      </w:r>
    </w:p>
    <w:p w14:paraId="779ED4BC">
      <w:pPr>
        <w:keepNext w:val="0"/>
        <w:keepLines w:val="0"/>
        <w:pageBreakBefore w:val="0"/>
        <w:kinsoku/>
        <w:wordWrap/>
        <w:overflowPunct/>
        <w:topLinePunct w:val="0"/>
        <w:autoSpaceDE/>
        <w:autoSpaceDN/>
        <w:bidi w:val="0"/>
        <w:spacing w:line="500" w:lineRule="exact"/>
        <w:ind w:firstLine="281" w:firstLineChars="100"/>
        <w:textAlignment w:val="auto"/>
        <w:rPr>
          <w:rFonts w:hint="eastAsia" w:ascii="仿宋" w:hAnsi="仿宋" w:eastAsia="仿宋" w:cs="仿宋"/>
          <w:b/>
          <w:bCs/>
          <w:kern w:val="2"/>
          <w:sz w:val="28"/>
          <w:szCs w:val="28"/>
        </w:rPr>
      </w:pPr>
      <w:r>
        <w:rPr>
          <w:rFonts w:hint="eastAsia" w:ascii="仿宋" w:hAnsi="仿宋" w:eastAsia="仿宋" w:cs="仿宋"/>
          <w:b/>
          <w:bCs/>
          <w:kern w:val="2"/>
          <w:sz w:val="28"/>
          <w:szCs w:val="28"/>
          <w:lang w:val="en-US" w:eastAsia="zh-CN"/>
        </w:rPr>
        <w:t>3、</w:t>
      </w:r>
      <w:r>
        <w:rPr>
          <w:rFonts w:hint="eastAsia" w:ascii="仿宋" w:hAnsi="仿宋" w:eastAsia="仿宋" w:cs="仿宋"/>
          <w:b/>
          <w:bCs/>
          <w:kern w:val="2"/>
          <w:sz w:val="28"/>
          <w:szCs w:val="28"/>
        </w:rPr>
        <w:t>20</w:t>
      </w:r>
      <w:r>
        <w:rPr>
          <w:rFonts w:hint="eastAsia" w:ascii="仿宋" w:hAnsi="仿宋" w:eastAsia="仿宋" w:cs="仿宋"/>
          <w:b/>
          <w:bCs/>
          <w:kern w:val="2"/>
          <w:sz w:val="28"/>
          <w:szCs w:val="28"/>
          <w:lang w:val="en-US" w:eastAsia="zh-CN"/>
        </w:rPr>
        <w:t>23</w:t>
      </w:r>
      <w:r>
        <w:rPr>
          <w:rFonts w:hint="eastAsia" w:ascii="仿宋" w:hAnsi="仿宋" w:eastAsia="仿宋" w:cs="仿宋"/>
          <w:b/>
          <w:bCs/>
          <w:kern w:val="2"/>
          <w:sz w:val="28"/>
          <w:szCs w:val="28"/>
        </w:rPr>
        <w:t xml:space="preserve">年度“三公”经费支出分类情况 </w:t>
      </w:r>
    </w:p>
    <w:p w14:paraId="43C9C79E">
      <w:pPr>
        <w:pStyle w:val="4"/>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2023年初批复预算的“三公”经费为3万元，其中公务用车运行维护费0万元，公务接待3万元，因公出国费用0万元</w:t>
      </w:r>
    </w:p>
    <w:p w14:paraId="0F0D3363">
      <w:pPr>
        <w:pStyle w:val="4"/>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全年决算支出“三公”经费为0万元，其中公务用车运行维护费0万元，公务接待0万元，因公出国费用0万元。</w:t>
      </w:r>
    </w:p>
    <w:p w14:paraId="567FF8FE">
      <w:pPr>
        <w:pStyle w:val="4"/>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三公经费对比上年度保持一致。</w:t>
      </w:r>
    </w:p>
    <w:p w14:paraId="650C446A">
      <w:pPr>
        <w:pStyle w:val="5"/>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eastAsia" w:ascii="黑体" w:hAnsi="黑体" w:eastAsia="黑体" w:cs="黑体"/>
          <w:color w:val="auto"/>
          <w:sz w:val="30"/>
          <w:szCs w:val="30"/>
        </w:rPr>
      </w:pPr>
      <w:r>
        <w:rPr>
          <w:rFonts w:hint="eastAsia" w:ascii="黑体" w:hAnsi="黑体" w:eastAsia="黑体" w:cs="黑体"/>
          <w:color w:val="auto"/>
          <w:sz w:val="30"/>
          <w:szCs w:val="30"/>
        </w:rPr>
        <w:t>三、政府性基金预算支出情况</w:t>
      </w:r>
    </w:p>
    <w:p w14:paraId="688ED4A3">
      <w:pPr>
        <w:pStyle w:val="4"/>
        <w:ind w:left="0" w:leftChars="0" w:firstLine="0" w:firstLineChars="0"/>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无</w:t>
      </w:r>
    </w:p>
    <w:p w14:paraId="63347D34">
      <w:pPr>
        <w:pStyle w:val="5"/>
        <w:keepNext w:val="0"/>
        <w:keepLines w:val="0"/>
        <w:pageBreakBefore w:val="0"/>
        <w:widowControl w:val="0"/>
        <w:numPr>
          <w:ilvl w:val="0"/>
          <w:numId w:val="6"/>
        </w:numPr>
        <w:kinsoku/>
        <w:wordWrap/>
        <w:overflowPunct/>
        <w:topLinePunct w:val="0"/>
        <w:autoSpaceDE w:val="0"/>
        <w:autoSpaceDN w:val="0"/>
        <w:bidi w:val="0"/>
        <w:adjustRightInd/>
        <w:snapToGrid/>
        <w:spacing w:before="0" w:line="600" w:lineRule="exact"/>
        <w:ind w:left="0" w:right="0"/>
        <w:jc w:val="both"/>
        <w:textAlignment w:val="auto"/>
        <w:rPr>
          <w:rFonts w:hint="eastAsia" w:ascii="黑体" w:hAnsi="黑体" w:eastAsia="黑体" w:cs="黑体"/>
          <w:color w:val="auto"/>
          <w:sz w:val="30"/>
          <w:szCs w:val="30"/>
        </w:rPr>
      </w:pPr>
      <w:r>
        <w:rPr>
          <w:rFonts w:hint="eastAsia" w:ascii="黑体" w:hAnsi="黑体" w:eastAsia="黑体" w:cs="黑体"/>
          <w:color w:val="auto"/>
          <w:sz w:val="30"/>
          <w:szCs w:val="30"/>
        </w:rPr>
        <w:t>国有资本经营预算支出情况</w:t>
      </w:r>
    </w:p>
    <w:p w14:paraId="49536D3B">
      <w:pPr>
        <w:pStyle w:val="4"/>
        <w:ind w:left="0" w:leftChars="0" w:firstLine="0" w:firstLineChars="0"/>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无</w:t>
      </w:r>
    </w:p>
    <w:p w14:paraId="2260479F">
      <w:pPr>
        <w:pStyle w:val="5"/>
        <w:keepNext w:val="0"/>
        <w:keepLines w:val="0"/>
        <w:pageBreakBefore w:val="0"/>
        <w:widowControl w:val="0"/>
        <w:numPr>
          <w:ilvl w:val="0"/>
          <w:numId w:val="6"/>
        </w:numPr>
        <w:kinsoku/>
        <w:wordWrap/>
        <w:overflowPunct/>
        <w:topLinePunct w:val="0"/>
        <w:autoSpaceDE w:val="0"/>
        <w:autoSpaceDN w:val="0"/>
        <w:bidi w:val="0"/>
        <w:adjustRightInd/>
        <w:snapToGrid/>
        <w:spacing w:before="0" w:line="600" w:lineRule="exact"/>
        <w:ind w:left="0" w:leftChars="0" w:right="0" w:firstLine="0" w:firstLineChars="0"/>
        <w:jc w:val="both"/>
        <w:textAlignment w:val="auto"/>
        <w:rPr>
          <w:rFonts w:hint="eastAsia" w:ascii="黑体" w:hAnsi="黑体" w:eastAsia="黑体" w:cs="黑体"/>
          <w:color w:val="auto"/>
          <w:sz w:val="30"/>
          <w:szCs w:val="30"/>
        </w:rPr>
      </w:pPr>
      <w:r>
        <w:rPr>
          <w:rFonts w:hint="eastAsia" w:ascii="黑体" w:hAnsi="黑体" w:eastAsia="黑体" w:cs="黑体"/>
          <w:color w:val="auto"/>
          <w:sz w:val="30"/>
          <w:szCs w:val="30"/>
        </w:rPr>
        <w:t>社会保险基金预算支出情况</w:t>
      </w:r>
    </w:p>
    <w:p w14:paraId="40E348E5">
      <w:pPr>
        <w:pStyle w:val="4"/>
        <w:ind w:left="0" w:leftChars="0" w:firstLine="0" w:firstLineChars="0"/>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无</w:t>
      </w:r>
    </w:p>
    <w:p w14:paraId="4DAF7BFC">
      <w:pPr>
        <w:pStyle w:val="5"/>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eastAsia" w:ascii="黑体" w:hAnsi="黑体" w:eastAsia="黑体" w:cs="黑体"/>
          <w:color w:val="auto"/>
          <w:sz w:val="30"/>
          <w:szCs w:val="30"/>
        </w:rPr>
      </w:pPr>
      <w:r>
        <w:rPr>
          <w:rFonts w:hint="eastAsia" w:ascii="黑体" w:hAnsi="黑体" w:eastAsia="黑体" w:cs="黑体"/>
          <w:color w:val="auto"/>
          <w:sz w:val="30"/>
          <w:szCs w:val="30"/>
        </w:rPr>
        <w:t>六、部门整体支出绩效情况</w:t>
      </w:r>
    </w:p>
    <w:p w14:paraId="58ABC18E">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color w:val="auto"/>
          <w:sz w:val="28"/>
          <w:szCs w:val="28"/>
          <w:lang w:val="en-US" w:eastAsia="zh-CN" w:bidi="ar-SA"/>
        </w:rPr>
        <w:t>本单位按照规定完全履行职责，整体评价优秀，服务对象满意。衡南县审计局2023年度部门整体支出1146.55万元，整体支出绩效目标完成率100%。</w:t>
      </w:r>
    </w:p>
    <w:p w14:paraId="6726A9E9">
      <w:pPr>
        <w:pStyle w:val="5"/>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七、存在的问题及原因分析</w:t>
      </w:r>
    </w:p>
    <w:p w14:paraId="75589893">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仿宋" w:hAnsi="仿宋" w:eastAsia="仿宋" w:cs="仿宋"/>
          <w:color w:val="auto"/>
          <w:sz w:val="28"/>
          <w:szCs w:val="28"/>
          <w:lang w:val="en-US" w:eastAsia="zh-CN" w:bidi="ar-SA"/>
        </w:rPr>
      </w:pPr>
      <w:r>
        <w:rPr>
          <w:rFonts w:hint="eastAsia" w:ascii="仿宋" w:hAnsi="仿宋" w:eastAsia="仿宋" w:cs="仿宋"/>
          <w:color w:val="auto"/>
          <w:sz w:val="28"/>
          <w:szCs w:val="28"/>
          <w:lang w:val="en-US" w:eastAsia="zh-CN" w:bidi="ar-SA"/>
        </w:rPr>
        <w:t>1、账务处理有待进一步规范，健全财务制度。</w:t>
      </w:r>
    </w:p>
    <w:p w14:paraId="08754BB0">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仿宋" w:hAnsi="仿宋" w:eastAsia="仿宋" w:cs="仿宋"/>
          <w:color w:val="auto"/>
          <w:sz w:val="28"/>
          <w:szCs w:val="28"/>
          <w:lang w:val="en-US" w:eastAsia="zh-CN" w:bidi="ar-SA"/>
        </w:rPr>
      </w:pPr>
      <w:r>
        <w:rPr>
          <w:rFonts w:hint="eastAsia" w:ascii="仿宋" w:hAnsi="仿宋" w:eastAsia="仿宋" w:cs="仿宋"/>
          <w:color w:val="auto"/>
          <w:sz w:val="28"/>
          <w:szCs w:val="28"/>
          <w:lang w:val="en-US" w:eastAsia="zh-CN" w:bidi="ar-SA"/>
        </w:rPr>
        <w:t>2、预算编制的合理性有待提高。预算编制时的前瞻性不够。预算编制的质量不高，实际资金支出过程中因实际情况发生变化与预算支出经济科目数有时存在偏差，预算编制精准化还有待进一步提高。</w:t>
      </w:r>
    </w:p>
    <w:p w14:paraId="4D7DEECF">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仿宋" w:hAnsi="仿宋" w:eastAsia="仿宋" w:cs="仿宋"/>
          <w:color w:val="auto"/>
          <w:sz w:val="28"/>
          <w:szCs w:val="28"/>
          <w:lang w:val="en-US" w:eastAsia="zh-CN" w:bidi="ar-SA"/>
        </w:rPr>
      </w:pPr>
      <w:r>
        <w:rPr>
          <w:rFonts w:hint="eastAsia" w:ascii="仿宋" w:hAnsi="仿宋" w:eastAsia="仿宋" w:cs="仿宋"/>
          <w:color w:val="auto"/>
          <w:sz w:val="28"/>
          <w:szCs w:val="28"/>
          <w:lang w:val="en-US" w:eastAsia="zh-CN" w:bidi="ar-SA"/>
        </w:rPr>
        <w:t>3、资金使用效益有待进一步提高，绩效目标设立不够明确、细化和量化。</w:t>
      </w:r>
    </w:p>
    <w:p w14:paraId="6734E6EA">
      <w:pPr>
        <w:pStyle w:val="5"/>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default" w:ascii="黑体" w:hAnsi="黑体" w:eastAsia="黑体" w:cs="黑体"/>
          <w:color w:val="auto"/>
          <w:sz w:val="30"/>
          <w:szCs w:val="30"/>
          <w:lang w:val="en-US" w:eastAsia="zh-CN"/>
        </w:rPr>
      </w:pPr>
      <w:r>
        <w:rPr>
          <w:rFonts w:hint="default" w:ascii="黑体" w:hAnsi="黑体" w:eastAsia="黑体" w:cs="黑体"/>
          <w:color w:val="auto"/>
          <w:sz w:val="30"/>
          <w:szCs w:val="30"/>
          <w:lang w:val="en-US" w:eastAsia="zh-CN"/>
        </w:rPr>
        <w:t>八、下一步改进措施</w:t>
      </w:r>
    </w:p>
    <w:p w14:paraId="25AD1CC4">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仿宋" w:hAnsi="仿宋" w:eastAsia="仿宋" w:cs="仿宋"/>
          <w:color w:val="auto"/>
          <w:sz w:val="28"/>
          <w:szCs w:val="28"/>
          <w:lang w:val="en-US" w:eastAsia="zh-CN" w:bidi="ar-SA"/>
        </w:rPr>
      </w:pPr>
      <w:r>
        <w:rPr>
          <w:rFonts w:hint="eastAsia" w:ascii="仿宋" w:hAnsi="仿宋" w:eastAsia="仿宋" w:cs="仿宋"/>
          <w:color w:val="auto"/>
          <w:sz w:val="28"/>
          <w:szCs w:val="28"/>
          <w:lang w:val="en-US" w:eastAsia="zh-CN" w:bidi="ar-SA"/>
        </w:rPr>
        <w:t>1、抓好财务预算管理，严格执行财务管理制度，充分发挥监督作用。</w:t>
      </w:r>
    </w:p>
    <w:p w14:paraId="7B986F19">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仿宋" w:hAnsi="仿宋" w:eastAsia="仿宋" w:cs="仿宋"/>
          <w:color w:val="auto"/>
          <w:sz w:val="28"/>
          <w:szCs w:val="28"/>
          <w:lang w:val="en-US" w:eastAsia="zh-CN" w:bidi="ar-SA"/>
        </w:rPr>
      </w:pPr>
      <w:r>
        <w:rPr>
          <w:rFonts w:hint="eastAsia" w:ascii="仿宋" w:hAnsi="仿宋" w:eastAsia="仿宋" w:cs="仿宋"/>
          <w:color w:val="auto"/>
          <w:sz w:val="28"/>
          <w:szCs w:val="28"/>
          <w:lang w:val="en-US" w:eastAsia="zh-CN" w:bidi="ar-SA"/>
        </w:rPr>
        <w:t>2、严格财务支出审批。抓好审核和审批两个环节，在审核审批中严把支出关，切实维护财务纪律的严肃性。</w:t>
      </w:r>
    </w:p>
    <w:p w14:paraId="6C8E4596">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仿宋" w:hAnsi="仿宋" w:eastAsia="仿宋" w:cs="仿宋"/>
          <w:color w:val="auto"/>
          <w:sz w:val="28"/>
          <w:szCs w:val="28"/>
          <w:lang w:val="en-US" w:eastAsia="zh-CN" w:bidi="ar-SA"/>
        </w:rPr>
      </w:pPr>
      <w:r>
        <w:rPr>
          <w:rFonts w:hint="eastAsia" w:ascii="仿宋" w:hAnsi="仿宋" w:eastAsia="仿宋" w:cs="仿宋"/>
          <w:color w:val="auto"/>
          <w:sz w:val="28"/>
          <w:szCs w:val="28"/>
          <w:lang w:val="en-US" w:eastAsia="zh-CN" w:bidi="ar-SA"/>
        </w:rPr>
        <w:t>3、强化经费管理。重点加强招待费和公务用车的管理，严格控制支出，降低经费支出。</w:t>
      </w:r>
    </w:p>
    <w:p w14:paraId="7EA49BDD">
      <w:pPr>
        <w:pStyle w:val="5"/>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九、其他需要说明的情况</w:t>
      </w:r>
    </w:p>
    <w:p w14:paraId="036920EA">
      <w:pPr>
        <w:spacing w:line="600" w:lineRule="exact"/>
        <w:ind w:firstLine="640" w:firstLineChars="200"/>
        <w:rPr>
          <w:rFonts w:hint="eastAsia" w:ascii="仿宋" w:hAnsi="仿宋" w:eastAsia="仿宋" w:cs="仿宋"/>
          <w:color w:val="auto"/>
          <w:sz w:val="28"/>
          <w:szCs w:val="28"/>
          <w:lang w:val="en-US" w:eastAsia="zh-CN" w:bidi="ar-SA"/>
        </w:rPr>
      </w:pPr>
      <w:r>
        <w:rPr>
          <w:rFonts w:hint="eastAsia" w:ascii="Times New Roman" w:hAnsi="Times New Roman" w:eastAsia="黑体"/>
          <w:sz w:val="32"/>
          <w:szCs w:val="32"/>
        </w:rPr>
        <w:t xml:space="preserve">   </w:t>
      </w:r>
      <w:r>
        <w:rPr>
          <w:rFonts w:hint="eastAsia" w:ascii="仿宋" w:hAnsi="仿宋" w:eastAsia="仿宋" w:cs="仿宋"/>
          <w:color w:val="auto"/>
          <w:sz w:val="28"/>
          <w:szCs w:val="28"/>
          <w:lang w:val="en-US" w:eastAsia="zh-CN" w:bidi="ar-SA"/>
        </w:rPr>
        <w:t>无</w:t>
      </w:r>
    </w:p>
    <w:p w14:paraId="3BAABE55">
      <w:pPr>
        <w:pStyle w:val="7"/>
        <w:rPr>
          <w:rFonts w:hint="eastAsia" w:asciiTheme="minorEastAsia" w:hAnsiTheme="minorEastAsia" w:eastAsiaTheme="minorEastAsia" w:cstheme="minorEastAsia"/>
          <w:sz w:val="28"/>
          <w:szCs w:val="28"/>
          <w:lang w:val="en-US" w:eastAsia="zh-CN"/>
        </w:rPr>
      </w:pPr>
    </w:p>
    <w:p w14:paraId="504AA534">
      <w:pPr>
        <w:pStyle w:val="7"/>
        <w:rPr>
          <w:rFonts w:hint="eastAsia" w:asciiTheme="minorEastAsia" w:hAnsiTheme="minorEastAsia" w:eastAsiaTheme="minorEastAsia" w:cstheme="minorEastAsia"/>
          <w:sz w:val="28"/>
          <w:szCs w:val="28"/>
          <w:lang w:val="en-US" w:eastAsia="zh-CN"/>
        </w:rPr>
      </w:pPr>
    </w:p>
    <w:p w14:paraId="361CFF8A">
      <w:pPr>
        <w:pStyle w:val="7"/>
        <w:rPr>
          <w:rFonts w:hint="eastAsia" w:asciiTheme="minorEastAsia" w:hAnsiTheme="minorEastAsia" w:eastAsiaTheme="minorEastAsia" w:cstheme="minorEastAsia"/>
          <w:sz w:val="28"/>
          <w:szCs w:val="28"/>
          <w:lang w:val="en-US" w:eastAsia="zh-CN"/>
        </w:rPr>
      </w:pPr>
    </w:p>
    <w:p w14:paraId="61AD5799">
      <w:pPr>
        <w:pStyle w:val="7"/>
        <w:rPr>
          <w:rFonts w:hint="eastAsia" w:asciiTheme="minorEastAsia" w:hAnsiTheme="minorEastAsia" w:eastAsiaTheme="minorEastAsia" w:cstheme="minorEastAsia"/>
          <w:sz w:val="28"/>
          <w:szCs w:val="28"/>
          <w:lang w:val="en-US" w:eastAsia="zh-CN"/>
        </w:rPr>
      </w:pPr>
    </w:p>
    <w:p w14:paraId="649BC9E2">
      <w:pPr>
        <w:pStyle w:val="7"/>
        <w:rPr>
          <w:rFonts w:hint="eastAsia" w:asciiTheme="minorEastAsia" w:hAnsiTheme="minorEastAsia" w:eastAsiaTheme="minorEastAsia" w:cstheme="minorEastAsia"/>
          <w:sz w:val="28"/>
          <w:szCs w:val="28"/>
          <w:lang w:val="en-US" w:eastAsia="zh-CN"/>
        </w:rPr>
      </w:pPr>
    </w:p>
    <w:p w14:paraId="07C11C7F">
      <w:pPr>
        <w:pStyle w:val="7"/>
        <w:rPr>
          <w:rFonts w:hint="eastAsia" w:asciiTheme="minorEastAsia" w:hAnsiTheme="minorEastAsia" w:eastAsiaTheme="minorEastAsia" w:cstheme="minorEastAsia"/>
          <w:sz w:val="28"/>
          <w:szCs w:val="28"/>
          <w:lang w:val="en-US" w:eastAsia="zh-CN"/>
        </w:rPr>
      </w:pPr>
    </w:p>
    <w:p w14:paraId="15F8BA1D">
      <w:pPr>
        <w:pStyle w:val="7"/>
        <w:rPr>
          <w:rFonts w:hint="eastAsia" w:asciiTheme="minorEastAsia" w:hAnsiTheme="minorEastAsia" w:eastAsiaTheme="minorEastAsia" w:cstheme="minorEastAsia"/>
          <w:sz w:val="28"/>
          <w:szCs w:val="28"/>
          <w:lang w:val="en-US" w:eastAsia="zh-CN"/>
        </w:rPr>
      </w:pPr>
    </w:p>
    <w:p w14:paraId="39FF9459">
      <w:pPr>
        <w:pStyle w:val="7"/>
        <w:rPr>
          <w:rFonts w:hint="eastAsia" w:asciiTheme="minorEastAsia" w:hAnsiTheme="minorEastAsia" w:eastAsiaTheme="minorEastAsia" w:cstheme="minorEastAsia"/>
          <w:sz w:val="28"/>
          <w:szCs w:val="28"/>
          <w:lang w:val="en-US" w:eastAsia="zh-CN"/>
        </w:rPr>
      </w:pPr>
    </w:p>
    <w:p w14:paraId="59F404D5">
      <w:pPr>
        <w:pStyle w:val="7"/>
        <w:rPr>
          <w:rFonts w:hint="eastAsia" w:asciiTheme="minorEastAsia" w:hAnsiTheme="minorEastAsia" w:eastAsiaTheme="minorEastAsia" w:cstheme="minorEastAsia"/>
          <w:sz w:val="28"/>
          <w:szCs w:val="28"/>
          <w:lang w:val="en-US" w:eastAsia="zh-CN"/>
        </w:rPr>
      </w:pPr>
    </w:p>
    <w:p w14:paraId="367D91F3">
      <w:pPr>
        <w:ind w:left="0" w:leftChars="0" w:firstLine="0" w:firstLineChars="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FA7ABA"/>
    <w:multiLevelType w:val="multilevel"/>
    <w:tmpl w:val="9CFA7ABA"/>
    <w:lvl w:ilvl="0" w:tentative="0">
      <w:start w:val="3"/>
      <w:numFmt w:val="decimal"/>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
    <w:nsid w:val="AE088255"/>
    <w:multiLevelType w:val="singleLevel"/>
    <w:tmpl w:val="AE088255"/>
    <w:lvl w:ilvl="0" w:tentative="0">
      <w:start w:val="1"/>
      <w:numFmt w:val="decimal"/>
      <w:suff w:val="nothing"/>
      <w:lvlText w:val="%1、"/>
      <w:lvlJc w:val="left"/>
    </w:lvl>
  </w:abstractNum>
  <w:abstractNum w:abstractNumId="2">
    <w:nsid w:val="CE815D82"/>
    <w:multiLevelType w:val="singleLevel"/>
    <w:tmpl w:val="CE815D82"/>
    <w:lvl w:ilvl="0" w:tentative="0">
      <w:start w:val="1"/>
      <w:numFmt w:val="chineseCounting"/>
      <w:suff w:val="nothing"/>
      <w:lvlText w:val="%1、"/>
      <w:lvlJc w:val="left"/>
      <w:rPr>
        <w:rFonts w:hint="eastAsia"/>
      </w:rPr>
    </w:lvl>
  </w:abstractNum>
  <w:abstractNum w:abstractNumId="3">
    <w:nsid w:val="DD523EBF"/>
    <w:multiLevelType w:val="singleLevel"/>
    <w:tmpl w:val="DD523EBF"/>
    <w:lvl w:ilvl="0" w:tentative="0">
      <w:start w:val="4"/>
      <w:numFmt w:val="chineseCounting"/>
      <w:suff w:val="nothing"/>
      <w:lvlText w:val="%1、"/>
      <w:lvlJc w:val="left"/>
      <w:rPr>
        <w:rFonts w:hint="eastAsia"/>
      </w:rPr>
    </w:lvl>
  </w:abstractNum>
  <w:abstractNum w:abstractNumId="4">
    <w:nsid w:val="EC87DFA1"/>
    <w:multiLevelType w:val="singleLevel"/>
    <w:tmpl w:val="EC87DFA1"/>
    <w:lvl w:ilvl="0" w:tentative="0">
      <w:start w:val="2"/>
      <w:numFmt w:val="decimal"/>
      <w:suff w:val="nothing"/>
      <w:lvlText w:val="%1、"/>
      <w:lvlJc w:val="left"/>
    </w:lvl>
  </w:abstractNum>
  <w:abstractNum w:abstractNumId="5">
    <w:nsid w:val="3355C81F"/>
    <w:multiLevelType w:val="singleLevel"/>
    <w:tmpl w:val="3355C81F"/>
    <w:lvl w:ilvl="0" w:tentative="0">
      <w:start w:val="1"/>
      <w:numFmt w:val="chineseCounting"/>
      <w:suff w:val="nothing"/>
      <w:lvlText w:val="（%1）"/>
      <w:lvlJc w:val="left"/>
      <w:rPr>
        <w:rFonts w:hint="eastAsia"/>
      </w:rPr>
    </w:lvl>
  </w:abstractNum>
  <w:num w:numId="1">
    <w:abstractNumId w:val="2"/>
  </w:num>
  <w:num w:numId="2">
    <w:abstractNumId w:val="1"/>
  </w:num>
  <w:num w:numId="3">
    <w:abstractNumId w:val="5"/>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FlZGJmZmRkMzJjOGY3ZjkzOTJkNDIzOTU0ZGQ2YjYifQ=="/>
  </w:docVars>
  <w:rsids>
    <w:rsidRoot w:val="5EC24E23"/>
    <w:rsid w:val="013A0D58"/>
    <w:rsid w:val="02F16F0C"/>
    <w:rsid w:val="04883F61"/>
    <w:rsid w:val="066110F6"/>
    <w:rsid w:val="09B96D4E"/>
    <w:rsid w:val="0C1B70EE"/>
    <w:rsid w:val="0E4E4A6E"/>
    <w:rsid w:val="0E8A0CB9"/>
    <w:rsid w:val="0F9E0D50"/>
    <w:rsid w:val="112C49A2"/>
    <w:rsid w:val="16640E79"/>
    <w:rsid w:val="16826672"/>
    <w:rsid w:val="195E1870"/>
    <w:rsid w:val="197D5F56"/>
    <w:rsid w:val="19866520"/>
    <w:rsid w:val="1BCB544B"/>
    <w:rsid w:val="1F4F4D31"/>
    <w:rsid w:val="2032655C"/>
    <w:rsid w:val="228A05B9"/>
    <w:rsid w:val="281C7F63"/>
    <w:rsid w:val="29B64C00"/>
    <w:rsid w:val="2AA97FC6"/>
    <w:rsid w:val="2D11017F"/>
    <w:rsid w:val="33D533BE"/>
    <w:rsid w:val="35886015"/>
    <w:rsid w:val="360E0429"/>
    <w:rsid w:val="3DB17760"/>
    <w:rsid w:val="3DD77351"/>
    <w:rsid w:val="41356808"/>
    <w:rsid w:val="41D2003F"/>
    <w:rsid w:val="42445E75"/>
    <w:rsid w:val="45783591"/>
    <w:rsid w:val="45D93CF8"/>
    <w:rsid w:val="46F4261E"/>
    <w:rsid w:val="479C1AE4"/>
    <w:rsid w:val="47F072E2"/>
    <w:rsid w:val="4CE55C58"/>
    <w:rsid w:val="4DD87866"/>
    <w:rsid w:val="569A4DDE"/>
    <w:rsid w:val="5C7564BC"/>
    <w:rsid w:val="5CE6306B"/>
    <w:rsid w:val="5EC24E23"/>
    <w:rsid w:val="610B2FF5"/>
    <w:rsid w:val="61183586"/>
    <w:rsid w:val="62A21DD1"/>
    <w:rsid w:val="62AE41C0"/>
    <w:rsid w:val="6566243E"/>
    <w:rsid w:val="65771486"/>
    <w:rsid w:val="678A4FBD"/>
    <w:rsid w:val="68482AA4"/>
    <w:rsid w:val="6AC22B25"/>
    <w:rsid w:val="6AE076AE"/>
    <w:rsid w:val="72674D4A"/>
    <w:rsid w:val="78225F72"/>
    <w:rsid w:val="79190419"/>
    <w:rsid w:val="7B6C46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zh-CN" w:bidi="ar-SA"/>
    </w:rPr>
  </w:style>
  <w:style w:type="paragraph" w:styleId="2">
    <w:name w:val="heading 1"/>
    <w:basedOn w:val="1"/>
    <w:autoRedefine/>
    <w:qFormat/>
    <w:uiPriority w:val="0"/>
    <w:pPr>
      <w:spacing w:line="620" w:lineRule="exact"/>
      <w:ind w:firstLine="0" w:firstLineChars="0"/>
      <w:jc w:val="center"/>
      <w:outlineLvl w:val="0"/>
    </w:pPr>
    <w:rPr>
      <w:rFonts w:ascii="仿宋" w:hAnsi="仿宋" w:eastAsia="方正小标宋简体" w:cs="仿宋"/>
      <w:sz w:val="44"/>
    </w:rPr>
  </w:style>
  <w:style w:type="paragraph" w:styleId="3">
    <w:name w:val="heading 2"/>
    <w:basedOn w:val="1"/>
    <w:autoRedefine/>
    <w:qFormat/>
    <w:uiPriority w:val="1"/>
    <w:pPr>
      <w:ind w:left="-22"/>
      <w:outlineLvl w:val="2"/>
    </w:pPr>
    <w:rPr>
      <w:rFonts w:ascii="Arial Unicode MS" w:hAnsi="Arial Unicode MS" w:eastAsia="Arial Unicode MS" w:cs="Arial Unicode MS"/>
      <w:sz w:val="36"/>
      <w:szCs w:val="36"/>
      <w:lang w:val="en-US" w:eastAsia="zh-CN" w:bidi="ar-SA"/>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4">
    <w:name w:val="Normal Indent"/>
    <w:basedOn w:val="1"/>
    <w:qFormat/>
    <w:uiPriority w:val="0"/>
    <w:pPr>
      <w:ind w:firstLine="420"/>
    </w:pPr>
    <w:rPr>
      <w:szCs w:val="20"/>
    </w:rPr>
  </w:style>
  <w:style w:type="paragraph" w:styleId="5">
    <w:name w:val="Body Text"/>
    <w:basedOn w:val="1"/>
    <w:autoRedefine/>
    <w:qFormat/>
    <w:uiPriority w:val="1"/>
    <w:rPr>
      <w:rFonts w:ascii="宋体" w:hAnsi="宋体" w:eastAsia="宋体" w:cs="宋体"/>
      <w:sz w:val="32"/>
      <w:szCs w:val="32"/>
      <w:lang w:val="en-US" w:eastAsia="zh-CN" w:bidi="ar-SA"/>
    </w:rPr>
  </w:style>
  <w:style w:type="paragraph" w:styleId="6">
    <w:name w:val="Body Text Indent"/>
    <w:basedOn w:val="1"/>
    <w:autoRedefine/>
    <w:qFormat/>
    <w:uiPriority w:val="0"/>
    <w:pPr>
      <w:adjustRightInd w:val="0"/>
      <w:snapToGrid w:val="0"/>
      <w:spacing w:line="288" w:lineRule="auto"/>
      <w:ind w:firstLine="600" w:firstLineChars="200"/>
    </w:pPr>
    <w:rPr>
      <w:rFonts w:eastAsia="仿宋_GB2312" w:cs="Times New Roman"/>
      <w:sz w:val="32"/>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9">
    <w:name w:val="Body Text First Indent 2"/>
    <w:basedOn w:val="6"/>
    <w:autoRedefine/>
    <w:qFormat/>
    <w:uiPriority w:val="0"/>
    <w:pPr>
      <w:ind w:firstLine="420"/>
    </w:pPr>
  </w:style>
  <w:style w:type="character" w:styleId="12">
    <w:name w:val="page number"/>
    <w:basedOn w:val="11"/>
    <w:qFormat/>
    <w:uiPriority w:val="99"/>
    <w:rPr>
      <w:rFonts w:cs="Times New Roman"/>
    </w:rPr>
  </w:style>
  <w:style w:type="character" w:styleId="13">
    <w:name w:val="Emphasis"/>
    <w:basedOn w:val="11"/>
    <w:qFormat/>
    <w:uiPriority w:val="0"/>
    <w:rPr>
      <w:i/>
    </w:rPr>
  </w:style>
  <w:style w:type="paragraph" w:customStyle="1" w:styleId="14">
    <w:name w:val="Table Paragraph"/>
    <w:basedOn w:val="1"/>
    <w:autoRedefine/>
    <w:qFormat/>
    <w:uiPriority w:val="1"/>
    <w:rPr>
      <w:rFonts w:ascii="宋体" w:hAnsi="宋体" w:eastAsia="宋体" w:cs="宋体"/>
      <w:lang w:val="en-US" w:eastAsia="zh-CN" w:bidi="ar-SA"/>
    </w:rPr>
  </w:style>
  <w:style w:type="paragraph" w:styleId="15">
    <w:name w:val="List Paragraph"/>
    <w:basedOn w:val="1"/>
    <w:autoRedefine/>
    <w:qFormat/>
    <w:uiPriority w:val="99"/>
    <w:pPr>
      <w:ind w:firstLine="420" w:firstLineChars="200"/>
    </w:pPr>
  </w:style>
  <w:style w:type="character" w:customStyle="1" w:styleId="16">
    <w:name w:val="NormalCharacter"/>
    <w:autoRedefine/>
    <w:qFormat/>
    <w:uiPriority w:val="0"/>
    <w:rPr>
      <w:rFonts w:ascii="Calibri" w:hAnsi="Calibri" w:eastAsia="宋体" w:cs="Times New Roman"/>
      <w:kern w:val="2"/>
      <w:sz w:val="21"/>
      <w:szCs w:val="22"/>
      <w:lang w:val="en-US" w:eastAsia="zh-CN" w:bidi="ar-SA"/>
    </w:rPr>
  </w:style>
  <w:style w:type="character" w:customStyle="1" w:styleId="17">
    <w:name w:val="强调1"/>
    <w:basedOn w:val="16"/>
    <w:autoRedefine/>
    <w:qFormat/>
    <w:uiPriority w:val="0"/>
    <w:rPr>
      <w:i/>
      <w:i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5594</Words>
  <Characters>5923</Characters>
  <Lines>0</Lines>
  <Paragraphs>0</Paragraphs>
  <TotalTime>3</TotalTime>
  <ScaleCrop>false</ScaleCrop>
  <LinksUpToDate>false</LinksUpToDate>
  <CharactersWithSpaces>5932</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2024-04-10T08:04:00Z</dcterms:created>
  <dc:creator>Administrator</dc:creator>
  <cp:lastModifiedBy>Administrator</cp:lastModifiedBy>
  <dcterms:modified xsi:type="dcterms:W3CDTF">2024-10-18T03:31:25Z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2E33F3CBD30747A3A761B5BEEFCFA1AE_13</vt:lpwstr>
  </property>
</Properties>
</file>