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87E343">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华文中宋" w:hAnsi="华文中宋" w:eastAsia="华文中宋" w:cs="华文中宋"/>
          <w:sz w:val="42"/>
          <w:szCs w:val="42"/>
          <w:lang w:eastAsia="zh-CN"/>
        </w:rPr>
      </w:pPr>
    </w:p>
    <w:p w14:paraId="30739CE9">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华文中宋" w:hAnsi="华文中宋" w:eastAsia="华文中宋" w:cs="华文中宋"/>
          <w:sz w:val="42"/>
          <w:szCs w:val="42"/>
          <w:lang w:eastAsia="zh-CN"/>
        </w:rPr>
      </w:pPr>
    </w:p>
    <w:p w14:paraId="2761109E">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华文中宋" w:hAnsi="华文中宋" w:eastAsia="华文中宋" w:cs="华文中宋"/>
          <w:sz w:val="42"/>
          <w:szCs w:val="42"/>
          <w:lang w:eastAsia="zh-CN"/>
        </w:rPr>
      </w:pPr>
    </w:p>
    <w:p w14:paraId="684AE267">
      <w:pPr>
        <w:jc w:val="center"/>
        <w:rPr>
          <w:rFonts w:hint="eastAsia" w:ascii="华文中宋" w:hAnsi="华文中宋" w:eastAsia="华文中宋" w:cs="华文中宋"/>
          <w:sz w:val="42"/>
          <w:szCs w:val="42"/>
          <w:lang w:eastAsia="zh-CN"/>
        </w:rPr>
      </w:pPr>
      <w:r>
        <w:rPr>
          <w:rFonts w:hint="eastAsia" w:ascii="华文中宋" w:hAnsi="华文中宋" w:eastAsia="华文中宋" w:cs="华文中宋"/>
          <w:sz w:val="42"/>
          <w:szCs w:val="42"/>
          <w:lang w:eastAsia="zh-CN"/>
        </w:rPr>
        <w:t>衡南县人民政府办公室</w:t>
      </w:r>
    </w:p>
    <w:p w14:paraId="0966F2D5">
      <w:pPr>
        <w:jc w:val="center"/>
        <w:rPr>
          <w:rFonts w:hint="eastAsia" w:ascii="华文中宋" w:hAnsi="华文中宋" w:eastAsia="华文中宋" w:cs="华文中宋"/>
          <w:sz w:val="42"/>
          <w:szCs w:val="42"/>
        </w:rPr>
      </w:pPr>
      <w:bookmarkStart w:id="0" w:name="_GoBack"/>
      <w:r>
        <w:rPr>
          <w:rFonts w:hint="eastAsia" w:ascii="华文中宋" w:hAnsi="华文中宋" w:eastAsia="华文中宋" w:cs="华文中宋"/>
          <w:sz w:val="42"/>
          <w:szCs w:val="42"/>
        </w:rPr>
        <w:t>关于进一步加强政策解读有关事项的通知</w:t>
      </w:r>
    </w:p>
    <w:bookmarkEnd w:id="0"/>
    <w:p w14:paraId="2663424D">
      <w:pPr>
        <w:rPr>
          <w:rFonts w:hint="eastAsia"/>
        </w:rPr>
      </w:pPr>
    </w:p>
    <w:p w14:paraId="7EB55C71">
      <w:pPr>
        <w:rPr>
          <w:rFonts w:hint="eastAsia"/>
        </w:rPr>
      </w:pPr>
      <w:r>
        <w:rPr>
          <w:rFonts w:hint="eastAsia"/>
        </w:rPr>
        <w:t>各乡镇人民政府、街道办事处，县直机关各单位：</w:t>
      </w:r>
    </w:p>
    <w:p w14:paraId="66B6EE48">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rPr>
        <w:t>政策解读是各级政府依法行政的一项重要内容。做好政策解读是提升政府公信力、执行力，主动回应社会关切，推进政策落实、建设服务型政府，保障公众知情权、参与权、表达权和监督权的重要举措。为进一步贯彻落实国家及省市对政务公开工作的要求，避免因政策解读不到位而引发负面舆情，现就进一步做好我县政策文件解读工作，建立健全政策解读工作机制有关事项通知如下：</w:t>
      </w:r>
    </w:p>
    <w:p w14:paraId="1107706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rPr>
      </w:pPr>
      <w:r>
        <w:rPr>
          <w:rFonts w:hint="eastAsia" w:ascii="黑体" w:hAnsi="黑体" w:eastAsia="黑体" w:cs="黑体"/>
        </w:rPr>
        <w:t>一、明确解读范围</w:t>
      </w:r>
    </w:p>
    <w:p w14:paraId="333B08E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rPr>
      </w:pPr>
      <w:r>
        <w:rPr>
          <w:rFonts w:hint="eastAsia"/>
        </w:rPr>
        <w:t>贯彻落实党中央、国务院、省市重要文件的实施意见；县政府常务会会议信息；以县人民政府、县人民政府办公室名义印发的涉及全县经济社会发展、与人民群众生产生活和经济社会活动密切相关的的规范性文件、重要政策性文件、规划方案；由县政府各部门制发或部门牵头联合其他部门制发的重要政策性文件。</w:t>
      </w:r>
    </w:p>
    <w:p w14:paraId="2D700A2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特别对属于主动公开且涉及面广、社会关注度高、专业性强、实施难度大的重要政策性文件，应当“一对一”重点解读，利用县政府门户网站、新闻发布会以及报刊、政务新媒体等便于公众知晓的方式予以公开。</w:t>
      </w:r>
    </w:p>
    <w:p w14:paraId="5AE2A17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二、明确解读主体</w:t>
      </w:r>
    </w:p>
    <w:p w14:paraId="4A0A4FD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坚持“谁起草、谁解读”原则，各级文件起草部门是政策解读的责任主体。以县人民政府或县人民政府办公室名义印发的公开发布的政策性文件，由起草部门做好解读工作；以部门名义印发的政策性文件，由制发部门负责做好解读工作；部门联合发文的，由牵头部门负责做好解读工作，其他联合发文部门配合。县人民政府办公室负责做好政策解读的统筹协调工作，县数据局、县融媒体中心负责做好政策解读技术支持和栏目建设工作。</w:t>
      </w:r>
    </w:p>
    <w:p w14:paraId="4A7964B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三、规范解读程序</w:t>
      </w:r>
    </w:p>
    <w:p w14:paraId="1DE79C3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实行政策文件、解读方案及解读材料“三同步（同步起草、同步审签、同步发布）”原则。</w:t>
      </w:r>
    </w:p>
    <w:p w14:paraId="74E87817">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同步起草、同步审签：解读材料按发文报批程序</w:t>
      </w:r>
      <w:r>
        <w:rPr>
          <w:rFonts w:hint="eastAsia"/>
          <w:lang w:eastAsia="zh-CN"/>
        </w:rPr>
        <w:t>，</w:t>
      </w:r>
      <w:r>
        <w:rPr>
          <w:rFonts w:hint="eastAsia"/>
        </w:rPr>
        <w:t>随文件同步进行审核、签发、存档。以县人民政府或县人民政府办公室名义印发的规范性文件、重要政策性文件，牵头起草部门上报代拟稿时应将经本部门主要负责人审定的解读方案和解读材料作为附件一并报送，上报材料不齐全的，县人民政府办公室按规定予以退文。以部门名义印发的政策性文件，报批时应当将解读方案和解读材料一并报部门负责人审签。需要提请县政府常务会议、县长办公会议审议的文件，相关部门应将解读材料一并提交会议审议。其中规范性文件的解读材料发布前需经县司法局审查。</w:t>
      </w:r>
    </w:p>
    <w:p w14:paraId="1352807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同步发布：文件正式印发后，公开责任部门应在3个工作日内将相关文件及解读材料通过县政府门户网站及相关新闻媒体对外公开发布。</w:t>
      </w:r>
    </w:p>
    <w:p w14:paraId="5A290DF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四、完善政策文件库，健全解读回应机制</w:t>
      </w:r>
    </w:p>
    <w:p w14:paraId="1EB0544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要通过县政府门户网站进一步建立完善规范性政策文件库。文件库主要包括县政府文件、县政府办公室文件、部门文件等规范性文件。县政府办、县司法局要抓紧时间梳理近5年来政府规范性文件和重大政策文件，及时清理失效文件，做好政策文件归档发布工作，明确公开责任，规范文件公开程序，做好统一登记、加强保密审查，确定信息公开范围、公开时效后方可进行公开，确保公开及时、内容准确规范。政策文件公布前，要做好政策吹风解读和预期引导；在政策执行过程中，要密切跟踪舆情，主动快速引导、释放权威信号、正面回应疑虑，推动解决实际问题，赢得群众理解和支持。</w:t>
      </w:r>
    </w:p>
    <w:p w14:paraId="6BC5CCA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五、增强解读效果</w:t>
      </w:r>
    </w:p>
    <w:p w14:paraId="7B3F88A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文件起草部门主要负责人是“第一解读人和责任人”，要敢于担当，通过参加政策吹风会、新闻发布会、撰写解读文章、接受媒体采访和在线访谈等多种方式，带头解读政策，传递权威声音。县领导与宏观经济和民生关系密切的部门（单位）主要负责人，1年内解读重要政策应不少于2次。解读政策时，应当着重解读政策制定背景依据、起草过程、目标任务、主要内容、涉及范围、执行标准，以及注意事项、关键词诠释、惠民利民措施、新旧政策差异等，使政策内涵透明，避免误解误读。除文字内容外，要更好地运用数字化、图片图解图表、音频视频等方式，增强解读效果。对一些专业性较强的政策，要进行形象化、通俗化解读，确保广大人民群众“听得懂、好明白、能理解”。要充分运用新闻媒体、县政府门户网站、政务“两微一端”等传播媒介等传播媒介，发挥好主流媒体“定向定调”作用，增强政策解读的传播力和影响力，正确引导舆论。</w:t>
      </w:r>
    </w:p>
    <w:p w14:paraId="1E1AFF9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六、拓展公开渠道</w:t>
      </w:r>
    </w:p>
    <w:p w14:paraId="4DDD5BEA">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要充分发挥县政府门户网站政务公开权威平台作用，做到政策政策文件和解读材料同步上网公开、相互关联。要积极利用政府公报、政务新媒体、新闻发布会、广播电视、政务公开专栏、政务服务大厅等平台，多渠道发布文件及解读材料，方便公众查询获取，让社会公众更好地知晓、理解政府和部门的经济社会发展政策和改革举措。</w:t>
      </w:r>
    </w:p>
    <w:p w14:paraId="329FC34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rPr>
      </w:pPr>
      <w:r>
        <w:rPr>
          <w:rFonts w:hint="eastAsia" w:ascii="黑体" w:hAnsi="黑体" w:eastAsia="黑体" w:cs="黑体"/>
        </w:rPr>
        <w:t>七、工作要求</w:t>
      </w:r>
    </w:p>
    <w:p w14:paraId="3645DDA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自文件印发之日起，各部门（单位）制发的属于解读范围的文件，都必须配套政策解读。为规范加强政策文件及解读信息公开发布工作，今后以县人民政府或县人民政府办公室名义印发的政策文件应在文件内容中明确信息公开属性（主动公开、依申请公开、不予公开），由县人民政府办公室对拟发公文公开属性标识进行认定把关。属于主动公开范围的，由县政府办、县司法局通知相关部门将政策文件及相关解读材料原件信息及电子稿送到县数据局，通过县政府门户网站进行集中统一发布。各部门制定出台的政策文件及解读信息由各部门通过县政府门户网站进行发布。县数据局在开展对政府网站监测检查时，将把各级各部门政策文件及解读信息公开工作开展情况纳入监测范围，将检查结果纳入年度政务公开考核内容，对运用数字化、图片图解图表、音频视频、在线访谈等方式进行灵活解读的予以适当加分鼓励。 </w:t>
      </w:r>
    </w:p>
    <w:p w14:paraId="42A61FF7">
      <w:pPr>
        <w:keepNext w:val="0"/>
        <w:keepLines w:val="0"/>
        <w:pageBreakBefore w:val="0"/>
        <w:widowControl w:val="0"/>
        <w:kinsoku/>
        <w:wordWrap/>
        <w:overflowPunct/>
        <w:topLinePunct w:val="0"/>
        <w:autoSpaceDE/>
        <w:autoSpaceDN/>
        <w:bidi w:val="0"/>
        <w:adjustRightInd/>
        <w:snapToGrid/>
        <w:spacing w:line="340" w:lineRule="exact"/>
        <w:ind w:firstLine="640" w:firstLineChars="200"/>
        <w:textAlignment w:val="auto"/>
        <w:rPr>
          <w:rFonts w:hint="eastAsia"/>
        </w:rPr>
      </w:pPr>
    </w:p>
    <w:p w14:paraId="194CDF6B">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rPr>
      </w:pPr>
      <w:r>
        <w:rPr>
          <w:rFonts w:hint="eastAsia"/>
        </w:rPr>
        <w:t>附件：政策文件解读方案（模版）</w:t>
      </w:r>
    </w:p>
    <w:p w14:paraId="0F63CF5D">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14:paraId="34DEC49B">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p>
    <w:p w14:paraId="07EDBAF4">
      <w:pPr>
        <w:pStyle w:val="2"/>
        <w:rPr>
          <w:rFonts w:hint="eastAsia"/>
        </w:rPr>
      </w:pPr>
    </w:p>
    <w:p w14:paraId="4991235A">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r>
        <w:rPr>
          <w:rFonts w:hint="eastAsia"/>
        </w:rPr>
        <w:t> </w:t>
      </w:r>
      <w:r>
        <w:rPr>
          <w:rFonts w:hint="eastAsia"/>
          <w:lang w:val="en-US" w:eastAsia="zh-CN"/>
        </w:rPr>
        <w:t xml:space="preserve">                          </w:t>
      </w:r>
      <w:r>
        <w:rPr>
          <w:rFonts w:hint="eastAsia"/>
        </w:rPr>
        <w:t> 衡南县人民政府办公室</w:t>
      </w:r>
    </w:p>
    <w:p w14:paraId="47C185BB">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rPr>
      </w:pPr>
      <w:r>
        <w:rPr>
          <w:rFonts w:hint="eastAsia"/>
        </w:rPr>
        <w:t xml:space="preserve">                              2024年</w:t>
      </w:r>
      <w:r>
        <w:rPr>
          <w:rFonts w:hint="eastAsia"/>
          <w:lang w:val="en-US" w:eastAsia="zh-CN"/>
        </w:rPr>
        <w:t>9</w:t>
      </w:r>
      <w:r>
        <w:rPr>
          <w:rFonts w:hint="eastAsia"/>
        </w:rPr>
        <w:t>月</w:t>
      </w:r>
      <w:r>
        <w:rPr>
          <w:rFonts w:hint="eastAsia"/>
          <w:lang w:val="en-US" w:eastAsia="zh-CN"/>
        </w:rPr>
        <w:t>19</w:t>
      </w:r>
      <w:r>
        <w:rPr>
          <w:rFonts w:hint="eastAsia"/>
        </w:rPr>
        <w:t>日</w:t>
      </w:r>
    </w:p>
    <w:p w14:paraId="404D931E">
      <w:pPr>
        <w:rPr>
          <w:rFonts w:hint="eastAsia"/>
        </w:rPr>
      </w:pPr>
    </w:p>
    <w:p w14:paraId="231B5345">
      <w:pPr>
        <w:rPr>
          <w:rFonts w:hint="eastAsia"/>
        </w:rPr>
      </w:pPr>
    </w:p>
    <w:p w14:paraId="2EE9F384">
      <w:pPr>
        <w:pStyle w:val="2"/>
        <w:rPr>
          <w:rFonts w:hint="eastAsia"/>
        </w:rPr>
      </w:pPr>
    </w:p>
    <w:p w14:paraId="4B9DB109">
      <w:pPr>
        <w:rPr>
          <w:rFonts w:hint="eastAsia"/>
        </w:rPr>
      </w:pPr>
    </w:p>
    <w:p w14:paraId="7E7EAAE3">
      <w:pPr>
        <w:rPr>
          <w:rFonts w:hint="eastAsia"/>
        </w:rPr>
      </w:pPr>
    </w:p>
    <w:p w14:paraId="15DEE329">
      <w:pPr>
        <w:rPr>
          <w:rFonts w:hint="eastAsia" w:ascii="黑体" w:hAnsi="黑体" w:eastAsia="黑体" w:cs="黑体"/>
          <w:lang w:eastAsia="zh-CN"/>
        </w:rPr>
      </w:pPr>
      <w:r>
        <w:rPr>
          <w:rFonts w:hint="eastAsia" w:ascii="黑体" w:hAnsi="黑体" w:eastAsia="黑体" w:cs="黑体"/>
          <w:lang w:eastAsia="zh-CN"/>
        </w:rPr>
        <w:t>附件</w:t>
      </w:r>
    </w:p>
    <w:p w14:paraId="1C8EB486">
      <w:pPr>
        <w:ind w:left="0" w:leftChars="0" w:firstLine="0" w:firstLineChars="0"/>
        <w:jc w:val="center"/>
        <w:rPr>
          <w:rFonts w:hint="eastAsia" w:ascii="华文中宋" w:hAnsi="华文中宋" w:eastAsia="华文中宋" w:cs="华文中宋"/>
          <w:sz w:val="42"/>
          <w:szCs w:val="42"/>
          <w:lang w:val="en-US" w:eastAsia="zh-CN"/>
        </w:rPr>
      </w:pPr>
      <w:r>
        <w:rPr>
          <w:rFonts w:hint="eastAsia" w:ascii="华文中宋" w:hAnsi="华文中宋" w:eastAsia="华文中宋" w:cs="华文中宋"/>
          <w:sz w:val="42"/>
          <w:szCs w:val="42"/>
          <w:lang w:val="en-US" w:eastAsia="zh-CN"/>
        </w:rPr>
        <w:t>政策文件解读方案（模版）</w:t>
      </w:r>
    </w:p>
    <w:p w14:paraId="785A17F9">
      <w:pPr>
        <w:pStyle w:val="2"/>
        <w:keepNext w:val="0"/>
        <w:keepLines w:val="0"/>
        <w:pageBreakBefore w:val="0"/>
        <w:widowControl w:val="0"/>
        <w:kinsoku/>
        <w:wordWrap/>
        <w:overflowPunct/>
        <w:topLinePunct w:val="0"/>
        <w:autoSpaceDE/>
        <w:autoSpaceDN/>
        <w:bidi w:val="0"/>
        <w:adjustRightInd/>
        <w:snapToGrid w:val="0"/>
        <w:spacing w:line="240" w:lineRule="exact"/>
        <w:textAlignment w:val="auto"/>
        <w:rPr>
          <w:rFonts w:hint="eastAsia"/>
          <w:lang w:val="en-US" w:eastAsia="zh-CN"/>
        </w:rPr>
      </w:pP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6"/>
        <w:gridCol w:w="7200"/>
      </w:tblGrid>
      <w:tr w14:paraId="5B10A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8546" w:type="dxa"/>
            <w:gridSpan w:val="2"/>
          </w:tcPr>
          <w:p w14:paraId="1F529B3A">
            <w:pPr>
              <w:pStyle w:val="2"/>
              <w:ind w:left="0" w:leftChars="0" w:firstLine="0" w:firstLineChars="0"/>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bCs/>
                <w:kern w:val="2"/>
                <w:sz w:val="24"/>
                <w:szCs w:val="24"/>
                <w:lang w:val="en-US" w:eastAsia="zh-CN" w:bidi="ar-SA"/>
              </w:rPr>
              <w:t>拟发文件标题：</w:t>
            </w:r>
          </w:p>
        </w:tc>
      </w:tr>
      <w:tr w14:paraId="35F27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2" w:hRule="atLeast"/>
          <w:jc w:val="center"/>
        </w:trPr>
        <w:tc>
          <w:tcPr>
            <w:tcW w:w="1346" w:type="dxa"/>
            <w:vAlign w:val="center"/>
          </w:tcPr>
          <w:p w14:paraId="41642425">
            <w:pPr>
              <w:pStyle w:val="2"/>
              <w:ind w:left="0" w:leftChars="0" w:firstLine="0" w:firstLineChars="0"/>
              <w:jc w:val="cente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bCs/>
                <w:kern w:val="2"/>
                <w:sz w:val="24"/>
                <w:szCs w:val="24"/>
                <w:lang w:val="en-US" w:eastAsia="zh-CN" w:bidi="ar-SA"/>
              </w:rPr>
              <w:t>文件类别</w:t>
            </w:r>
          </w:p>
        </w:tc>
        <w:tc>
          <w:tcPr>
            <w:tcW w:w="7200" w:type="dxa"/>
            <w:vAlign w:val="center"/>
          </w:tcPr>
          <w:p w14:paraId="0447A930">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color w:val="auto"/>
                <w:sz w:val="24"/>
                <w:szCs w:val="24"/>
                <w:vertAlign w:val="baseline"/>
                <w:lang w:val="en-US" w:eastAsia="zh-CN"/>
              </w:rPr>
            </w:pPr>
            <w:r>
              <w:rPr>
                <w:rFonts w:hint="eastAsia" w:ascii="仿宋_GB2312" w:hAnsi="仿宋_GB2312" w:eastAsia="仿宋_GB2312" w:cs="仿宋_GB2312"/>
                <w:b w:val="0"/>
                <w:bCs w:val="0"/>
                <w:color w:val="auto"/>
                <w:sz w:val="24"/>
                <w:szCs w:val="24"/>
                <w:vertAlign w:val="baseline"/>
                <w:lang w:val="en-US" w:eastAsia="zh-CN"/>
              </w:rPr>
              <w:sym w:font="Wingdings 2" w:char="00A3"/>
            </w:r>
            <w:r>
              <w:rPr>
                <w:rFonts w:hint="eastAsia" w:ascii="仿宋_GB2312" w:hAnsi="仿宋_GB2312" w:eastAsia="仿宋_GB2312" w:cs="仿宋_GB2312"/>
                <w:b w:val="0"/>
                <w:bCs w:val="0"/>
                <w:color w:val="auto"/>
                <w:sz w:val="24"/>
                <w:szCs w:val="24"/>
                <w:vertAlign w:val="baseline"/>
                <w:lang w:val="en-US" w:eastAsia="zh-CN"/>
              </w:rPr>
              <w:t xml:space="preserve"> 行政规范性文件 ；</w:t>
            </w:r>
          </w:p>
          <w:p w14:paraId="2AAE0785">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color w:val="auto"/>
                <w:sz w:val="24"/>
                <w:szCs w:val="24"/>
                <w:vertAlign w:val="baseline"/>
                <w:lang w:val="en-US" w:eastAsia="zh-CN"/>
              </w:rPr>
            </w:pPr>
            <w:r>
              <w:rPr>
                <w:rFonts w:hint="eastAsia" w:ascii="仿宋_GB2312" w:hAnsi="仿宋_GB2312" w:eastAsia="仿宋_GB2312" w:cs="仿宋_GB2312"/>
                <w:b w:val="0"/>
                <w:bCs w:val="0"/>
                <w:color w:val="auto"/>
                <w:sz w:val="24"/>
                <w:szCs w:val="24"/>
                <w:vertAlign w:val="baseline"/>
                <w:lang w:val="en-US" w:eastAsia="zh-CN"/>
              </w:rPr>
              <w:t>□ 涉及面广、社会关注度高、专业性强、与群众密切相关的其他政策文件（政府、政府办印发的政策文件）；</w:t>
            </w:r>
          </w:p>
          <w:p w14:paraId="472A1964">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color w:val="auto"/>
                <w:sz w:val="24"/>
                <w:szCs w:val="24"/>
                <w:vertAlign w:val="baseline"/>
                <w:lang w:val="en-US" w:eastAsia="zh-CN"/>
              </w:rPr>
              <w:t>□ 其他需要解读的政策文件。</w:t>
            </w:r>
          </w:p>
        </w:tc>
      </w:tr>
      <w:tr w14:paraId="60486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7" w:hRule="atLeast"/>
          <w:jc w:val="center"/>
        </w:trPr>
        <w:tc>
          <w:tcPr>
            <w:tcW w:w="1346" w:type="dxa"/>
            <w:vAlign w:val="center"/>
          </w:tcPr>
          <w:p w14:paraId="49EA8278">
            <w:pPr>
              <w:pStyle w:val="2"/>
              <w:ind w:left="0" w:leftChars="0" w:firstLine="0" w:firstLineChars="0"/>
              <w:jc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解读形式</w:t>
            </w:r>
          </w:p>
        </w:tc>
        <w:tc>
          <w:tcPr>
            <w:tcW w:w="7200" w:type="dxa"/>
            <w:vAlign w:val="center"/>
          </w:tcPr>
          <w:p w14:paraId="1FB868E5">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color w:val="auto"/>
                <w:sz w:val="24"/>
                <w:szCs w:val="24"/>
                <w:highlight w:val="none"/>
                <w:lang w:eastAsia="zh-CN"/>
              </w:rPr>
              <w:sym w:font="Wingdings 2" w:char="0052"/>
            </w: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b w:val="0"/>
                <w:bCs w:val="0"/>
                <w:sz w:val="24"/>
                <w:szCs w:val="24"/>
                <w:vertAlign w:val="baseline"/>
                <w:lang w:val="en-US" w:eastAsia="zh-CN"/>
              </w:rPr>
              <w:t>发布文字解读材料</w:t>
            </w:r>
            <w:r>
              <w:rPr>
                <w:rFonts w:hint="eastAsia" w:ascii="仿宋_GB2312" w:hAnsi="仿宋_GB2312" w:cs="仿宋_GB2312"/>
                <w:b w:val="0"/>
                <w:bCs w:val="0"/>
                <w:sz w:val="24"/>
                <w:szCs w:val="24"/>
                <w:vertAlign w:val="baseline"/>
                <w:lang w:val="en-US" w:eastAsia="zh-CN"/>
              </w:rPr>
              <w:t>；</w:t>
            </w:r>
            <w:r>
              <w:rPr>
                <w:rFonts w:hint="eastAsia" w:ascii="仿宋_GB2312" w:hAnsi="仿宋_GB2312" w:eastAsia="仿宋_GB2312" w:cs="仿宋_GB2312"/>
                <w:b w:val="0"/>
                <w:bCs w:val="0"/>
                <w:sz w:val="24"/>
                <w:szCs w:val="24"/>
                <w:vertAlign w:val="baseline"/>
                <w:lang w:val="en-US" w:eastAsia="zh-CN"/>
              </w:rPr>
              <w:t>＊</w:t>
            </w:r>
          </w:p>
          <w:p w14:paraId="4923EC89">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color w:val="auto"/>
                <w:sz w:val="24"/>
                <w:szCs w:val="24"/>
                <w:highlight w:val="none"/>
                <w:lang w:eastAsia="zh-CN"/>
              </w:rPr>
              <w:sym w:font="Wingdings 2" w:char="0052"/>
            </w: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b w:val="0"/>
                <w:bCs w:val="0"/>
                <w:sz w:val="24"/>
                <w:szCs w:val="24"/>
                <w:vertAlign w:val="baseline"/>
                <w:lang w:val="en-US" w:eastAsia="zh-CN"/>
              </w:rPr>
              <w:t>发布政策解读图片（图表、图解、动漫、音视频等）；＊</w:t>
            </w:r>
          </w:p>
          <w:p w14:paraId="4191D532">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sym w:font="Wingdings 2" w:char="0052"/>
            </w:r>
            <w:r>
              <w:rPr>
                <w:rFonts w:hint="eastAsia" w:ascii="仿宋_GB2312" w:hAnsi="仿宋_GB2312" w:eastAsia="仿宋_GB2312" w:cs="仿宋_GB2312"/>
                <w:b w:val="0"/>
                <w:bCs w:val="0"/>
                <w:sz w:val="24"/>
                <w:szCs w:val="24"/>
                <w:vertAlign w:val="baseline"/>
                <w:lang w:val="en-US" w:eastAsia="zh-CN"/>
              </w:rPr>
              <w:t xml:space="preserve"> 发布政策解读新闻通稿；＊</w:t>
            </w:r>
          </w:p>
          <w:p w14:paraId="0951FCD7">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sym w:font="Wingdings 2" w:char="00A3"/>
            </w:r>
            <w:r>
              <w:rPr>
                <w:rFonts w:hint="eastAsia" w:ascii="仿宋_GB2312" w:hAnsi="仿宋_GB2312" w:eastAsia="仿宋_GB2312" w:cs="仿宋_GB2312"/>
                <w:b w:val="0"/>
                <w:bCs w:val="0"/>
                <w:sz w:val="24"/>
                <w:szCs w:val="24"/>
                <w:vertAlign w:val="baseline"/>
                <w:lang w:val="en-US" w:eastAsia="zh-CN"/>
              </w:rPr>
              <w:t xml:space="preserve"> 召开新闻发布会；</w:t>
            </w:r>
          </w:p>
          <w:p w14:paraId="0756C013">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sym w:font="Wingdings 2" w:char="00A3"/>
            </w:r>
            <w:r>
              <w:rPr>
                <w:rFonts w:hint="eastAsia" w:ascii="仿宋_GB2312" w:hAnsi="仿宋_GB2312" w:eastAsia="仿宋_GB2312" w:cs="仿宋_GB2312"/>
                <w:b w:val="0"/>
                <w:bCs w:val="0"/>
                <w:sz w:val="24"/>
                <w:szCs w:val="24"/>
                <w:vertAlign w:val="baseline"/>
                <w:lang w:val="en-US" w:eastAsia="zh-CN"/>
              </w:rPr>
              <w:t xml:space="preserve"> 部门负责人接受媒体专访；</w:t>
            </w:r>
          </w:p>
          <w:p w14:paraId="403B5C81">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sym w:font="Wingdings 2" w:char="00A3"/>
            </w:r>
            <w:r>
              <w:rPr>
                <w:rFonts w:hint="eastAsia" w:ascii="仿宋_GB2312" w:hAnsi="仿宋_GB2312" w:eastAsia="仿宋_GB2312" w:cs="仿宋_GB2312"/>
                <w:b w:val="0"/>
                <w:bCs w:val="0"/>
                <w:sz w:val="24"/>
                <w:szCs w:val="24"/>
                <w:vertAlign w:val="baseline"/>
                <w:lang w:val="en-US" w:eastAsia="zh-CN"/>
              </w:rPr>
              <w:t xml:space="preserve"> 部门负责人发表解读文章；</w:t>
            </w:r>
          </w:p>
          <w:p w14:paraId="08AD2943">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sym w:font="Wingdings 2" w:char="00A3"/>
            </w:r>
            <w:r>
              <w:rPr>
                <w:rFonts w:hint="eastAsia" w:ascii="仿宋_GB2312" w:hAnsi="仿宋_GB2312" w:eastAsia="仿宋_GB2312" w:cs="仿宋_GB2312"/>
                <w:b w:val="0"/>
                <w:bCs w:val="0"/>
                <w:sz w:val="24"/>
                <w:szCs w:val="24"/>
                <w:vertAlign w:val="baseline"/>
                <w:lang w:val="en-US" w:eastAsia="zh-CN"/>
              </w:rPr>
              <w:t xml:space="preserve"> 熟悉有关领域业务的专家学者解读；</w:t>
            </w:r>
          </w:p>
          <w:p w14:paraId="5A9770CA">
            <w:pPr>
              <w:pStyle w:val="2"/>
              <w:keepNext w:val="0"/>
              <w:keepLines w:val="0"/>
              <w:pageBreakBefore w:val="0"/>
              <w:widowControl w:val="0"/>
              <w:kinsoku/>
              <w:wordWrap/>
              <w:overflowPunct/>
              <w:topLinePunct w:val="0"/>
              <w:autoSpaceDE/>
              <w:autoSpaceDN/>
              <w:bidi w:val="0"/>
              <w:adjustRightInd/>
              <w:snapToGrid w:val="0"/>
              <w:spacing w:line="288" w:lineRule="auto"/>
              <w:ind w:left="0" w:leftChars="0" w:firstLine="0" w:firstLineChars="0"/>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其他：</w:t>
            </w:r>
            <w:r>
              <w:rPr>
                <w:rFonts w:hint="eastAsia" w:ascii="仿宋_GB2312" w:hAnsi="仿宋_GB2312" w:eastAsia="仿宋_GB2312" w:cs="仿宋_GB2312"/>
                <w:b w:val="0"/>
                <w:bCs w:val="0"/>
                <w:sz w:val="24"/>
                <w:szCs w:val="24"/>
                <w:u w:val="single"/>
                <w:vertAlign w:val="baseline"/>
                <w:lang w:val="en-US" w:eastAsia="zh-CN"/>
              </w:rPr>
              <w:t xml:space="preserve">                              </w:t>
            </w:r>
            <w:r>
              <w:rPr>
                <w:rFonts w:hint="eastAsia" w:ascii="仿宋_GB2312" w:hAnsi="仿宋_GB2312" w:eastAsia="仿宋_GB2312" w:cs="仿宋_GB2312"/>
                <w:b w:val="0"/>
                <w:bCs w:val="0"/>
                <w:sz w:val="24"/>
                <w:szCs w:val="24"/>
                <w:vertAlign w:val="baseline"/>
                <w:lang w:val="en-US" w:eastAsia="zh-CN"/>
              </w:rPr>
              <w:t xml:space="preserve"> 。</w:t>
            </w:r>
          </w:p>
        </w:tc>
      </w:tr>
      <w:tr w14:paraId="7B430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346" w:type="dxa"/>
            <w:vAlign w:val="center"/>
          </w:tcPr>
          <w:p w14:paraId="6E3E54BD">
            <w:pPr>
              <w:pStyle w:val="2"/>
              <w:ind w:left="0" w:leftChars="0" w:firstLine="0" w:firstLineChars="0"/>
              <w:jc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解读渠道</w:t>
            </w:r>
          </w:p>
        </w:tc>
        <w:tc>
          <w:tcPr>
            <w:tcW w:w="7200" w:type="dxa"/>
            <w:vAlign w:val="center"/>
          </w:tcPr>
          <w:p w14:paraId="37B2DFDC">
            <w:pPr>
              <w:spacing w:line="380" w:lineRule="exact"/>
              <w:ind w:left="0" w:leftChars="0" w:firstLine="0" w:firstLineChars="0"/>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sym w:font="Wingdings 2" w:char="0052"/>
            </w:r>
            <w:r>
              <w:rPr>
                <w:rFonts w:hint="eastAsia" w:ascii="仿宋_GB2312" w:hAnsi="仿宋_GB2312" w:eastAsia="仿宋_GB2312" w:cs="仿宋_GB2312"/>
                <w:b w:val="0"/>
                <w:bCs w:val="0"/>
                <w:sz w:val="24"/>
                <w:szCs w:val="24"/>
                <w:vertAlign w:val="baseline"/>
                <w:lang w:val="en-US" w:eastAsia="zh-CN"/>
              </w:rPr>
              <w:t>县政府门户网站＊</w:t>
            </w:r>
          </w:p>
          <w:p w14:paraId="6E05A65F">
            <w:pPr>
              <w:spacing w:line="380" w:lineRule="exact"/>
              <w:ind w:left="0" w:leftChars="0" w:firstLine="0" w:firstLineChars="0"/>
              <w:rPr>
                <w:rFonts w:hint="eastAsia" w:ascii="仿宋_GB2312" w:hAnsi="仿宋_GB2312" w:eastAsia="仿宋_GB2312" w:cs="仿宋_GB2312"/>
                <w:b w:val="0"/>
                <w:bCs w:val="0"/>
                <w:sz w:val="24"/>
                <w:szCs w:val="24"/>
                <w:vertAlign w:val="baseline"/>
                <w:lang w:val="en-US" w:eastAsia="zh-CN"/>
              </w:rPr>
            </w:pPr>
            <w:r>
              <w:rPr>
                <w:rFonts w:hint="eastAsia" w:ascii="仿宋_GB2312" w:eastAsia="仿宋_GB2312"/>
                <w:sz w:val="24"/>
                <w:lang w:val="en-US" w:eastAsia="zh-CN"/>
              </w:rPr>
              <w:t>政务新媒体</w:t>
            </w:r>
            <w:r>
              <w:rPr>
                <w:rFonts w:hint="eastAsia" w:ascii="仿宋_GB2312" w:eastAsia="仿宋_GB2312"/>
                <w:sz w:val="24"/>
                <w:lang w:eastAsia="zh-CN"/>
              </w:rPr>
              <w:t>（</w:t>
            </w:r>
            <w:r>
              <w:rPr>
                <w:rFonts w:hint="eastAsia" w:ascii="仿宋_GB2312" w:hAnsi="仿宋_GB2312" w:eastAsia="仿宋_GB2312" w:cs="仿宋_GB2312"/>
                <w:b w:val="0"/>
                <w:bCs w:val="0"/>
                <w:sz w:val="24"/>
                <w:szCs w:val="24"/>
                <w:vertAlign w:val="baseline"/>
                <w:lang w:val="en-US" w:eastAsia="zh-CN"/>
              </w:rPr>
              <w:sym w:font="Wingdings 2" w:char="0052"/>
            </w:r>
            <w:r>
              <w:rPr>
                <w:rFonts w:hint="eastAsia" w:ascii="仿宋_GB2312" w:hAnsi="仿宋_GB2312" w:eastAsia="仿宋_GB2312" w:cs="仿宋_GB2312"/>
                <w:b w:val="0"/>
                <w:bCs w:val="0"/>
                <w:sz w:val="24"/>
                <w:szCs w:val="24"/>
                <w:vertAlign w:val="baseline"/>
                <w:lang w:val="en-US" w:eastAsia="zh-CN"/>
              </w:rPr>
              <w:t xml:space="preserve">智慧衡南＊ </w:t>
            </w:r>
            <w:r>
              <w:rPr>
                <w:rFonts w:hint="eastAsia" w:ascii="仿宋_GB2312" w:hAnsi="仿宋_GB2312" w:eastAsia="仿宋_GB2312" w:cs="仿宋_GB2312"/>
                <w:b w:val="0"/>
                <w:bCs w:val="0"/>
                <w:sz w:val="24"/>
                <w:szCs w:val="24"/>
                <w:vertAlign w:val="baseline"/>
                <w:lang w:val="en-US" w:eastAsia="zh-CN"/>
              </w:rPr>
              <w:sym w:font="Wingdings 2" w:char="00A3"/>
            </w:r>
            <w:r>
              <w:rPr>
                <w:rFonts w:hint="eastAsia" w:ascii="仿宋_GB2312" w:hAnsi="仿宋_GB2312" w:eastAsia="仿宋_GB2312" w:cs="仿宋_GB2312"/>
                <w:b w:val="0"/>
                <w:bCs w:val="0"/>
                <w:sz w:val="24"/>
                <w:szCs w:val="24"/>
                <w:vertAlign w:val="baseline"/>
                <w:lang w:val="en-US" w:eastAsia="zh-CN"/>
              </w:rPr>
              <w:t>微衡南</w:t>
            </w:r>
            <w:r>
              <w:rPr>
                <w:rFonts w:hint="eastAsia" w:ascii="仿宋_GB2312" w:eastAsia="仿宋_GB2312"/>
                <w:sz w:val="24"/>
                <w:lang w:eastAsia="zh-CN"/>
              </w:rPr>
              <w:t>）</w:t>
            </w:r>
            <w:r>
              <w:rPr>
                <w:rFonts w:hint="eastAsia" w:ascii="仿宋_GB2312" w:eastAsia="仿宋_GB2312"/>
                <w:sz w:val="24"/>
              </w:rPr>
              <w:t xml:space="preserve"> </w:t>
            </w:r>
          </w:p>
          <w:p w14:paraId="49FF78A0">
            <w:pPr>
              <w:pStyle w:val="2"/>
              <w:keepNext w:val="0"/>
              <w:keepLines w:val="0"/>
              <w:pageBreakBefore w:val="0"/>
              <w:widowControl w:val="0"/>
              <w:kinsoku/>
              <w:wordWrap/>
              <w:overflowPunct/>
              <w:topLinePunct w:val="0"/>
              <w:autoSpaceDE/>
              <w:autoSpaceDN/>
              <w:bidi w:val="0"/>
              <w:adjustRightInd/>
              <w:snapToGrid w:val="0"/>
              <w:spacing w:line="288" w:lineRule="auto"/>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eastAsia="仿宋_GB2312"/>
                <w:sz w:val="24"/>
              </w:rPr>
              <w:t xml:space="preserve">□报刊  □电视  </w:t>
            </w:r>
            <w:r>
              <w:rPr>
                <w:rFonts w:hint="eastAsia" w:ascii="仿宋_GB2312" w:eastAsia="仿宋_GB2312"/>
                <w:sz w:val="24"/>
              </w:rPr>
              <w:sym w:font="Wingdings 2" w:char="00A3"/>
            </w:r>
            <w:r>
              <w:rPr>
                <w:rFonts w:hint="eastAsia" w:ascii="仿宋_GB2312" w:eastAsia="仿宋_GB2312"/>
                <w:sz w:val="24"/>
              </w:rPr>
              <w:t>广播 □</w:t>
            </w:r>
            <w:r>
              <w:rPr>
                <w:rFonts w:hint="eastAsia" w:ascii="仿宋_GB2312" w:eastAsia="仿宋_GB2312"/>
                <w:sz w:val="24"/>
                <w:lang w:val="en-US" w:eastAsia="zh-CN"/>
              </w:rPr>
              <w:t>政务</w:t>
            </w:r>
            <w:r>
              <w:rPr>
                <w:rFonts w:hint="eastAsia" w:ascii="仿宋_GB2312" w:eastAsia="仿宋_GB2312"/>
                <w:sz w:val="24"/>
              </w:rPr>
              <w:t>公开栏 □其他</w:t>
            </w:r>
            <w:r>
              <w:rPr>
                <w:rFonts w:hint="eastAsia" w:ascii="仿宋_GB2312" w:hAnsi="仿宋_GB2312" w:eastAsia="仿宋_GB2312" w:cs="仿宋_GB2312"/>
                <w:b w:val="0"/>
                <w:bCs w:val="0"/>
                <w:sz w:val="24"/>
                <w:szCs w:val="24"/>
                <w:u w:val="single"/>
                <w:vertAlign w:val="baseline"/>
                <w:lang w:val="en-US" w:eastAsia="zh-CN"/>
              </w:rPr>
              <w:t xml:space="preserve">             </w:t>
            </w:r>
          </w:p>
        </w:tc>
      </w:tr>
      <w:tr w14:paraId="60FD5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1346" w:type="dxa"/>
            <w:vAlign w:val="center"/>
          </w:tcPr>
          <w:p w14:paraId="64159F39">
            <w:pPr>
              <w:pStyle w:val="2"/>
              <w:ind w:left="0" w:leftChars="0" w:firstLine="0" w:firstLineChars="0"/>
              <w:jc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解读时间</w:t>
            </w:r>
          </w:p>
        </w:tc>
        <w:tc>
          <w:tcPr>
            <w:tcW w:w="7200" w:type="dxa"/>
            <w:vAlign w:val="center"/>
          </w:tcPr>
          <w:p w14:paraId="32DD8122">
            <w:pPr>
              <w:pStyle w:val="2"/>
              <w:ind w:firstLine="960" w:firstLineChars="400"/>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年</w:t>
            </w:r>
            <w:r>
              <w:rPr>
                <w:rFonts w:hint="eastAsia" w:ascii="仿宋_GB2312" w:hAnsi="仿宋_GB2312" w:cs="仿宋_GB2312"/>
                <w:b w:val="0"/>
                <w:bCs w:val="0"/>
                <w:sz w:val="24"/>
                <w:szCs w:val="24"/>
                <w:vertAlign w:val="baseline"/>
                <w:lang w:val="en-US" w:eastAsia="zh-CN"/>
              </w:rPr>
              <w:t xml:space="preserve">  </w:t>
            </w:r>
            <w:r>
              <w:rPr>
                <w:rFonts w:hint="eastAsia" w:ascii="仿宋_GB2312" w:hAnsi="仿宋_GB2312" w:eastAsia="仿宋_GB2312" w:cs="仿宋_GB2312"/>
                <w:b w:val="0"/>
                <w:bCs w:val="0"/>
                <w:sz w:val="24"/>
                <w:szCs w:val="24"/>
                <w:vertAlign w:val="baseline"/>
                <w:lang w:val="en-US" w:eastAsia="zh-CN"/>
              </w:rPr>
              <w:t>月</w:t>
            </w:r>
            <w:r>
              <w:rPr>
                <w:rFonts w:hint="eastAsia" w:ascii="仿宋_GB2312" w:hAnsi="仿宋_GB2312" w:cs="仿宋_GB2312"/>
                <w:b w:val="0"/>
                <w:bCs w:val="0"/>
                <w:sz w:val="24"/>
                <w:szCs w:val="24"/>
                <w:vertAlign w:val="baseline"/>
                <w:lang w:val="en-US" w:eastAsia="zh-CN"/>
              </w:rPr>
              <w:t xml:space="preserve">  </w:t>
            </w:r>
            <w:r>
              <w:rPr>
                <w:rFonts w:hint="eastAsia" w:ascii="仿宋_GB2312" w:hAnsi="仿宋_GB2312" w:eastAsia="仿宋_GB2312" w:cs="仿宋_GB2312"/>
                <w:b w:val="0"/>
                <w:bCs w:val="0"/>
                <w:sz w:val="24"/>
                <w:szCs w:val="24"/>
                <w:vertAlign w:val="baseline"/>
                <w:lang w:val="en-US" w:eastAsia="zh-CN"/>
              </w:rPr>
              <w:t>日</w:t>
            </w:r>
          </w:p>
          <w:p w14:paraId="0B4397FE">
            <w:pPr>
              <w:pStyle w:val="2"/>
              <w:rPr>
                <w:rFonts w:hint="default"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（文件印发后3个工作日，最长不超过20个工作日）</w:t>
            </w:r>
          </w:p>
        </w:tc>
      </w:tr>
      <w:tr w14:paraId="0AE4C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0" w:hRule="atLeast"/>
          <w:jc w:val="center"/>
        </w:trPr>
        <w:tc>
          <w:tcPr>
            <w:tcW w:w="1346" w:type="dxa"/>
            <w:vAlign w:val="center"/>
          </w:tcPr>
          <w:p w14:paraId="3792351F">
            <w:pPr>
              <w:pStyle w:val="2"/>
              <w:ind w:left="0" w:leftChars="0" w:firstLine="0" w:firstLineChars="0"/>
              <w:jc w:val="center"/>
              <w:rPr>
                <w:rFonts w:hint="eastAsia" w:ascii="仿宋_GB2312" w:hAnsi="仿宋_GB2312" w:eastAsia="仿宋_GB2312" w:cs="仿宋_GB2312"/>
                <w:b w:val="0"/>
                <w:bCs w:val="0"/>
                <w:kern w:val="2"/>
                <w:sz w:val="24"/>
                <w:szCs w:val="24"/>
                <w:lang w:val="en-US" w:eastAsia="zh-CN" w:bidi="ar-SA"/>
              </w:rPr>
            </w:pPr>
            <w:r>
              <w:rPr>
                <w:rFonts w:hint="eastAsia" w:ascii="仿宋_GB2312" w:hAnsi="仿宋_GB2312" w:eastAsia="仿宋_GB2312" w:cs="仿宋_GB2312"/>
                <w:b/>
                <w:bCs/>
                <w:kern w:val="2"/>
                <w:sz w:val="24"/>
                <w:szCs w:val="24"/>
                <w:lang w:val="en-US" w:eastAsia="zh-CN" w:bidi="ar-SA"/>
              </w:rPr>
              <w:t>起草单</w:t>
            </w:r>
            <w:r>
              <w:rPr>
                <w:rFonts w:hint="eastAsia" w:ascii="仿宋_GB2312" w:hAnsi="仿宋_GB2312" w:cs="仿宋_GB2312"/>
                <w:b/>
                <w:bCs/>
                <w:kern w:val="2"/>
                <w:sz w:val="24"/>
                <w:szCs w:val="24"/>
                <w:lang w:val="en-US" w:eastAsia="zh-CN" w:bidi="ar-SA"/>
              </w:rPr>
              <w:t>位</w:t>
            </w:r>
            <w:r>
              <w:rPr>
                <w:rFonts w:hint="eastAsia" w:ascii="仿宋_GB2312" w:hAnsi="仿宋_GB2312" w:eastAsia="仿宋_GB2312" w:cs="仿宋_GB2312"/>
                <w:b/>
                <w:bCs/>
                <w:kern w:val="2"/>
                <w:sz w:val="24"/>
                <w:szCs w:val="24"/>
                <w:lang w:val="en-US" w:eastAsia="zh-CN" w:bidi="ar-SA"/>
              </w:rPr>
              <w:t>意见</w:t>
            </w:r>
          </w:p>
        </w:tc>
        <w:tc>
          <w:tcPr>
            <w:tcW w:w="7200" w:type="dxa"/>
          </w:tcPr>
          <w:p w14:paraId="49EEAE28">
            <w:pPr>
              <w:pStyle w:val="2"/>
              <w:ind w:left="0" w:leftChars="0" w:firstLine="0" w:firstLineChars="0"/>
              <w:rPr>
                <w:rFonts w:hint="eastAsia" w:ascii="仿宋_GB2312" w:hAnsi="仿宋_GB2312" w:eastAsia="仿宋_GB2312" w:cs="仿宋_GB2312"/>
                <w:b w:val="0"/>
                <w:bCs w:val="0"/>
                <w:sz w:val="24"/>
                <w:szCs w:val="24"/>
                <w:vertAlign w:val="baseline"/>
                <w:lang w:val="en-US" w:eastAsia="zh-CN"/>
              </w:rPr>
            </w:pPr>
          </w:p>
          <w:p w14:paraId="641A9FCF">
            <w:pPr>
              <w:pStyle w:val="2"/>
              <w:ind w:left="0" w:leftChars="0" w:firstLine="0" w:firstLineChars="0"/>
              <w:rPr>
                <w:rFonts w:hint="eastAsia" w:ascii="仿宋_GB2312" w:hAnsi="仿宋_GB2312" w:eastAsia="仿宋_GB2312" w:cs="仿宋_GB2312"/>
                <w:b w:val="0"/>
                <w:bCs w:val="0"/>
                <w:sz w:val="24"/>
                <w:szCs w:val="24"/>
                <w:vertAlign w:val="baseline"/>
                <w:lang w:val="en-US" w:eastAsia="zh-CN"/>
              </w:rPr>
            </w:pPr>
          </w:p>
          <w:p w14:paraId="376BF68F">
            <w:pPr>
              <w:pStyle w:val="2"/>
              <w:ind w:left="0" w:leftChars="0" w:firstLine="0" w:firstLineChars="0"/>
              <w:rPr>
                <w:rFonts w:hint="eastAsia" w:ascii="仿宋_GB2312" w:hAnsi="仿宋_GB2312" w:eastAsia="仿宋_GB2312" w:cs="仿宋_GB2312"/>
                <w:b w:val="0"/>
                <w:bCs w:val="0"/>
                <w:sz w:val="24"/>
                <w:szCs w:val="24"/>
                <w:vertAlign w:val="baseline"/>
                <w:lang w:val="en-US" w:eastAsia="zh-CN"/>
              </w:rPr>
            </w:pPr>
          </w:p>
          <w:p w14:paraId="07F62C3A">
            <w:pPr>
              <w:pStyle w:val="2"/>
              <w:ind w:left="0" w:leftChars="0" w:firstLine="0" w:firstLineChars="0"/>
              <w:rPr>
                <w:rFonts w:hint="eastAsia" w:ascii="仿宋_GB2312" w:hAnsi="仿宋_GB2312" w:eastAsia="仿宋_GB2312" w:cs="仿宋_GB2312"/>
                <w:b w:val="0"/>
                <w:bCs w:val="0"/>
                <w:sz w:val="24"/>
                <w:szCs w:val="24"/>
                <w:vertAlign w:val="baseline"/>
                <w:lang w:val="en-US" w:eastAsia="zh-CN"/>
              </w:rPr>
            </w:pPr>
          </w:p>
          <w:p w14:paraId="698B3452">
            <w:pPr>
              <w:pStyle w:val="2"/>
              <w:ind w:left="0" w:leftChars="0" w:firstLine="3120" w:firstLineChars="1300"/>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单位（盖章）：</w:t>
            </w:r>
          </w:p>
          <w:p w14:paraId="566250D8">
            <w:pPr>
              <w:pStyle w:val="2"/>
              <w:ind w:firstLine="5040" w:firstLineChars="2100"/>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年</w:t>
            </w:r>
            <w:r>
              <w:rPr>
                <w:rFonts w:hint="eastAsia" w:ascii="仿宋_GB2312" w:hAnsi="仿宋_GB2312" w:cs="仿宋_GB2312"/>
                <w:b w:val="0"/>
                <w:bCs w:val="0"/>
                <w:sz w:val="24"/>
                <w:szCs w:val="24"/>
                <w:vertAlign w:val="baseline"/>
                <w:lang w:val="en-US" w:eastAsia="zh-CN"/>
              </w:rPr>
              <w:t xml:space="preserve">  </w:t>
            </w:r>
            <w:r>
              <w:rPr>
                <w:rFonts w:hint="eastAsia" w:ascii="仿宋_GB2312" w:hAnsi="仿宋_GB2312" w:eastAsia="仿宋_GB2312" w:cs="仿宋_GB2312"/>
                <w:b w:val="0"/>
                <w:bCs w:val="0"/>
                <w:sz w:val="24"/>
                <w:szCs w:val="24"/>
                <w:vertAlign w:val="baseline"/>
                <w:lang w:val="en-US" w:eastAsia="zh-CN"/>
              </w:rPr>
              <w:t>月</w:t>
            </w:r>
            <w:r>
              <w:rPr>
                <w:rFonts w:hint="eastAsia" w:ascii="仿宋_GB2312" w:hAnsi="仿宋_GB2312" w:cs="仿宋_GB2312"/>
                <w:b w:val="0"/>
                <w:bCs w:val="0"/>
                <w:sz w:val="24"/>
                <w:szCs w:val="24"/>
                <w:vertAlign w:val="baseline"/>
                <w:lang w:val="en-US" w:eastAsia="zh-CN"/>
              </w:rPr>
              <w:t xml:space="preserve">  </w:t>
            </w:r>
            <w:r>
              <w:rPr>
                <w:rFonts w:hint="eastAsia" w:ascii="仿宋_GB2312" w:hAnsi="仿宋_GB2312" w:eastAsia="仿宋_GB2312" w:cs="仿宋_GB2312"/>
                <w:b w:val="0"/>
                <w:bCs w:val="0"/>
                <w:sz w:val="24"/>
                <w:szCs w:val="24"/>
                <w:vertAlign w:val="baseline"/>
                <w:lang w:val="en-US" w:eastAsia="zh-CN"/>
              </w:rPr>
              <w:t>日</w:t>
            </w:r>
          </w:p>
        </w:tc>
      </w:tr>
    </w:tbl>
    <w:p w14:paraId="398A304E">
      <w:pPr>
        <w:pStyle w:val="2"/>
        <w:keepNext w:val="0"/>
        <w:keepLines w:val="0"/>
        <w:pageBreakBefore w:val="0"/>
        <w:widowControl w:val="0"/>
        <w:kinsoku/>
        <w:wordWrap/>
        <w:overflowPunct/>
        <w:topLinePunct w:val="0"/>
        <w:autoSpaceDE/>
        <w:autoSpaceDN/>
        <w:bidi w:val="0"/>
        <w:adjustRightInd/>
        <w:snapToGrid w:val="0"/>
        <w:ind w:firstLine="480" w:firstLineChars="200"/>
        <w:jc w:val="both"/>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备注：</w:t>
      </w:r>
    </w:p>
    <w:p w14:paraId="1E44EC58">
      <w:pPr>
        <w:pStyle w:val="2"/>
        <w:keepNext w:val="0"/>
        <w:keepLines w:val="0"/>
        <w:pageBreakBefore w:val="0"/>
        <w:widowControl w:val="0"/>
        <w:numPr>
          <w:ilvl w:val="0"/>
          <w:numId w:val="0"/>
        </w:numPr>
        <w:kinsoku/>
        <w:wordWrap/>
        <w:overflowPunct/>
        <w:topLinePunct w:val="0"/>
        <w:autoSpaceDE/>
        <w:autoSpaceDN/>
        <w:bidi w:val="0"/>
        <w:adjustRightInd/>
        <w:snapToGrid w:val="0"/>
        <w:ind w:left="0" w:leftChars="0" w:firstLine="480" w:firstLineChars="200"/>
        <w:jc w:val="both"/>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kern w:val="2"/>
          <w:sz w:val="24"/>
          <w:szCs w:val="24"/>
          <w:vertAlign w:val="baseline"/>
          <w:lang w:val="en-US" w:eastAsia="zh-CN" w:bidi="ar-SA"/>
        </w:rPr>
        <w:t>1.</w:t>
      </w:r>
      <w:r>
        <w:rPr>
          <w:rFonts w:hint="eastAsia" w:ascii="仿宋_GB2312" w:hAnsi="仿宋_GB2312" w:eastAsia="仿宋_GB2312" w:cs="仿宋_GB2312"/>
          <w:b w:val="0"/>
          <w:bCs w:val="0"/>
          <w:sz w:val="24"/>
          <w:szCs w:val="24"/>
          <w:vertAlign w:val="baseline"/>
          <w:lang w:val="en-US" w:eastAsia="zh-CN"/>
        </w:rPr>
        <w:t>带＊的选项，原则上为必选项；</w:t>
      </w:r>
    </w:p>
    <w:p w14:paraId="13DC5C22">
      <w:pPr>
        <w:pStyle w:val="2"/>
        <w:keepNext w:val="0"/>
        <w:keepLines w:val="0"/>
        <w:pageBreakBefore w:val="0"/>
        <w:widowControl w:val="0"/>
        <w:numPr>
          <w:ilvl w:val="0"/>
          <w:numId w:val="0"/>
        </w:numPr>
        <w:kinsoku/>
        <w:wordWrap/>
        <w:overflowPunct/>
        <w:topLinePunct w:val="0"/>
        <w:autoSpaceDE/>
        <w:autoSpaceDN/>
        <w:bidi w:val="0"/>
        <w:adjustRightInd/>
        <w:snapToGrid w:val="0"/>
        <w:ind w:left="720" w:leftChars="150" w:hanging="240" w:hangingChars="100"/>
        <w:jc w:val="both"/>
        <w:textAlignment w:val="auto"/>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kern w:val="2"/>
          <w:sz w:val="24"/>
          <w:szCs w:val="24"/>
          <w:vertAlign w:val="baseline"/>
          <w:lang w:val="en-US" w:eastAsia="zh-CN" w:bidi="ar-SA"/>
        </w:rPr>
        <w:t>2.</w:t>
      </w:r>
      <w:r>
        <w:rPr>
          <w:rFonts w:hint="eastAsia" w:ascii="仿宋_GB2312" w:hAnsi="仿宋_GB2312" w:eastAsia="仿宋_GB2312" w:cs="仿宋_GB2312"/>
          <w:b w:val="0"/>
          <w:bCs w:val="0"/>
          <w:sz w:val="24"/>
          <w:szCs w:val="24"/>
          <w:vertAlign w:val="baseline"/>
          <w:lang w:val="en-US" w:eastAsia="zh-CN"/>
        </w:rPr>
        <w:t>一般政策文件由牵头部门主要负责人或安排专人解读；对县政府出台的重要政策文件需要县长或副县长进行解读的，由部门提出申请，县政府办统筹协调安排。</w:t>
      </w:r>
    </w:p>
    <w:p w14:paraId="3EF211CD">
      <w:pPr>
        <w:pStyle w:val="2"/>
        <w:keepNext w:val="0"/>
        <w:keepLines w:val="0"/>
        <w:pageBreakBefore w:val="0"/>
        <w:widowControl w:val="0"/>
        <w:kinsoku/>
        <w:wordWrap/>
        <w:overflowPunct/>
        <w:topLinePunct w:val="0"/>
        <w:autoSpaceDE/>
        <w:autoSpaceDN/>
        <w:bidi w:val="0"/>
        <w:adjustRightInd/>
        <w:snapToGrid w:val="0"/>
        <w:ind w:left="720" w:leftChars="150" w:hanging="240" w:hangingChars="100"/>
        <w:jc w:val="both"/>
        <w:textAlignment w:val="auto"/>
        <w:rPr>
          <w:rFonts w:hint="default"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3.需要以县政府名义召开新闻发布会的，由解读部门申请提出报县政府办按流程进行审批。</w:t>
      </w:r>
      <w:r>
        <w:rPr>
          <w:rFonts w:hint="eastAsia" w:ascii="仿宋_GB2312" w:hAnsi="仿宋_GB2312" w:cs="仿宋_GB2312"/>
          <w:b w:val="0"/>
          <w:bCs w:val="0"/>
          <w:sz w:val="24"/>
          <w:szCs w:val="24"/>
          <w:vertAlign w:val="baseline"/>
          <w:lang w:val="en-US" w:eastAsia="zh-CN"/>
        </w:rPr>
        <w:t xml:space="preserve"> </w:t>
      </w:r>
    </w:p>
    <w:p w14:paraId="6FCF2980">
      <w:pPr>
        <w:pStyle w:val="2"/>
        <w:keepNext w:val="0"/>
        <w:keepLines w:val="0"/>
        <w:pageBreakBefore w:val="0"/>
        <w:widowControl w:val="0"/>
        <w:kinsoku/>
        <w:wordWrap/>
        <w:overflowPunct/>
        <w:topLinePunct w:val="0"/>
        <w:autoSpaceDE/>
        <w:autoSpaceDN/>
        <w:bidi w:val="0"/>
        <w:adjustRightInd/>
        <w:snapToGrid w:val="0"/>
        <w:spacing w:line="620" w:lineRule="exact"/>
        <w:jc w:val="center"/>
        <w:textAlignment w:val="auto"/>
        <w:rPr>
          <w:rFonts w:hint="eastAsia" w:ascii="华文中宋" w:hAnsi="华文中宋" w:eastAsia="华文中宋" w:cs="华文中宋"/>
          <w:sz w:val="42"/>
          <w:szCs w:val="42"/>
          <w:lang w:eastAsia="zh-CN"/>
        </w:rPr>
      </w:pPr>
      <w:r>
        <w:rPr>
          <w:rFonts w:hint="eastAsia" w:ascii="华文中宋" w:hAnsi="华文中宋" w:eastAsia="华文中宋" w:cs="华文中宋"/>
          <w:sz w:val="42"/>
          <w:szCs w:val="42"/>
          <w:lang w:eastAsia="zh-CN"/>
        </w:rPr>
        <w:t>文字解读参考样式</w:t>
      </w:r>
    </w:p>
    <w:p w14:paraId="441B100C">
      <w:pPr>
        <w:pStyle w:val="2"/>
        <w:keepNext w:val="0"/>
        <w:keepLines w:val="0"/>
        <w:pageBreakBefore w:val="0"/>
        <w:widowControl w:val="0"/>
        <w:kinsoku/>
        <w:wordWrap/>
        <w:overflowPunct/>
        <w:topLinePunct w:val="0"/>
        <w:autoSpaceDE/>
        <w:autoSpaceDN/>
        <w:bidi w:val="0"/>
        <w:adjustRightInd/>
        <w:snapToGrid w:val="0"/>
        <w:spacing w:line="620" w:lineRule="exact"/>
        <w:textAlignment w:val="auto"/>
        <w:rPr>
          <w:rFonts w:hint="eastAsia" w:ascii="仿宋_GB2312" w:hAnsi="仿宋_GB2312" w:eastAsia="仿宋_GB2312" w:cs="仿宋_GB2312"/>
          <w:lang w:eastAsia="zh-CN"/>
        </w:rPr>
      </w:pPr>
    </w:p>
    <w:p w14:paraId="3BD5242C">
      <w:pPr>
        <w:pStyle w:val="2"/>
        <w:keepNext w:val="0"/>
        <w:keepLines w:val="0"/>
        <w:pageBreakBefore w:val="0"/>
        <w:widowControl w:val="0"/>
        <w:kinsoku/>
        <w:wordWrap/>
        <w:overflowPunct/>
        <w:topLinePunct w:val="0"/>
        <w:autoSpaceDE/>
        <w:autoSpaceDN/>
        <w:bidi w:val="0"/>
        <w:adjustRightInd/>
        <w:snapToGrid w:val="0"/>
        <w:spacing w:line="620" w:lineRule="exact"/>
        <w:jc w:val="center"/>
        <w:textAlignment w:val="auto"/>
        <w:rPr>
          <w:rFonts w:hint="eastAsia" w:ascii="华文中宋" w:hAnsi="华文中宋" w:eastAsia="华文中宋" w:cs="华文中宋"/>
          <w:sz w:val="34"/>
          <w:szCs w:val="34"/>
          <w:lang w:eastAsia="zh-CN"/>
        </w:rPr>
      </w:pPr>
      <w:r>
        <w:rPr>
          <w:rFonts w:hint="eastAsia" w:ascii="华文中宋" w:hAnsi="华文中宋" w:eastAsia="华文中宋" w:cs="华文中宋"/>
          <w:sz w:val="34"/>
          <w:szCs w:val="34"/>
          <w:lang w:eastAsia="zh-CN"/>
        </w:rPr>
        <w:t>XX部门关于对XXX文件的解读</w:t>
      </w:r>
    </w:p>
    <w:p w14:paraId="07F7FDDF">
      <w:pPr>
        <w:pStyle w:val="2"/>
        <w:keepNext w:val="0"/>
        <w:keepLines w:val="0"/>
        <w:pageBreakBefore w:val="0"/>
        <w:widowControl w:val="0"/>
        <w:kinsoku/>
        <w:wordWrap/>
        <w:overflowPunct/>
        <w:topLinePunct w:val="0"/>
        <w:autoSpaceDE/>
        <w:autoSpaceDN/>
        <w:bidi w:val="0"/>
        <w:adjustRightInd/>
        <w:snapToGrid w:val="0"/>
        <w:spacing w:line="620" w:lineRule="exact"/>
        <w:textAlignment w:val="auto"/>
        <w:rPr>
          <w:rFonts w:hint="eastAsia" w:ascii="仿宋_GB2312" w:hAnsi="仿宋_GB2312" w:eastAsia="仿宋_GB2312" w:cs="仿宋_GB2312"/>
          <w:lang w:eastAsia="zh-CN"/>
        </w:rPr>
      </w:pPr>
    </w:p>
    <w:p w14:paraId="65C05F08">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黑体" w:hAnsi="黑体" w:eastAsia="黑体" w:cs="黑体"/>
          <w:lang w:eastAsia="zh-CN"/>
        </w:rPr>
      </w:pPr>
      <w:r>
        <w:rPr>
          <w:rFonts w:hint="eastAsia" w:ascii="黑体" w:hAnsi="黑体" w:eastAsia="黑体" w:cs="黑体"/>
          <w:lang w:eastAsia="zh-CN"/>
        </w:rPr>
        <w:t>一、起草背景</w:t>
      </w:r>
    </w:p>
    <w:p w14:paraId="2FAACC6C">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仿宋_GB2312" w:hAnsi="仿宋_GB2312" w:eastAsia="仿宋_GB2312" w:cs="仿宋_GB2312"/>
          <w:lang w:eastAsia="zh-CN"/>
        </w:rPr>
      </w:pPr>
      <w:r>
        <w:rPr>
          <w:rFonts w:hint="eastAsia" w:ascii="仿宋_GB2312" w:hAnsi="仿宋_GB2312" w:eastAsia="仿宋_GB2312" w:cs="仿宋_GB2312"/>
          <w:lang w:eastAsia="zh-CN"/>
        </w:rPr>
        <w:t>说明文件出台的目的意义、背景以及必要性。</w:t>
      </w:r>
    </w:p>
    <w:p w14:paraId="2EF3D25A">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仿宋_GB2312" w:hAnsi="仿宋_GB2312" w:eastAsia="仿宋_GB2312" w:cs="仿宋_GB2312"/>
          <w:lang w:eastAsia="zh-CN"/>
        </w:rPr>
      </w:pPr>
      <w:r>
        <w:rPr>
          <w:rFonts w:hint="eastAsia" w:ascii="仿宋_GB2312" w:hAnsi="仿宋_GB2312" w:eastAsia="仿宋_GB2312" w:cs="仿宋_GB2312"/>
          <w:lang w:eastAsia="zh-CN"/>
        </w:rPr>
        <w:t>......</w:t>
      </w:r>
    </w:p>
    <w:p w14:paraId="1BB93224">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黑体" w:hAnsi="黑体" w:eastAsia="黑体" w:cs="黑体"/>
          <w:lang w:eastAsia="zh-CN"/>
        </w:rPr>
      </w:pPr>
      <w:r>
        <w:rPr>
          <w:rFonts w:hint="eastAsia" w:ascii="黑体" w:hAnsi="黑体" w:eastAsia="黑体" w:cs="黑体"/>
          <w:lang w:eastAsia="zh-CN"/>
        </w:rPr>
        <w:t>二、起草过程及文件依据</w:t>
      </w:r>
    </w:p>
    <w:p w14:paraId="7A6CDD60">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仿宋_GB2312" w:hAnsi="仿宋_GB2312" w:eastAsia="仿宋_GB2312" w:cs="仿宋_GB2312"/>
          <w:lang w:eastAsia="zh-CN"/>
        </w:rPr>
      </w:pPr>
      <w:r>
        <w:rPr>
          <w:rFonts w:hint="eastAsia" w:ascii="仿宋_GB2312" w:hAnsi="仿宋_GB2312" w:eastAsia="仿宋_GB2312" w:cs="仿宋_GB2312"/>
          <w:lang w:eastAsia="zh-CN"/>
        </w:rPr>
        <w:t>说明文件起草过程中参考的文件、开展调研、向社会公众征集意见（含网上公开征求意见、书面征求意见、召开座谈会等）、听证评估、政府常务会审议、司法合法性审查等情况。</w:t>
      </w:r>
    </w:p>
    <w:p w14:paraId="1E1581BE">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仿宋_GB2312" w:hAnsi="仿宋_GB2312" w:eastAsia="仿宋_GB2312" w:cs="仿宋_GB2312"/>
          <w:lang w:eastAsia="zh-CN"/>
        </w:rPr>
      </w:pPr>
      <w:r>
        <w:rPr>
          <w:rFonts w:hint="eastAsia" w:ascii="仿宋_GB2312" w:hAnsi="仿宋_GB2312" w:eastAsia="仿宋_GB2312" w:cs="仿宋_GB2312"/>
          <w:lang w:eastAsia="zh-CN"/>
        </w:rPr>
        <w:t>......</w:t>
      </w:r>
    </w:p>
    <w:p w14:paraId="007CCE2E">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黑体" w:hAnsi="黑体" w:eastAsia="黑体" w:cs="黑体"/>
          <w:lang w:eastAsia="zh-CN"/>
        </w:rPr>
      </w:pPr>
      <w:r>
        <w:rPr>
          <w:rFonts w:hint="eastAsia" w:ascii="黑体" w:hAnsi="黑体" w:eastAsia="黑体" w:cs="黑体"/>
          <w:lang w:eastAsia="zh-CN"/>
        </w:rPr>
        <w:t>三、主要内容</w:t>
      </w:r>
    </w:p>
    <w:p w14:paraId="2527E0A1">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仿宋_GB2312" w:hAnsi="仿宋_GB2312" w:eastAsia="仿宋_GB2312" w:cs="仿宋_GB2312"/>
          <w:lang w:eastAsia="zh-CN"/>
        </w:rPr>
      </w:pPr>
      <w:r>
        <w:rPr>
          <w:rFonts w:hint="eastAsia" w:ascii="仿宋_GB2312" w:hAnsi="仿宋_GB2312" w:eastAsia="仿宋_GB2312" w:cs="仿宋_GB2312"/>
          <w:lang w:eastAsia="zh-CN"/>
        </w:rPr>
        <w:t>说明文件的目标任务、主要措施、适用对象、执行标准、惠民利民举措、新旧政策差异对比等。</w:t>
      </w:r>
    </w:p>
    <w:p w14:paraId="4F12C9C7">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仿宋_GB2312" w:hAnsi="仿宋_GB2312" w:eastAsia="仿宋_GB2312" w:cs="仿宋_GB2312"/>
          <w:lang w:eastAsia="zh-CN"/>
        </w:rPr>
      </w:pPr>
      <w:r>
        <w:rPr>
          <w:rFonts w:hint="eastAsia" w:ascii="仿宋_GB2312" w:hAnsi="仿宋_GB2312" w:eastAsia="仿宋_GB2312" w:cs="仿宋_GB2312"/>
          <w:lang w:eastAsia="zh-CN"/>
        </w:rPr>
        <w:t>......</w:t>
      </w:r>
    </w:p>
    <w:p w14:paraId="4F3C8A15">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黑体" w:hAnsi="黑体" w:eastAsia="黑体" w:cs="黑体"/>
          <w:lang w:eastAsia="zh-CN"/>
        </w:rPr>
      </w:pPr>
      <w:r>
        <w:rPr>
          <w:rFonts w:hint="eastAsia" w:ascii="黑体" w:hAnsi="黑体" w:eastAsia="黑体" w:cs="黑体"/>
          <w:lang w:eastAsia="zh-CN"/>
        </w:rPr>
        <w:t>四、专业名词解释</w:t>
      </w:r>
    </w:p>
    <w:p w14:paraId="4451241B">
      <w:pPr>
        <w:pStyle w:val="2"/>
        <w:keepNext w:val="0"/>
        <w:keepLines w:val="0"/>
        <w:pageBreakBefore w:val="0"/>
        <w:widowControl w:val="0"/>
        <w:kinsoku/>
        <w:wordWrap/>
        <w:overflowPunct/>
        <w:topLinePunct w:val="0"/>
        <w:autoSpaceDE/>
        <w:autoSpaceDN/>
        <w:bidi w:val="0"/>
        <w:adjustRightInd/>
        <w:snapToGrid w:val="0"/>
        <w:spacing w:line="620" w:lineRule="exact"/>
        <w:ind w:firstLine="640" w:firstLineChars="200"/>
        <w:textAlignment w:val="auto"/>
        <w:rPr>
          <w:rFonts w:hint="eastAsia" w:ascii="仿宋_GB2312" w:hAnsi="仿宋_GB2312" w:eastAsia="仿宋_GB2312" w:cs="仿宋_GB2312"/>
          <w:lang w:eastAsia="zh-CN"/>
        </w:rPr>
      </w:pPr>
      <w:r>
        <w:rPr>
          <w:rFonts w:hint="eastAsia" w:ascii="仿宋_GB2312" w:hAnsi="仿宋_GB2312" w:eastAsia="仿宋_GB2312" w:cs="仿宋_GB2312"/>
          <w:lang w:eastAsia="zh-CN"/>
        </w:rPr>
        <w:t>......</w:t>
      </w:r>
    </w:p>
    <w:sectPr>
      <w:footerReference r:id="rId3" w:type="default"/>
      <w:pgSz w:w="11906" w:h="16838"/>
      <w:pgMar w:top="1701" w:right="1701" w:bottom="1701" w:left="1701" w:header="851" w:footer="1304"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F"/>
    <w:family w:val="auto"/>
    <w:pitch w:val="default"/>
    <w:sig w:usb0="00007A87" w:usb1="80000000" w:usb2="00000008"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0A87" w:usb1="00000000" w:usb2="00000000" w:usb3="00000000" w:csb0="400001BF" w:csb1="DFF7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楷体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104BEB">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47906A83">
                          <w:pPr>
                            <w:pStyle w:val="3"/>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14:paraId="47906A83">
                    <w:pPr>
                      <w:pStyle w:val="3"/>
                      <w:rPr>
                        <w:sz w:val="22"/>
                        <w:szCs w:val="22"/>
                      </w:rPr>
                    </w:pPr>
                    <w:r>
                      <w:rPr>
                        <w:sz w:val="22"/>
                        <w:szCs w:val="22"/>
                      </w:rPr>
                      <w:t xml:space="preserve">— </w:t>
                    </w:r>
                    <w:r>
                      <w:rPr>
                        <w:sz w:val="22"/>
                        <w:szCs w:val="22"/>
                      </w:rPr>
                      <w:fldChar w:fldCharType="begin"/>
                    </w:r>
                    <w:r>
                      <w:rPr>
                        <w:sz w:val="22"/>
                        <w:szCs w:val="22"/>
                      </w:rPr>
                      <w:instrText xml:space="preserve"> PAGE  \* MERGEFORMAT </w:instrText>
                    </w:r>
                    <w:r>
                      <w:rPr>
                        <w:sz w:val="22"/>
                        <w:szCs w:val="22"/>
                      </w:rPr>
                      <w:fldChar w:fldCharType="separate"/>
                    </w:r>
                    <w:r>
                      <w:rPr>
                        <w:sz w:val="22"/>
                        <w:szCs w:val="22"/>
                      </w:rPr>
                      <w:t>1</w:t>
                    </w:r>
                    <w:r>
                      <w:rPr>
                        <w:sz w:val="22"/>
                        <w:szCs w:val="22"/>
                      </w:rPr>
                      <w:fldChar w:fldCharType="end"/>
                    </w:r>
                    <w:r>
                      <w:rPr>
                        <w:sz w:val="22"/>
                        <w:szCs w:val="22"/>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Y3MmU0NjVlNjQ5NWJhMGNlNDc3NjgzNWU0NTJjZGEifQ=="/>
  </w:docVars>
  <w:rsids>
    <w:rsidRoot w:val="2492069A"/>
    <w:rsid w:val="0C5E64F5"/>
    <w:rsid w:val="0F792347"/>
    <w:rsid w:val="2492069A"/>
    <w:rsid w:val="2A3D2E49"/>
    <w:rsid w:val="52971A97"/>
    <w:rsid w:val="6A1200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iPriority="99"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仿宋_GB2312"/>
      <w:kern w:val="2"/>
      <w:sz w:val="32"/>
      <w:szCs w:val="32"/>
      <w:lang w:val="en-US" w:eastAsia="zh-CN" w:bidi="ar-SA"/>
    </w:rPr>
  </w:style>
  <w:style w:type="character" w:default="1" w:styleId="7">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endnote text"/>
    <w:basedOn w:val="1"/>
    <w:semiHidden/>
    <w:unhideWhenUsed/>
    <w:qFormat/>
    <w:uiPriority w:val="99"/>
    <w:pPr>
      <w:snapToGrid w:val="0"/>
      <w:jc w:val="left"/>
    </w:p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4</TotalTime>
  <ScaleCrop>false</ScaleCrop>
  <LinksUpToDate>false</LinksUpToDate>
  <CharactersWithSpaces>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2024-09-20T02:17:00Z</dcterms:created>
  <dc:creator>丹</dc:creator>
  <cp:lastModifiedBy>丹</cp:lastModifiedBy>
  <dcterms:modified xsi:type="dcterms:W3CDTF">2024-09-20T02:26:44Z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E1A47104A1724388BCEDFBA726E498D9_11</vt:lpwstr>
  </property>
</Properties>
</file>