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center"/>
        <w:outlineLvl w:val="0"/>
      </w:pPr>
      <w:r>
        <w:rPr>
          <w:rFonts w:hint="eastAsia" w:ascii="宋体" w:hAnsi="宋体" w:eastAsia="宋体" w:cs="宋体"/>
          <w:b/>
          <w:bCs/>
          <w:color w:val="000000"/>
          <w:kern w:val="0"/>
          <w:sz w:val="52"/>
          <w:szCs w:val="52"/>
          <w:lang w:val="en-US" w:eastAsia="zh-CN" w:bidi="ar"/>
        </w:rPr>
        <w:t>2022年度</w:t>
      </w:r>
    </w:p>
    <w:p>
      <w:pPr>
        <w:keepNext w:val="0"/>
        <w:keepLines w:val="0"/>
        <w:widowControl/>
        <w:suppressLineNumbers w:val="0"/>
        <w:jc w:val="center"/>
        <w:outlineLvl w:val="0"/>
      </w:pPr>
      <w:r>
        <w:rPr>
          <w:rFonts w:hint="eastAsia" w:ascii="宋体" w:hAnsi="宋体" w:eastAsia="宋体" w:cs="宋体"/>
          <w:b/>
          <w:bCs/>
          <w:color w:val="000000"/>
          <w:kern w:val="0"/>
          <w:sz w:val="52"/>
          <w:szCs w:val="52"/>
          <w:lang w:val="en-US" w:eastAsia="zh-CN" w:bidi="ar"/>
        </w:rPr>
        <w:t>衡南县交通运输综合行政执法大队部门决算</w:t>
      </w:r>
    </w:p>
    <w:p>
      <w:pPr>
        <w:keepNext w:val="0"/>
        <w:keepLines w:val="0"/>
        <w:widowControl/>
        <w:suppressLineNumbers w:val="0"/>
        <w:jc w:val="left"/>
        <w:outlineLvl w:val="0"/>
      </w:pPr>
      <w:r>
        <w:rPr>
          <w:rFonts w:ascii="仿宋" w:hAnsi="仿宋" w:eastAsia="仿宋" w:cs="仿宋"/>
          <w:b/>
          <w:bCs/>
          <w:color w:val="000000"/>
          <w:kern w:val="0"/>
          <w:sz w:val="32"/>
          <w:szCs w:val="32"/>
          <w:lang w:val="en-US" w:eastAsia="zh-CN" w:bidi="ar"/>
        </w:rPr>
        <w:t xml:space="preserve">目 录 </w:t>
      </w:r>
    </w:p>
    <w:p>
      <w:pPr>
        <w:keepNext w:val="0"/>
        <w:keepLines w:val="0"/>
        <w:widowControl/>
        <w:suppressLineNumbers w:val="0"/>
        <w:jc w:val="left"/>
        <w:outlineLvl w:val="0"/>
      </w:pPr>
      <w:r>
        <w:rPr>
          <w:rFonts w:hint="eastAsia" w:ascii="仿宋" w:hAnsi="仿宋" w:eastAsia="仿宋" w:cs="仿宋"/>
          <w:b/>
          <w:bCs/>
          <w:color w:val="000000"/>
          <w:kern w:val="0"/>
          <w:sz w:val="28"/>
          <w:szCs w:val="28"/>
          <w:lang w:val="en-US" w:eastAsia="zh-CN" w:bidi="ar"/>
        </w:rPr>
        <w:t xml:space="preserve">第一部分部门概况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一、部门职责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二、机构设置 </w:t>
      </w:r>
    </w:p>
    <w:p>
      <w:pPr>
        <w:keepNext w:val="0"/>
        <w:keepLines w:val="0"/>
        <w:widowControl/>
        <w:suppressLineNumbers w:val="0"/>
        <w:jc w:val="left"/>
        <w:outlineLvl w:val="0"/>
      </w:pPr>
      <w:r>
        <w:rPr>
          <w:rFonts w:hint="eastAsia" w:ascii="仿宋" w:hAnsi="仿宋" w:eastAsia="仿宋" w:cs="仿宋"/>
          <w:b/>
          <w:bCs/>
          <w:color w:val="000000"/>
          <w:kern w:val="0"/>
          <w:sz w:val="28"/>
          <w:szCs w:val="28"/>
          <w:lang w:val="en-US" w:eastAsia="zh-CN" w:bidi="ar"/>
        </w:rPr>
        <w:t xml:space="preserve">第二部分部门决算表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一、收入支出决算总表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二、收入决算表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三、支出决算表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四、财政拨款收入支出决算总表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五、一般公共预算财政拨款支出决算表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六、一般公共预算财政拨款基本支出决算明细表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七、政府性基金预算财政拨款收入支出决算表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八、国有资本经营预算财政拨款支出决算表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九、一般公共预算财政拨款“三公”经费支出决算表 </w:t>
      </w:r>
    </w:p>
    <w:p>
      <w:pPr>
        <w:keepNext w:val="0"/>
        <w:keepLines w:val="0"/>
        <w:widowControl/>
        <w:suppressLineNumbers w:val="0"/>
        <w:jc w:val="left"/>
        <w:outlineLvl w:val="0"/>
      </w:pPr>
      <w:r>
        <w:rPr>
          <w:rFonts w:hint="eastAsia" w:ascii="仿宋" w:hAnsi="仿宋" w:eastAsia="仿宋" w:cs="仿宋"/>
          <w:b/>
          <w:bCs/>
          <w:color w:val="000000"/>
          <w:kern w:val="0"/>
          <w:sz w:val="28"/>
          <w:szCs w:val="28"/>
          <w:lang w:val="en-US" w:eastAsia="zh-CN" w:bidi="ar"/>
        </w:rPr>
        <w:t xml:space="preserve">第三部分部门决算情况说明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一、收入支出决算总体情况说明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二、收入决算情况说明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三、支出决算情况说明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四、财政拨款收入支出决算总体情况说明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五、一般公共预算财政拨款支出决算情况说明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六、一般公共预算财政拨款基本支出决算情况说明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七、一般公共预算财政拨款三公经费支出决算情况说明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八、政府性基金预算收入支出决算情况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九、</w:t>
      </w:r>
      <w:r>
        <w:rPr>
          <w:rFonts w:hint="eastAsia" w:ascii="仿宋" w:hAnsi="仿宋" w:eastAsia="仿宋" w:cs="仿宋"/>
          <w:color w:val="333333"/>
          <w:kern w:val="0"/>
          <w:sz w:val="28"/>
          <w:szCs w:val="28"/>
          <w:lang w:val="en-US" w:eastAsia="zh-CN" w:bidi="ar"/>
        </w:rPr>
        <w:t xml:space="preserve">国有资本经营预算财政拨款支出情况说明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十、关于机关运行经费支出说明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十一、一般性支出情况说明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十二、关于政府采购支出说明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十三、关于国有资产占用情况说明 </w:t>
      </w:r>
    </w:p>
    <w:p>
      <w:pPr>
        <w:keepNext w:val="0"/>
        <w:keepLines w:val="0"/>
        <w:widowControl/>
        <w:suppressLineNumbers w:val="0"/>
        <w:jc w:val="left"/>
        <w:outlineLvl w:val="1"/>
      </w:pPr>
      <w:r>
        <w:rPr>
          <w:rFonts w:hint="eastAsia" w:ascii="仿宋" w:hAnsi="仿宋" w:eastAsia="仿宋" w:cs="仿宋"/>
          <w:color w:val="000000"/>
          <w:kern w:val="0"/>
          <w:sz w:val="28"/>
          <w:szCs w:val="28"/>
          <w:lang w:val="en-US" w:eastAsia="zh-CN" w:bidi="ar"/>
        </w:rPr>
        <w:t xml:space="preserve">十四、关于预算绩效情况的说明 </w:t>
      </w:r>
    </w:p>
    <w:p>
      <w:pPr>
        <w:keepNext w:val="0"/>
        <w:keepLines w:val="0"/>
        <w:widowControl/>
        <w:suppressLineNumbers w:val="0"/>
        <w:jc w:val="left"/>
        <w:outlineLvl w:val="0"/>
      </w:pPr>
      <w:r>
        <w:rPr>
          <w:rFonts w:hint="eastAsia" w:ascii="仿宋" w:hAnsi="仿宋" w:eastAsia="仿宋" w:cs="仿宋"/>
          <w:b/>
          <w:bCs/>
          <w:color w:val="000000"/>
          <w:kern w:val="0"/>
          <w:sz w:val="28"/>
          <w:szCs w:val="28"/>
          <w:lang w:val="en-US" w:eastAsia="zh-CN" w:bidi="ar"/>
        </w:rPr>
        <w:t xml:space="preserve">第四部分名词解释 </w:t>
      </w:r>
    </w:p>
    <w:p>
      <w:pPr>
        <w:keepNext w:val="0"/>
        <w:keepLines w:val="0"/>
        <w:widowControl/>
        <w:suppressLineNumbers w:val="0"/>
        <w:jc w:val="left"/>
        <w:outlineLvl w:val="0"/>
        <w:rPr>
          <w:rFonts w:hint="eastAsia" w:ascii="仿宋" w:hAnsi="仿宋" w:eastAsia="仿宋" w:cs="仿宋"/>
          <w:b/>
          <w:bCs/>
          <w:color w:val="000000"/>
          <w:kern w:val="0"/>
          <w:sz w:val="28"/>
          <w:szCs w:val="28"/>
          <w:lang w:val="en-US" w:eastAsia="zh-CN" w:bidi="ar"/>
        </w:rPr>
      </w:pPr>
      <w:r>
        <w:rPr>
          <w:rFonts w:hint="eastAsia" w:ascii="仿宋" w:hAnsi="仿宋" w:eastAsia="仿宋" w:cs="仿宋"/>
          <w:b/>
          <w:bCs/>
          <w:color w:val="000000"/>
          <w:kern w:val="0"/>
          <w:sz w:val="28"/>
          <w:szCs w:val="28"/>
          <w:lang w:val="en-US" w:eastAsia="zh-CN" w:bidi="ar"/>
        </w:rPr>
        <w:t xml:space="preserve">第五部分附件 </w:t>
      </w:r>
    </w:p>
    <w:p>
      <w:pPr>
        <w:keepNext w:val="0"/>
        <w:keepLines w:val="0"/>
        <w:widowControl/>
        <w:suppressLineNumbers w:val="0"/>
        <w:jc w:val="left"/>
        <w:rPr>
          <w:rFonts w:hint="eastAsia" w:ascii="仿宋" w:hAnsi="仿宋" w:eastAsia="仿宋" w:cs="仿宋"/>
          <w:b/>
          <w:bCs/>
          <w:color w:val="000000"/>
          <w:kern w:val="0"/>
          <w:sz w:val="28"/>
          <w:szCs w:val="28"/>
          <w:lang w:val="en-US" w:eastAsia="zh-CN" w:bidi="ar"/>
        </w:rPr>
      </w:pPr>
    </w:p>
    <w:p>
      <w:pPr>
        <w:keepNext w:val="0"/>
        <w:keepLines w:val="0"/>
        <w:widowControl/>
        <w:suppressLineNumbers w:val="0"/>
        <w:jc w:val="left"/>
        <w:rPr>
          <w:rFonts w:hint="eastAsia" w:ascii="仿宋" w:hAnsi="仿宋" w:eastAsia="仿宋" w:cs="仿宋"/>
          <w:b/>
          <w:bCs/>
          <w:color w:val="000000"/>
          <w:kern w:val="0"/>
          <w:sz w:val="28"/>
          <w:szCs w:val="28"/>
          <w:lang w:val="en-US" w:eastAsia="zh-CN" w:bidi="ar"/>
        </w:rPr>
      </w:pPr>
    </w:p>
    <w:p>
      <w:pPr>
        <w:keepNext w:val="0"/>
        <w:keepLines w:val="0"/>
        <w:widowControl/>
        <w:suppressLineNumbers w:val="0"/>
        <w:jc w:val="left"/>
        <w:rPr>
          <w:rFonts w:hint="eastAsia" w:ascii="仿宋" w:hAnsi="仿宋" w:eastAsia="仿宋" w:cs="仿宋"/>
          <w:b/>
          <w:bCs/>
          <w:color w:val="000000"/>
          <w:kern w:val="0"/>
          <w:sz w:val="28"/>
          <w:szCs w:val="28"/>
          <w:lang w:val="en-US" w:eastAsia="zh-CN" w:bidi="ar"/>
        </w:rPr>
      </w:pPr>
    </w:p>
    <w:p>
      <w:pPr>
        <w:keepNext w:val="0"/>
        <w:keepLines w:val="0"/>
        <w:widowControl/>
        <w:suppressLineNumbers w:val="0"/>
        <w:jc w:val="left"/>
        <w:rPr>
          <w:rFonts w:hint="eastAsia" w:ascii="仿宋" w:hAnsi="仿宋" w:eastAsia="仿宋" w:cs="仿宋"/>
          <w:b/>
          <w:bCs/>
          <w:color w:val="000000"/>
          <w:kern w:val="0"/>
          <w:sz w:val="28"/>
          <w:szCs w:val="28"/>
          <w:lang w:val="en-US" w:eastAsia="zh-CN" w:bidi="ar"/>
        </w:rPr>
      </w:pPr>
    </w:p>
    <w:p>
      <w:pPr>
        <w:keepNext w:val="0"/>
        <w:keepLines w:val="0"/>
        <w:widowControl/>
        <w:suppressLineNumbers w:val="0"/>
        <w:jc w:val="left"/>
        <w:rPr>
          <w:rFonts w:hint="eastAsia" w:ascii="仿宋" w:hAnsi="仿宋" w:eastAsia="仿宋" w:cs="仿宋"/>
          <w:b/>
          <w:bCs/>
          <w:color w:val="000000"/>
          <w:kern w:val="0"/>
          <w:sz w:val="28"/>
          <w:szCs w:val="28"/>
          <w:lang w:val="en-US" w:eastAsia="zh-CN" w:bidi="ar"/>
        </w:rPr>
      </w:pPr>
    </w:p>
    <w:p>
      <w:pPr>
        <w:keepNext w:val="0"/>
        <w:keepLines w:val="0"/>
        <w:widowControl/>
        <w:suppressLineNumbers w:val="0"/>
        <w:jc w:val="left"/>
        <w:rPr>
          <w:rFonts w:hint="eastAsia" w:ascii="仿宋" w:hAnsi="仿宋" w:eastAsia="仿宋" w:cs="仿宋"/>
          <w:b/>
          <w:bCs/>
          <w:color w:val="000000"/>
          <w:kern w:val="0"/>
          <w:sz w:val="28"/>
          <w:szCs w:val="28"/>
          <w:lang w:val="en-US" w:eastAsia="zh-CN" w:bidi="ar"/>
        </w:rPr>
      </w:pPr>
    </w:p>
    <w:p>
      <w:pPr>
        <w:keepNext w:val="0"/>
        <w:keepLines w:val="0"/>
        <w:widowControl/>
        <w:suppressLineNumbers w:val="0"/>
        <w:jc w:val="left"/>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left"/>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pPr>
      <w:r>
        <w:rPr>
          <w:rFonts w:hint="eastAsia" w:ascii="仿宋" w:hAnsi="仿宋" w:eastAsia="仿宋" w:cs="仿宋"/>
          <w:b/>
          <w:bCs/>
          <w:color w:val="000000"/>
          <w:kern w:val="0"/>
          <w:sz w:val="52"/>
          <w:szCs w:val="52"/>
          <w:lang w:val="en-US" w:eastAsia="zh-CN" w:bidi="ar"/>
        </w:rPr>
        <w:t>第一部分</w:t>
      </w:r>
    </w:p>
    <w:p>
      <w:pPr>
        <w:keepNext w:val="0"/>
        <w:keepLines w:val="0"/>
        <w:widowControl/>
        <w:suppressLineNumbers w:val="0"/>
        <w:jc w:val="center"/>
        <w:outlineLvl w:val="0"/>
        <w:rPr>
          <w:rFonts w:hint="eastAsia" w:ascii="仿宋" w:hAnsi="仿宋" w:eastAsia="仿宋" w:cs="仿宋"/>
          <w:b/>
          <w:bCs/>
          <w:color w:val="000000"/>
          <w:kern w:val="0"/>
          <w:sz w:val="52"/>
          <w:szCs w:val="52"/>
          <w:lang w:val="en-US" w:eastAsia="zh-CN" w:bidi="ar"/>
        </w:rPr>
      </w:pPr>
      <w:r>
        <w:rPr>
          <w:rFonts w:hint="eastAsia" w:ascii="仿宋" w:hAnsi="仿宋" w:eastAsia="仿宋" w:cs="仿宋"/>
          <w:b/>
          <w:bCs/>
          <w:color w:val="000000"/>
          <w:kern w:val="0"/>
          <w:sz w:val="52"/>
          <w:szCs w:val="52"/>
          <w:lang w:val="en-US" w:eastAsia="zh-CN" w:bidi="ar"/>
        </w:rPr>
        <w:t>衡南县交通运输综合行政执法大队部门概况</w:t>
      </w: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left"/>
        <w:outlineLvl w:val="0"/>
      </w:pPr>
      <w:r>
        <w:rPr>
          <w:rFonts w:hint="eastAsia" w:ascii="仿宋" w:hAnsi="仿宋" w:eastAsia="仿宋" w:cs="仿宋"/>
          <w:b/>
          <w:bCs/>
          <w:color w:val="000000"/>
          <w:kern w:val="0"/>
          <w:sz w:val="32"/>
          <w:szCs w:val="32"/>
          <w:lang w:val="en-US" w:eastAsia="zh-CN" w:bidi="ar"/>
        </w:rPr>
        <w:t xml:space="preserve">一、部门职责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衡南县交通运输综合行政执法大队的主要职责是： </w:t>
      </w:r>
    </w:p>
    <w:p>
      <w:pPr>
        <w:pStyle w:val="4"/>
        <w:spacing w:before="0" w:beforeAutospacing="0" w:after="1" w:afterAutospacing="0"/>
        <w:ind w:left="0" w:firstLine="641"/>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 xml:space="preserve">1、办公室。负责大队机关 日常工作的综合协调。负责大队公文处理、信息综合、新闻宣传、机要保密、信访维稳、 综合治理、重要文稿起草、机要、档案、公务接待、工作计 划拟定及会务等工作。负责人大代表建议、政协委员提案的办理和回复工作。负责国有资产管理。负责信访工作。负责大队后勤保障工作。 </w:t>
      </w:r>
    </w:p>
    <w:p>
      <w:pPr>
        <w:pStyle w:val="4"/>
        <w:spacing w:before="0" w:beforeAutospacing="0" w:after="1" w:afterAutospacing="0"/>
        <w:ind w:left="0" w:firstLine="641"/>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 xml:space="preserve">2、人事股。协助上级有关部门做好大队机构编制、劳动工资、专业技术职称评聘等工作。负责大队党建、宣传教育、社会保障、年度考核、文明单位创建、老干服务等工作。 </w:t>
      </w:r>
    </w:p>
    <w:p>
      <w:pPr>
        <w:pStyle w:val="4"/>
        <w:spacing w:before="0" w:beforeAutospacing="0" w:after="1" w:afterAutospacing="0"/>
        <w:ind w:left="0" w:firstLine="641"/>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 xml:space="preserve">3、财务统计股。负责大队财务预 (决 )算编制、资金审核报批、日常财务管理和会计核算工作。负责各类票据的领发、保管、使用、核查、报解工作。负责大队资金计划的申报工作。协助国有资产管理工作。 </w:t>
      </w:r>
    </w:p>
    <w:p>
      <w:pPr>
        <w:pStyle w:val="4"/>
        <w:spacing w:before="0" w:beforeAutospacing="0" w:after="1" w:afterAutospacing="0"/>
        <w:ind w:left="0" w:firstLine="641"/>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 xml:space="preserve">4、安全监督股。负责落实交通运输主管部门对安全生产监督检查、专项整治及交通运输安全生产“黑名单”管理制度。负责异地违章抄告的交办、反馈和汇总。负责交通运输责任事故统计数据的收集、整理、分析、汇总和上报。参与交通运输行业重大责任事故的调查、分析和处理。负责跟踪和督办重大安全隐患的整改。配合做好全县交通运输行业安全生产监管、应急维稳工作。 </w:t>
      </w:r>
    </w:p>
    <w:p>
      <w:pPr>
        <w:pStyle w:val="4"/>
        <w:spacing w:before="0" w:beforeAutospacing="0" w:after="1" w:afterAutospacing="0"/>
        <w:ind w:left="0" w:firstLine="641"/>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 xml:space="preserve">5、行政法制股 (加挂处罚中心)。负责拟订大队交通运输行政执法规程规范、业务标准、工作规则及大队的年度执法计划。负责审查执法中队前期执法行为的合法性。负责审核交通运输综合行政执法相关工作制度。负责规范性文件的合法性审查。负责开展执法检查、执法案卷评查和执法证件的管理。参与行政执法案件的听证及行政复议、行政诉讼、行政赔偿和应诉工作。负责大队执法岗位教育培训工作。负责大队交通运输综合执法台帐、执法数据相关的统计管理工作。负责大队执法案件的对外协调和司法衔接工作。负责违法违章案件的统一处理,建立和保存违法违章案件卷宗档案，负责大队违法违章案件的统计、汇总和分析。负责各执法中队移交违法违章案件的审核、处理。负责外地违法违规行为的抄告。协助督促全县交通运输综合行政执法复查案件的整改落实工作。 </w:t>
      </w:r>
    </w:p>
    <w:p>
      <w:pPr>
        <w:pStyle w:val="4"/>
        <w:spacing w:before="0" w:beforeAutospacing="0" w:after="1" w:afterAutospacing="0"/>
        <w:ind w:left="0" w:firstLine="641"/>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 xml:space="preserve">6、装备股。负责拟订全县交通运输行政执法信息化发展规划、年度计划和管理办法。负责大队执法队 (站 )基础建设和修缮管理工作。负责大队基建计划的申报工作。负责信息系统的建设、维护和管理。负责行政执法信息资料的收集、 统计、分析、传递、归档和共享工作。负责指导和监督营运车船卫星定位系统动态监控工作。负责信息化应用考核、安全防护和执法人员信息化培训工作。负责执法装备保障、执法车辆管理工作。负责交通运输行政执法设备设施的建设、 维护保养和管理等工作。 </w:t>
      </w:r>
    </w:p>
    <w:p>
      <w:pPr>
        <w:pStyle w:val="4"/>
        <w:spacing w:before="0" w:beforeAutospacing="0" w:after="1" w:afterAutospacing="0"/>
        <w:ind w:left="0" w:firstLine="641"/>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 xml:space="preserve">7、交通运输稽查中队。负责对全县道路运政、水路运政、公路路政、港口行政、航道行政、地方海事行政、城市公共交通、交通工程建设质量安全等行业交通综合行政执法的稽查。负责交通综合行政执法人员着装、仪容、风纪的监督检查。负责交通综合行政执法人员涉嫌违规、违纪的监督、检查和查处工作。负责受理举报、投诉,并回复和转办。 </w:t>
      </w:r>
    </w:p>
    <w:p>
      <w:pPr>
        <w:pStyle w:val="4"/>
        <w:spacing w:before="0" w:beforeAutospacing="0" w:after="1" w:afterAutospacing="0"/>
        <w:ind w:left="0" w:firstLine="641"/>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 xml:space="preserve">8、道路客运执法中队。负责全县道路客运、旅游客运、汽车客运站场、汽车维修和机动车驾驶员培训行业行政执法工作。负责道路客运、旅游客运、汽车客运站场、汽车维修和机动车驾驶员培训行业安全生产的日常监督检查。负责道路客运、旅游客运、汽车客运站场、汽车维修和机动车驾驶员培训行业经营行为的监督检查。负责全县道路运输车辆技术管理的监督检查。负责组织开展道路客运、旅游客运、汽车客运站场、汽车维修和机动车驾驶员培训行业 “打非治违” 行动和综合整治。参与道路客运、旅游客运、汽车客运站场、汽车维修和机动车驾驶员培训行业突发事件的应急处置。 </w:t>
      </w:r>
    </w:p>
    <w:p>
      <w:pPr>
        <w:pStyle w:val="4"/>
        <w:spacing w:before="0" w:beforeAutospacing="0" w:after="1" w:afterAutospacing="0"/>
        <w:ind w:left="0" w:firstLine="641"/>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 xml:space="preserve">9、城市客运执法中队。负责全县城市客运行政执法工作。负责城市客运经营行为的监督检查。负责城市客运安全生产的日常监督检查。负责机场、火车站周边500米范围内重点区域的运输秩序值守和巡查。负责组织开展城市客运“打非治违”行动和综合整治。参与城市客运突发事件的应急处置。 </w:t>
      </w:r>
    </w:p>
    <w:p>
      <w:pPr>
        <w:pStyle w:val="4"/>
        <w:spacing w:before="0" w:beforeAutospacing="0" w:after="1" w:afterAutospacing="0"/>
        <w:ind w:left="0" w:firstLine="641"/>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 xml:space="preserve">10、水路运政和交通建设执法中队。水路运政执法与交通建设执法中队整合成为一支执法队伍——水路运政和交通建设执法中队 (含土谷塘水运执法)。 负责全县港口行政、航道行政、水路运政执法工作。负责全县地方海事的行政执法、安全监管工作。参与全县港口行政、水路运政突发事件的应急处置。负责交通建设工程质量与安全的行政执法和安全监管工作。参与交通建设突发事件的应急处置。 </w:t>
      </w:r>
    </w:p>
    <w:p>
      <w:pPr>
        <w:pStyle w:val="4"/>
        <w:spacing w:before="0" w:beforeAutospacing="0" w:after="1" w:afterAutospacing="0"/>
        <w:ind w:left="0" w:firstLine="641"/>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 xml:space="preserve">11、公路路政执法中队。负责县本级国道、省道、县乡道道路的路政执法工作。负责对国道、省道、县乡道路的侵占、损坏和公路用地、公路附属设施违法违规情况的监督检查,纠正和查处违法行为。负责公路突发事件的路政应急处置。 </w:t>
      </w:r>
    </w:p>
    <w:p>
      <w:pPr>
        <w:pStyle w:val="4"/>
        <w:spacing w:before="0" w:beforeAutospacing="0" w:after="1" w:afterAutospacing="0"/>
        <w:ind w:left="0" w:firstLine="641"/>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 xml:space="preserve">12、公路治超执法一中队(加挂衡南县云市超限超载检测站牌子)。驻地云市，人员编制数28名。负责对向阳、茶市、云集镇云集大桥以东区域内国道、省道、县乡道路治理 公路超限运输执法工作。 </w:t>
      </w:r>
    </w:p>
    <w:p>
      <w:pPr>
        <w:pStyle w:val="4"/>
        <w:spacing w:before="0" w:beforeAutospacing="0" w:after="1" w:afterAutospacing="0"/>
        <w:ind w:left="0" w:firstLine="641"/>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 xml:space="preserve">13、公路治超执法二中队。驻地谭子山，人员编制数16名。负责对三塘、谭子山、泉湖、岐山、茅市和柞市六个乡镇的国道、省道、县乡道路区域内治理公路超限运输执法工作。 </w:t>
      </w:r>
    </w:p>
    <w:p>
      <w:pPr>
        <w:pStyle w:val="4"/>
        <w:spacing w:before="0" w:beforeAutospacing="0" w:after="1" w:afterAutospacing="0"/>
        <w:ind w:left="0" w:firstLine="641"/>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 xml:space="preserve">14、公路治超执法三中队。驻地洪山,人员编制数14名。 负责泉溪、洪山、咸塘、铁丝塘和花桥五个乡镇的国道、省道、县乡道路区域内治理公路超限运输执法工作。 </w:t>
      </w:r>
    </w:p>
    <w:p>
      <w:pPr>
        <w:pStyle w:val="4"/>
        <w:spacing w:before="0" w:beforeAutospacing="0" w:after="1" w:afterAutospacing="0"/>
        <w:ind w:left="0" w:firstLine="641"/>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 xml:space="preserve">15、公路治超执法四中队。驻地车江,人员编制数12名。负责对松江、车江、栗江、近尾洲、硫市和云集镇云集大桥以西区域内国道、省道、县乡道路治理公路超限运输执法工作。 </w:t>
      </w:r>
    </w:p>
    <w:p>
      <w:pPr>
        <w:pStyle w:val="4"/>
        <w:spacing w:before="0" w:beforeAutospacing="0" w:after="1" w:afterAutospacing="0"/>
        <w:ind w:left="0" w:firstLine="641"/>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 xml:space="preserve">16、公路治超执法五中队。驻地冠市,人员编制数6名。负责对冠市、宝盖、相市和江口四个乡镇国道、省道、县乡道路区域内治理公路超限运输执法工作。  </w:t>
      </w:r>
    </w:p>
    <w:p>
      <w:pPr>
        <w:keepNext w:val="0"/>
        <w:keepLines w:val="0"/>
        <w:widowControl/>
        <w:suppressLineNumbers w:val="0"/>
        <w:jc w:val="left"/>
        <w:outlineLvl w:val="0"/>
      </w:pPr>
      <w:r>
        <w:rPr>
          <w:rFonts w:hint="eastAsia" w:ascii="仿宋" w:hAnsi="仿宋" w:eastAsia="仿宋" w:cs="仿宋"/>
          <w:b/>
          <w:bCs/>
          <w:color w:val="000000"/>
          <w:kern w:val="0"/>
          <w:sz w:val="32"/>
          <w:szCs w:val="32"/>
          <w:lang w:val="en-US" w:eastAsia="zh-CN" w:bidi="ar"/>
        </w:rPr>
        <w:t xml:space="preserve">二、机构设置及决算单位构成 </w:t>
      </w:r>
    </w:p>
    <w:p>
      <w:pPr>
        <w:keepNext w:val="0"/>
        <w:keepLines w:val="0"/>
        <w:widowControl/>
        <w:suppressLineNumbers w:val="0"/>
        <w:jc w:val="left"/>
        <w:outlineLvl w:val="1"/>
      </w:pPr>
      <w:r>
        <w:rPr>
          <w:rFonts w:hint="eastAsia" w:ascii="仿宋" w:hAnsi="仿宋" w:eastAsia="仿宋" w:cs="仿宋"/>
          <w:color w:val="000000"/>
          <w:kern w:val="0"/>
          <w:sz w:val="32"/>
          <w:szCs w:val="32"/>
          <w:lang w:val="en-US" w:eastAsia="zh-CN" w:bidi="ar"/>
        </w:rPr>
        <w:t xml:space="preserve">（一）内设机构设置 </w:t>
      </w:r>
    </w:p>
    <w:p>
      <w:pPr>
        <w:spacing w:before="0" w:beforeAutospacing="0" w:after="1" w:afterAutospacing="0"/>
        <w:ind w:left="0" w:firstLine="630"/>
      </w:pPr>
      <w:r>
        <w:rPr>
          <w:rFonts w:hint="eastAsia" w:ascii="仿宋" w:hAnsi="仿宋" w:eastAsia="仿宋" w:cs="仿宋"/>
          <w:color w:val="000000"/>
          <w:kern w:val="0"/>
          <w:sz w:val="32"/>
          <w:szCs w:val="32"/>
          <w:lang w:val="en-US" w:eastAsia="zh-CN" w:bidi="ar"/>
        </w:rPr>
        <w:t>衡南县交通运输综合行政执法大队核定全额拨款事业编制 152名 (含5个下设机构)。 设大队长 1名 (副 科级 ) 副 大队长 4名 (正股级 );股 室 (中队 )负责人职数16名 (副股级）。衡南县交通运输综合行政执法大队设 11个 内设机构，分别为： 1. 办公室。 2.人事股。 3.财务统计股。 4. 安全监督股。 5.行政法制股 (加挂处罚中心)。 6.装备股。 7.交通运输稽查中队。 8.道路客运执法中队。 9.城市客运执法中队。 10.水路运政和交通建设执法中队。 11.公路路政执法中队。 (二 )衡南县交通运输综合行政执法大队设 5个下设机构 。 12.公路治超执法一中队 (加挂衡南县云市超限超载检测站牌子)。 13.公路治超执法二中队。 14.公路治超执法三中队。 15.公路治超执法四中队。 16.公路治超执法五中队。</w:t>
      </w:r>
      <w:r>
        <w:rPr>
          <w:color w:val="000000"/>
        </w:rPr>
        <w:t xml:space="preserve"> </w:t>
      </w:r>
    </w:p>
    <w:p>
      <w:pPr>
        <w:keepNext w:val="0"/>
        <w:keepLines w:val="0"/>
        <w:widowControl/>
        <w:suppressLineNumbers w:val="0"/>
        <w:jc w:val="left"/>
      </w:pPr>
    </w:p>
    <w:p>
      <w:pPr>
        <w:keepNext w:val="0"/>
        <w:keepLines w:val="0"/>
        <w:widowControl/>
        <w:suppressLineNumbers w:val="0"/>
        <w:jc w:val="left"/>
        <w:outlineLvl w:val="1"/>
      </w:pPr>
      <w:r>
        <w:rPr>
          <w:rFonts w:hint="eastAsia" w:ascii="仿宋" w:hAnsi="仿宋" w:eastAsia="仿宋" w:cs="仿宋"/>
          <w:color w:val="000000"/>
          <w:kern w:val="0"/>
          <w:sz w:val="32"/>
          <w:szCs w:val="32"/>
          <w:lang w:val="en-US" w:eastAsia="zh-CN" w:bidi="ar"/>
        </w:rPr>
        <w:t xml:space="preserve">（二）决算单位构成 </w:t>
      </w: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 xml:space="preserve">衡南县交通运输综合行政执法大队 2022 年部门决算汇总公开单位构成包括：衡南县交通运输综合行政执法大队本级。 </w:t>
      </w: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center"/>
      </w:pPr>
      <w:r>
        <w:rPr>
          <w:rFonts w:hint="eastAsia" w:ascii="仿宋" w:hAnsi="仿宋" w:eastAsia="仿宋" w:cs="仿宋"/>
          <w:b/>
          <w:bCs/>
          <w:color w:val="000000"/>
          <w:kern w:val="0"/>
          <w:sz w:val="52"/>
          <w:szCs w:val="52"/>
          <w:lang w:val="en-US" w:eastAsia="zh-CN" w:bidi="ar"/>
        </w:rPr>
        <w:t>第二部分</w:t>
      </w:r>
    </w:p>
    <w:p>
      <w:pPr>
        <w:keepNext w:val="0"/>
        <w:keepLines w:val="0"/>
        <w:widowControl/>
        <w:suppressLineNumbers w:val="0"/>
        <w:jc w:val="center"/>
        <w:outlineLvl w:val="0"/>
      </w:pPr>
      <w:r>
        <w:rPr>
          <w:rFonts w:hint="eastAsia" w:ascii="仿宋" w:hAnsi="仿宋" w:eastAsia="仿宋" w:cs="仿宋"/>
          <w:b/>
          <w:bCs/>
          <w:color w:val="000000"/>
          <w:kern w:val="0"/>
          <w:sz w:val="52"/>
          <w:szCs w:val="52"/>
          <w:lang w:val="en-US" w:eastAsia="zh-CN" w:bidi="ar"/>
        </w:rPr>
        <w:t>部门决算表</w:t>
      </w:r>
    </w:p>
    <w:p>
      <w:pPr>
        <w:keepNext w:val="0"/>
        <w:keepLines w:val="0"/>
        <w:widowControl/>
        <w:suppressLineNumbers w:val="0"/>
        <w:jc w:val="left"/>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left"/>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left"/>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left"/>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left"/>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left"/>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left"/>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left"/>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left"/>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left"/>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left"/>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left"/>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left"/>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pPr>
      <w:r>
        <w:rPr>
          <w:rFonts w:hint="eastAsia" w:ascii="仿宋" w:hAnsi="仿宋" w:eastAsia="仿宋" w:cs="仿宋"/>
          <w:b/>
          <w:bCs/>
          <w:color w:val="000000"/>
          <w:kern w:val="0"/>
          <w:sz w:val="52"/>
          <w:szCs w:val="52"/>
          <w:lang w:val="en-US" w:eastAsia="zh-CN" w:bidi="ar"/>
        </w:rPr>
        <w:t>第三部分</w:t>
      </w:r>
    </w:p>
    <w:p>
      <w:pPr>
        <w:keepNext w:val="0"/>
        <w:keepLines w:val="0"/>
        <w:widowControl/>
        <w:suppressLineNumbers w:val="0"/>
        <w:jc w:val="center"/>
        <w:outlineLvl w:val="0"/>
        <w:rPr>
          <w:rFonts w:hint="eastAsia" w:ascii="仿宋" w:hAnsi="仿宋" w:eastAsia="仿宋" w:cs="仿宋"/>
          <w:b/>
          <w:bCs/>
          <w:color w:val="000000"/>
          <w:kern w:val="0"/>
          <w:sz w:val="52"/>
          <w:szCs w:val="52"/>
          <w:lang w:val="en-US" w:eastAsia="zh-CN" w:bidi="ar"/>
        </w:rPr>
      </w:pPr>
      <w:r>
        <w:rPr>
          <w:rFonts w:hint="eastAsia" w:ascii="仿宋" w:hAnsi="仿宋" w:eastAsia="仿宋" w:cs="仿宋"/>
          <w:b/>
          <w:bCs/>
          <w:color w:val="000000"/>
          <w:kern w:val="0"/>
          <w:sz w:val="52"/>
          <w:szCs w:val="52"/>
          <w:lang w:val="en-US" w:eastAsia="zh-CN" w:bidi="ar"/>
        </w:rPr>
        <w:t>2022年度部门决算情况说明</w:t>
      </w: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left"/>
        <w:rPr>
          <w:rFonts w:hint="eastAsia" w:ascii="黑体" w:hAnsi="宋体" w:eastAsia="黑体" w:cs="黑体"/>
          <w:color w:val="000000"/>
          <w:kern w:val="0"/>
          <w:sz w:val="18"/>
          <w:szCs w:val="18"/>
          <w:lang w:val="en-US" w:eastAsia="zh-CN" w:bidi="ar"/>
        </w:rPr>
      </w:pPr>
    </w:p>
    <w:p>
      <w:pPr>
        <w:keepNext w:val="0"/>
        <w:keepLines w:val="0"/>
        <w:widowControl/>
        <w:suppressLineNumbers w:val="0"/>
        <w:jc w:val="left"/>
        <w:rPr>
          <w:rFonts w:hint="eastAsia" w:ascii="黑体" w:hAnsi="宋体" w:eastAsia="黑体" w:cs="黑体"/>
          <w:color w:val="000000"/>
          <w:kern w:val="0"/>
          <w:sz w:val="18"/>
          <w:szCs w:val="18"/>
          <w:lang w:val="en-US" w:eastAsia="zh-CN" w:bidi="ar"/>
        </w:rPr>
      </w:pPr>
    </w:p>
    <w:p>
      <w:pPr>
        <w:keepNext w:val="0"/>
        <w:keepLines w:val="0"/>
        <w:widowControl/>
        <w:suppressLineNumbers w:val="0"/>
        <w:jc w:val="left"/>
        <w:outlineLvl w:val="0"/>
      </w:pPr>
      <w:r>
        <w:rPr>
          <w:rFonts w:hint="eastAsia" w:ascii="仿宋" w:hAnsi="仿宋" w:eastAsia="仿宋" w:cs="仿宋"/>
          <w:b/>
          <w:bCs/>
          <w:color w:val="000000"/>
          <w:kern w:val="0"/>
          <w:sz w:val="32"/>
          <w:szCs w:val="32"/>
          <w:lang w:val="en-US" w:eastAsia="zh-CN" w:bidi="ar"/>
        </w:rPr>
        <w:t xml:space="preserve">一、收入支出决算总体情况说明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2022 年度收入总计 1253.63万元，与上年相比增加1253.63 万元，上升100%。主要是因为单位为今年新增单位。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2022 年度支出总计 1253.63万元，与上年相比增加1253.63 万元，上升100%。主要是因为单位为今年新增单位。 </w:t>
      </w:r>
    </w:p>
    <w:p>
      <w:pPr>
        <w:keepNext w:val="0"/>
        <w:keepLines w:val="0"/>
        <w:widowControl/>
        <w:suppressLineNumbers w:val="0"/>
        <w:jc w:val="left"/>
        <w:outlineLvl w:val="0"/>
      </w:pPr>
      <w:r>
        <w:rPr>
          <w:rFonts w:hint="eastAsia" w:ascii="仿宋" w:hAnsi="仿宋" w:eastAsia="仿宋" w:cs="仿宋"/>
          <w:b/>
          <w:bCs/>
          <w:color w:val="000000"/>
          <w:kern w:val="0"/>
          <w:sz w:val="32"/>
          <w:szCs w:val="32"/>
          <w:lang w:val="en-US" w:eastAsia="zh-CN" w:bidi="ar"/>
        </w:rPr>
        <w:t xml:space="preserve">二、收入决算情况说明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2022年度收入合计1253.63万元，其中：财政拨款收入732.09万元，占58.4%。其他收入521.54万元，占41.6%。 </w:t>
      </w:r>
    </w:p>
    <w:p>
      <w:pPr>
        <w:keepNext w:val="0"/>
        <w:keepLines w:val="0"/>
        <w:widowControl/>
        <w:suppressLineNumbers w:val="0"/>
        <w:jc w:val="left"/>
        <w:outlineLvl w:val="0"/>
      </w:pPr>
      <w:r>
        <w:rPr>
          <w:rFonts w:hint="eastAsia" w:ascii="仿宋" w:hAnsi="仿宋" w:eastAsia="仿宋" w:cs="仿宋"/>
          <w:b/>
          <w:bCs/>
          <w:color w:val="000000"/>
          <w:kern w:val="0"/>
          <w:sz w:val="32"/>
          <w:szCs w:val="32"/>
          <w:lang w:val="en-US" w:eastAsia="zh-CN" w:bidi="ar"/>
        </w:rPr>
        <w:t xml:space="preserve">三、支出决算情况说明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2022 年度支出合计1253.63万元，其中：基本支出692.35 万元，占55.23%。项目支出561.28万元，占44.77%。 </w:t>
      </w:r>
    </w:p>
    <w:p>
      <w:pPr>
        <w:keepNext w:val="0"/>
        <w:keepLines w:val="0"/>
        <w:widowControl/>
        <w:suppressLineNumbers w:val="0"/>
        <w:jc w:val="left"/>
        <w:outlineLvl w:val="0"/>
      </w:pPr>
      <w:r>
        <w:rPr>
          <w:rFonts w:hint="eastAsia" w:ascii="仿宋" w:hAnsi="仿宋" w:eastAsia="仿宋" w:cs="仿宋"/>
          <w:b/>
          <w:bCs/>
          <w:color w:val="000000"/>
          <w:kern w:val="0"/>
          <w:sz w:val="32"/>
          <w:szCs w:val="32"/>
          <w:lang w:val="en-US" w:eastAsia="zh-CN" w:bidi="ar"/>
        </w:rPr>
        <w:t xml:space="preserve">四、财政拨款收入支出决算总体情况说明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2022 年度财政拨款收入总计732.09万元，与上年相比，增加732.09万元，增加100%。主要是因为单位为今年新增单位。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2022 年度财政拨款支出总计 732.09 万元，与上年相比，增加732.09万元，增加100%。主要是因为单位为今年新增单位。  </w:t>
      </w:r>
    </w:p>
    <w:p>
      <w:pPr>
        <w:keepNext w:val="0"/>
        <w:keepLines w:val="0"/>
        <w:widowControl/>
        <w:suppressLineNumbers w:val="0"/>
        <w:jc w:val="left"/>
        <w:outlineLvl w:val="0"/>
      </w:pPr>
      <w:r>
        <w:rPr>
          <w:rFonts w:hint="eastAsia" w:ascii="仿宋" w:hAnsi="仿宋" w:eastAsia="仿宋" w:cs="仿宋"/>
          <w:b/>
          <w:bCs/>
          <w:color w:val="000000"/>
          <w:kern w:val="0"/>
          <w:sz w:val="32"/>
          <w:szCs w:val="32"/>
          <w:lang w:val="en-US" w:eastAsia="zh-CN" w:bidi="ar"/>
        </w:rPr>
        <w:t xml:space="preserve">五、一般公共预算财政拨款支出决算情况说明 </w:t>
      </w:r>
    </w:p>
    <w:p>
      <w:pPr>
        <w:keepNext w:val="0"/>
        <w:keepLines w:val="0"/>
        <w:widowControl/>
        <w:suppressLineNumbers w:val="0"/>
        <w:jc w:val="left"/>
        <w:outlineLvl w:val="1"/>
      </w:pPr>
      <w:r>
        <w:rPr>
          <w:rFonts w:hint="eastAsia" w:ascii="仿宋" w:hAnsi="仿宋" w:eastAsia="仿宋" w:cs="仿宋"/>
          <w:b/>
          <w:bCs/>
          <w:color w:val="000000"/>
          <w:kern w:val="0"/>
          <w:sz w:val="32"/>
          <w:szCs w:val="32"/>
          <w:lang w:val="en-US" w:eastAsia="zh-CN" w:bidi="ar"/>
        </w:rPr>
        <w:t xml:space="preserve">（一）一般公共预算财政拨款支出决算总体情况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2022 年度一般公共预算财政拨款支出 732.09 万元，占本年支出合计的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58.4%，与上年相比，财政拨款支出增加743.45 万元，上升100%，因为单位为今年新增单位。 </w:t>
      </w:r>
    </w:p>
    <w:p>
      <w:pPr>
        <w:keepNext w:val="0"/>
        <w:keepLines w:val="0"/>
        <w:widowControl/>
        <w:suppressLineNumbers w:val="0"/>
        <w:jc w:val="left"/>
        <w:outlineLvl w:val="1"/>
      </w:pPr>
      <w:r>
        <w:rPr>
          <w:rFonts w:hint="eastAsia" w:ascii="仿宋" w:hAnsi="仿宋" w:eastAsia="仿宋" w:cs="仿宋"/>
          <w:b/>
          <w:bCs/>
          <w:color w:val="000000"/>
          <w:kern w:val="0"/>
          <w:sz w:val="32"/>
          <w:szCs w:val="32"/>
          <w:lang w:val="en-US" w:eastAsia="zh-CN" w:bidi="ar"/>
        </w:rPr>
        <w:t xml:space="preserve">（二）一般公共预算财政拨款支出决算结构情况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2022 年度一般公共预算财政拨款支出732.09万元，主要用于以下方面：社会保障和就业支出（类）117.07万元，占比15.99%；卫生健康支出（类）64.9万元，占比8.87%；交通运输支出（类）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511.53万元，占比69.87%；住房保障支出（类）38.59万元，占比5.27%。 </w:t>
      </w:r>
    </w:p>
    <w:p>
      <w:pPr>
        <w:keepNext w:val="0"/>
        <w:keepLines w:val="0"/>
        <w:widowControl/>
        <w:suppressLineNumbers w:val="0"/>
        <w:jc w:val="left"/>
        <w:outlineLvl w:val="1"/>
      </w:pPr>
      <w:r>
        <w:rPr>
          <w:rFonts w:hint="eastAsia" w:ascii="仿宋" w:hAnsi="仿宋" w:eastAsia="仿宋" w:cs="仿宋"/>
          <w:b/>
          <w:bCs/>
          <w:color w:val="000000"/>
          <w:kern w:val="0"/>
          <w:sz w:val="32"/>
          <w:szCs w:val="32"/>
          <w:lang w:val="en-US" w:eastAsia="zh-CN" w:bidi="ar"/>
        </w:rPr>
        <w:t xml:space="preserve">（三）一般公共预算财政拨款支出决算具体情况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2022 年度一般公共预算财政拨款支出年初预算数为1359.15万元，支出决算数为732.09万元，完成年初预算的53.86%，其中：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1、社会保障和就业支出（类）行政事业单位养老支出（款）机关事业单位基本养老保险缴费支出（项）。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年初预算为</w:t>
      </w:r>
      <w:r>
        <w:rPr>
          <w:rFonts w:hint="eastAsia" w:ascii="宋体" w:hAnsi="宋体" w:eastAsia="宋体" w:cs="宋体"/>
          <w:color w:val="000000"/>
          <w:kern w:val="2"/>
          <w:sz w:val="32"/>
          <w:szCs w:val="32"/>
        </w:rPr>
        <w:t>175.15</w:t>
      </w:r>
      <w:r>
        <w:rPr>
          <w:rFonts w:hint="eastAsia" w:ascii="仿宋" w:hAnsi="仿宋" w:eastAsia="仿宋" w:cs="仿宋"/>
          <w:color w:val="000000"/>
          <w:kern w:val="0"/>
          <w:sz w:val="32"/>
          <w:szCs w:val="32"/>
          <w:lang w:val="en-US" w:eastAsia="zh-CN" w:bidi="ar"/>
        </w:rPr>
        <w:t xml:space="preserve">万元，支出决算为117.07万元，完成年初预算的66.84%,决算数小于预算数主要原因是：单位支付手续不完善,支付进度不及时。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2、卫生健康支出（类）行政事业单位医疗（款）行政单位医疗（项）。年初预算为64.9万元，支出决算为64.9万元，完成年初预算的100%。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3、交通运输支出（类）公路水路运输（款）行政运行（项）。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年初预算为1080.51万元，支出决算为511.53万元，完成年初预算的47.34%,决算数小于预算数主要原因是：单位支付手续不完善,支付进度不及时。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4、住房保障支出（类）住房改革支出（款）住房公积金（项）。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年初预算为</w:t>
      </w:r>
      <w:r>
        <w:rPr>
          <w:rFonts w:hint="eastAsia" w:ascii="宋体" w:hAnsi="宋体" w:eastAsia="宋体" w:cs="宋体"/>
          <w:color w:val="000000"/>
          <w:kern w:val="2"/>
          <w:sz w:val="32"/>
          <w:szCs w:val="32"/>
        </w:rPr>
        <w:t>38.59</w:t>
      </w:r>
      <w:r>
        <w:rPr>
          <w:rFonts w:hint="eastAsia" w:ascii="仿宋" w:hAnsi="仿宋" w:eastAsia="仿宋" w:cs="仿宋"/>
          <w:color w:val="000000"/>
          <w:kern w:val="0"/>
          <w:sz w:val="32"/>
          <w:szCs w:val="32"/>
          <w:lang w:val="en-US" w:eastAsia="zh-CN" w:bidi="ar"/>
        </w:rPr>
        <w:t xml:space="preserve">万元，支出决算为38.59万元，完成年初预算的100%。 </w:t>
      </w:r>
    </w:p>
    <w:p>
      <w:pPr>
        <w:keepNext w:val="0"/>
        <w:keepLines w:val="0"/>
        <w:widowControl/>
        <w:suppressLineNumbers w:val="0"/>
        <w:jc w:val="left"/>
        <w:outlineLvl w:val="0"/>
      </w:pPr>
      <w:r>
        <w:rPr>
          <w:rFonts w:hint="eastAsia" w:ascii="仿宋" w:hAnsi="仿宋" w:eastAsia="仿宋" w:cs="仿宋"/>
          <w:b/>
          <w:bCs/>
          <w:color w:val="000000"/>
          <w:kern w:val="0"/>
          <w:sz w:val="32"/>
          <w:szCs w:val="32"/>
          <w:lang w:val="en-US" w:eastAsia="zh-CN" w:bidi="ar"/>
        </w:rPr>
        <w:t xml:space="preserve">六、一般公共预算财政拨款基本支出决算情况说明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2022年度一般公共预算财政拨款基本支出692.35万元，其中：人员经费557.55万元，占基本支出的80.53%，主要包括：基本工资、津贴补贴、奖金、伙食补助费、机关事业单位基本养老保险缴费、职业年金缴费、职工基本医疗保险缴费、其他社会保障缴费、住房公积金、退休费、抚恤金、生活补助、救济费、奖励金、其他对个人和家庭的补助；公用经费134.8万元，占基本支出的19.47%，主要包括：办公费、印刷费、咨询费、水费、电费、邮电费、物业管理费、差旅费、维修（护）费、会议费、培训费、公务接待费、劳务费、委托业务费、工会经费、福利费、公务用车运行维护费、其他商品和服务支出。 </w:t>
      </w:r>
    </w:p>
    <w:p>
      <w:pPr>
        <w:keepNext w:val="0"/>
        <w:keepLines w:val="0"/>
        <w:widowControl/>
        <w:suppressLineNumbers w:val="0"/>
        <w:jc w:val="left"/>
        <w:outlineLvl w:val="0"/>
      </w:pPr>
      <w:r>
        <w:rPr>
          <w:rFonts w:hint="eastAsia" w:ascii="仿宋" w:hAnsi="仿宋" w:eastAsia="仿宋" w:cs="仿宋"/>
          <w:b/>
          <w:bCs/>
          <w:color w:val="000000"/>
          <w:kern w:val="0"/>
          <w:sz w:val="32"/>
          <w:szCs w:val="32"/>
          <w:lang w:val="en-US" w:eastAsia="zh-CN" w:bidi="ar"/>
        </w:rPr>
        <w:t xml:space="preserve">七、一般公共预算财政拨款三公经费支出决算情况说明 </w:t>
      </w:r>
    </w:p>
    <w:p>
      <w:pPr>
        <w:keepNext w:val="0"/>
        <w:keepLines w:val="0"/>
        <w:widowControl/>
        <w:suppressLineNumbers w:val="0"/>
        <w:jc w:val="left"/>
        <w:outlineLvl w:val="1"/>
      </w:pPr>
      <w:r>
        <w:rPr>
          <w:rFonts w:hint="eastAsia" w:ascii="仿宋" w:hAnsi="仿宋" w:eastAsia="仿宋" w:cs="仿宋"/>
          <w:color w:val="000000"/>
          <w:kern w:val="0"/>
          <w:sz w:val="32"/>
          <w:szCs w:val="32"/>
          <w:lang w:val="en-US" w:eastAsia="zh-CN" w:bidi="ar"/>
        </w:rPr>
        <w:t xml:space="preserve">（一）“三公”经费一般公共预算财政拨款支出决算总体情况说明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“三公”经费一般公共预算财政拨款支出预算为78万元，支出决算为13.99万元，完成预算的17.94%，其中：因公出国（境）费支出预算为 0.00万元，支出决算为 0.00 万元，与本年预算数相同，与上年决算数相同。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公务接待费支出预算为0万元，支出决算为0万元，完成预算的0%，决算数于预算数持平。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公务用车购置费及运行维护费支出预算为78万元，支出决算为13.99万元，完成预算的17.94%，决算数小于预算数的主要原因是贯彻落实国家过“紧日子”要求，压减了一般性开支，努力降低行政运行成本,减少的主要原因是贯彻落实国家过“紧日子”要求，压减了一般性开支，努力降低行政运行成本。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公务用车购置费支出预算为 0.00 万元，支出决算为 0.00 万元，与本年预算数相同，与上年决算数相同。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公务用车运行维护费支出预算为78万元，支出决算为13.99 万元，完成预算的17.94%，决算数小于预算数的主要原因是贯彻落实国家过“紧日子”要求，压减了一般性开支，努力降低行政运行成本，减少的主要原因是贯彻落实国家过“紧日子”要求，压减了一般性开支，努力降低行政运行成本。 </w:t>
      </w:r>
    </w:p>
    <w:p>
      <w:pPr>
        <w:keepNext w:val="0"/>
        <w:keepLines w:val="0"/>
        <w:widowControl/>
        <w:suppressLineNumbers w:val="0"/>
        <w:jc w:val="left"/>
        <w:outlineLvl w:val="1"/>
      </w:pPr>
      <w:r>
        <w:rPr>
          <w:rFonts w:hint="eastAsia" w:ascii="仿宋" w:hAnsi="仿宋" w:eastAsia="仿宋" w:cs="仿宋"/>
          <w:color w:val="000000"/>
          <w:kern w:val="0"/>
          <w:sz w:val="32"/>
          <w:szCs w:val="32"/>
          <w:lang w:val="en-US" w:eastAsia="zh-CN" w:bidi="ar"/>
        </w:rPr>
        <w:t xml:space="preserve">（二）“三公”经费一般公共预算财政拨款支出决算具体情况说明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2022 年度“三公”经费一般公共预算财政拨款支出决算中，公务接待费支出决算0万元，占0%，因公出国（境）费支出决算0万元，占0%，公务用车购置费及运行维护费支出决算13.99万元，占17.94%。具体情况如下：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1、因公出国（境）费支出决算为0万元，全年安排因公出国（境）团组 0 个，累计团组 0 人次。本单位2022年无因公出国（境）费支出。 </w:t>
      </w: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2、公务接待费支出决算为0万元，全年共接待来访团组 0 个，</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来宾 0 人次。本单位2022年无公务接待费支出。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3、公务用车购置费及运行维护费支出决算为13.99万元，其中：公务用车购置费0万元，衡南县交通运输综合行政执法大队更新公务用车0辆，购置公务用车0辆。公务用车运行维护费13.99万元，主要是油料费、维修保养支出，截止2022 年 12 月 31 日，我单位开支财政拨款的公务用车保有量为1辆。 </w:t>
      </w:r>
    </w:p>
    <w:p>
      <w:pPr>
        <w:keepNext w:val="0"/>
        <w:keepLines w:val="0"/>
        <w:widowControl/>
        <w:suppressLineNumbers w:val="0"/>
        <w:jc w:val="left"/>
        <w:outlineLvl w:val="0"/>
      </w:pPr>
      <w:r>
        <w:rPr>
          <w:rFonts w:hint="eastAsia" w:ascii="仿宋" w:hAnsi="仿宋" w:eastAsia="仿宋" w:cs="仿宋"/>
          <w:b/>
          <w:bCs/>
          <w:color w:val="000000"/>
          <w:kern w:val="0"/>
          <w:sz w:val="32"/>
          <w:szCs w:val="32"/>
          <w:lang w:val="en-US" w:eastAsia="zh-CN" w:bidi="ar"/>
        </w:rPr>
        <w:t xml:space="preserve">八、政府性基金预算收入支出决算情况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2022 年度未发生政府性基金预算财政拨款收支。 </w:t>
      </w:r>
    </w:p>
    <w:p>
      <w:pPr>
        <w:keepNext w:val="0"/>
        <w:keepLines w:val="0"/>
        <w:widowControl/>
        <w:suppressLineNumbers w:val="0"/>
        <w:jc w:val="left"/>
        <w:outlineLvl w:val="0"/>
      </w:pPr>
      <w:r>
        <w:rPr>
          <w:rFonts w:hint="eastAsia" w:ascii="仿宋" w:hAnsi="仿宋" w:eastAsia="仿宋" w:cs="仿宋"/>
          <w:b/>
          <w:bCs/>
          <w:color w:val="000000"/>
          <w:kern w:val="0"/>
          <w:sz w:val="32"/>
          <w:szCs w:val="32"/>
          <w:lang w:val="en-US" w:eastAsia="zh-CN" w:bidi="ar"/>
        </w:rPr>
        <w:t xml:space="preserve">九、国有资本经营预算财政拨款支出情况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2022 年度未发生国有资本经营预算财政拨款收支。 </w:t>
      </w:r>
    </w:p>
    <w:p>
      <w:pPr>
        <w:keepNext w:val="0"/>
        <w:keepLines w:val="0"/>
        <w:widowControl/>
        <w:suppressLineNumbers w:val="0"/>
        <w:jc w:val="left"/>
        <w:outlineLvl w:val="0"/>
      </w:pPr>
      <w:r>
        <w:rPr>
          <w:rFonts w:hint="eastAsia" w:ascii="仿宋" w:hAnsi="仿宋" w:eastAsia="仿宋" w:cs="仿宋"/>
          <w:b/>
          <w:bCs/>
          <w:color w:val="000000"/>
          <w:kern w:val="0"/>
          <w:sz w:val="32"/>
          <w:szCs w:val="32"/>
          <w:lang w:val="en-US" w:eastAsia="zh-CN" w:bidi="ar"/>
        </w:rPr>
        <w:t xml:space="preserve">十、关于机关运行经费支出说明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本部门 2022 年机关运行经费支出134.8万元，年初预算数 88万元，比年初预算增加46.8万元，增加53.19%，主要原因是：机关运行经费里包含办公费、印刷费、物业管理费、电费、水费、广告制作费用等各类开支。 </w:t>
      </w:r>
    </w:p>
    <w:p>
      <w:pPr>
        <w:keepNext w:val="0"/>
        <w:keepLines w:val="0"/>
        <w:widowControl/>
        <w:suppressLineNumbers w:val="0"/>
        <w:jc w:val="left"/>
        <w:outlineLvl w:val="0"/>
      </w:pPr>
      <w:r>
        <w:rPr>
          <w:rFonts w:hint="eastAsia" w:ascii="仿宋" w:hAnsi="仿宋" w:eastAsia="仿宋" w:cs="仿宋"/>
          <w:b/>
          <w:bCs/>
          <w:color w:val="000000"/>
          <w:kern w:val="0"/>
          <w:sz w:val="32"/>
          <w:szCs w:val="32"/>
          <w:lang w:val="en-US" w:eastAsia="zh-CN" w:bidi="ar"/>
        </w:rPr>
        <w:t xml:space="preserve">十一、一般性支出情况说明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2022 年本部门开支会议费0万元；开支培训费0万元，未举办节庆、晚会、论坛、赛事活动。 </w:t>
      </w:r>
    </w:p>
    <w:p>
      <w:pPr>
        <w:keepNext w:val="0"/>
        <w:keepLines w:val="0"/>
        <w:widowControl/>
        <w:suppressLineNumbers w:val="0"/>
        <w:jc w:val="left"/>
        <w:outlineLvl w:val="0"/>
      </w:pPr>
      <w:r>
        <w:rPr>
          <w:rFonts w:hint="eastAsia" w:ascii="仿宋" w:hAnsi="仿宋" w:eastAsia="仿宋" w:cs="仿宋"/>
          <w:b/>
          <w:bCs/>
          <w:color w:val="000000"/>
          <w:kern w:val="0"/>
          <w:sz w:val="32"/>
          <w:szCs w:val="32"/>
          <w:lang w:val="en-US" w:eastAsia="zh-CN" w:bidi="ar"/>
        </w:rPr>
        <w:t xml:space="preserve">十二、关于政府采购支出说明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本部门 2022 年度政府采购支出总额 0 万元，其中：政府采购货物支出 0 万元、政府采购工程支出 0 万元、政府采购服务支出 0 万元。授予中小企业合同金额 0 万元，由于政府采购总额为 0 万元，无法计算百分比，其中：授予小微企业合同金额 0 万元，由于政府采购总额为 0 万元，无法计算百分比；由于货物支出金额为 0 万元，无法计算货物采购授予中小企业合同金额占货物支出金额的百分比；由于工程支出金额为 0 万元，无法计算工程采购授予中小企业合同金额占工程支出金额的百分比；由于服务支出金额为 0 万元，无法计算服务采购授予中小企业合同金额占服务支出金额的百分比。 </w:t>
      </w:r>
    </w:p>
    <w:p>
      <w:pPr>
        <w:keepNext w:val="0"/>
        <w:keepLines w:val="0"/>
        <w:widowControl/>
        <w:suppressLineNumbers w:val="0"/>
        <w:jc w:val="left"/>
        <w:outlineLvl w:val="0"/>
      </w:pPr>
      <w:r>
        <w:rPr>
          <w:rFonts w:hint="eastAsia" w:ascii="仿宋" w:hAnsi="仿宋" w:eastAsia="仿宋" w:cs="仿宋"/>
          <w:b/>
          <w:bCs/>
          <w:color w:val="000000"/>
          <w:kern w:val="0"/>
          <w:sz w:val="32"/>
          <w:szCs w:val="32"/>
          <w:lang w:val="en-US" w:eastAsia="zh-CN" w:bidi="ar"/>
        </w:rPr>
        <w:t xml:space="preserve">十三、关于国有资产占用情况说明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截至 2022 年 12 月 31 日，本部门共有公务用车 1 辆，其中，主要领导干部用车 0 辆、机要通信用车 0 辆、应急保障用车 0 辆、执法执勤用车 0 辆、特种专业技术用车 0 辆、其他按照规定配备的公务用车 1 辆，其他用车主要是城际之间的公务出行；单位价值 50 万元以上通用设备 0 台（套），单位价值 100 万元以上专用设备 0 台（套）。 </w:t>
      </w:r>
    </w:p>
    <w:p>
      <w:pPr>
        <w:keepNext w:val="0"/>
        <w:keepLines w:val="0"/>
        <w:widowControl/>
        <w:suppressLineNumbers w:val="0"/>
        <w:jc w:val="left"/>
        <w:outlineLvl w:val="0"/>
      </w:pPr>
      <w:r>
        <w:rPr>
          <w:rFonts w:hint="eastAsia" w:ascii="仿宋" w:hAnsi="仿宋" w:eastAsia="仿宋" w:cs="仿宋"/>
          <w:b/>
          <w:bCs/>
          <w:color w:val="000000"/>
          <w:kern w:val="0"/>
          <w:sz w:val="32"/>
          <w:szCs w:val="32"/>
          <w:lang w:val="en-US" w:eastAsia="zh-CN" w:bidi="ar"/>
        </w:rPr>
        <w:t xml:space="preserve">十四、关于 2022 年度预算绩效情况的说明 </w:t>
      </w:r>
    </w:p>
    <w:p>
      <w:pPr>
        <w:keepNext w:val="0"/>
        <w:keepLines w:val="0"/>
        <w:widowControl/>
        <w:suppressLineNumbers w:val="0"/>
        <w:jc w:val="left"/>
        <w:outlineLvl w:val="1"/>
      </w:pPr>
      <w:r>
        <w:rPr>
          <w:rFonts w:hint="eastAsia" w:ascii="仿宋" w:hAnsi="仿宋" w:eastAsia="仿宋" w:cs="仿宋"/>
          <w:b/>
          <w:bCs/>
          <w:color w:val="000000"/>
          <w:kern w:val="0"/>
          <w:sz w:val="32"/>
          <w:szCs w:val="32"/>
          <w:lang w:val="en-US" w:eastAsia="zh-CN" w:bidi="ar"/>
        </w:rPr>
        <w:t xml:space="preserve">（一）部门整体支出绩效情况 </w:t>
      </w: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2022 年部门支出基本满足机关正常运转，确保了各项计划和任务的完成。较好地履行了职责，交通运输为全县经济社会发展提供了强力支撑。完善</w:t>
      </w:r>
      <w:bookmarkStart w:id="0" w:name="_GoBack"/>
      <w:bookmarkEnd w:id="0"/>
      <w:r>
        <w:rPr>
          <w:rFonts w:hint="eastAsia" w:ascii="仿宋" w:hAnsi="仿宋" w:eastAsia="仿宋" w:cs="仿宋"/>
          <w:color w:val="000000"/>
          <w:kern w:val="0"/>
          <w:sz w:val="32"/>
          <w:szCs w:val="32"/>
          <w:lang w:val="en-US" w:eastAsia="zh-CN" w:bidi="ar"/>
        </w:rPr>
        <w:t>民生保障机制，强化预算收支管理，推进财税体制改革，较好地完成了全年各项工作任务，取得了较好的社会经济效益。</w:t>
      </w:r>
    </w:p>
    <w:p>
      <w:pPr>
        <w:keepNext w:val="0"/>
        <w:keepLines w:val="0"/>
        <w:widowControl/>
        <w:suppressLineNumbers w:val="0"/>
        <w:jc w:val="left"/>
        <w:outlineLvl w:val="1"/>
      </w:pPr>
      <w:r>
        <w:rPr>
          <w:rFonts w:hint="eastAsia" w:ascii="仿宋" w:hAnsi="仿宋" w:eastAsia="仿宋" w:cs="仿宋"/>
          <w:b/>
          <w:bCs/>
          <w:color w:val="000000"/>
          <w:kern w:val="0"/>
          <w:sz w:val="32"/>
          <w:szCs w:val="32"/>
          <w:lang w:val="en-US" w:eastAsia="zh-CN" w:bidi="ar"/>
        </w:rPr>
        <w:t xml:space="preserve">（二）存在的问题及原因分析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1、预算执行率有待进一步提高。主要是部分项目结算进度较慢或者为跨年项目，未能在当年形成支出。2、绩效目标设置有待进一步完善。主要是部分业务处室对预算绩效目标设置理解不够，在结合实际工作科学设置绩效目标方面还需要继续完善。3、年初部门预算前瞻性有待进一步加强。年初部门预算编制不够精准，年中追加了部分预算。4、由于财政下拨的年初预算按编制情况标准安排单位人员基本经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费，远远小于民生支出的刚性需求，导致使用财政的其他拨款弥补支出 </w:t>
      </w:r>
    </w:p>
    <w:p>
      <w:pPr>
        <w:keepNext w:val="0"/>
        <w:keepLines w:val="0"/>
        <w:widowControl/>
        <w:suppressLineNumbers w:val="0"/>
        <w:jc w:val="left"/>
        <w:outlineLvl w:val="1"/>
      </w:pPr>
      <w:r>
        <w:rPr>
          <w:rFonts w:hint="eastAsia" w:ascii="仿宋" w:hAnsi="仿宋" w:eastAsia="仿宋" w:cs="仿宋"/>
          <w:b/>
          <w:bCs/>
          <w:color w:val="000000"/>
          <w:kern w:val="0"/>
          <w:sz w:val="32"/>
          <w:szCs w:val="32"/>
          <w:lang w:val="en-US" w:eastAsia="zh-CN" w:bidi="ar"/>
        </w:rPr>
        <w:t xml:space="preserve">（三）部门整体支出绩效自评结果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部门整体支出绩效自评结果为 91.7 分。1、进一步提高预算执行率。加强预算执行动态分析，针对项目跨年度结算的问题，争取项目尽早计划、尽早开展、尽早结算，加快预算执行进度，提高财政资金使用效益。2、进一步加强预算绩效管理。加大对《湖南省预算绩效目标管理办法》相关规定的宣传和培训，增强预算支出责任地，提高资金效益。3、重视预算绩效评价结果应用和公开。对预算绩效自评发现 </w:t>
      </w: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的问题，及时改进。按照县财政统一时点公开绩效自评报告，接受社会监督。</w:t>
      </w: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 </w:t>
      </w:r>
    </w:p>
    <w:p>
      <w:pPr>
        <w:keepNext w:val="0"/>
        <w:keepLines w:val="0"/>
        <w:widowControl/>
        <w:suppressLineNumbers w:val="0"/>
        <w:jc w:val="center"/>
      </w:pPr>
      <w:r>
        <w:rPr>
          <w:rFonts w:hint="eastAsia" w:ascii="仿宋" w:hAnsi="仿宋" w:eastAsia="仿宋" w:cs="仿宋"/>
          <w:b/>
          <w:bCs/>
          <w:color w:val="000000"/>
          <w:kern w:val="0"/>
          <w:sz w:val="52"/>
          <w:szCs w:val="52"/>
          <w:lang w:val="en-US" w:eastAsia="zh-CN" w:bidi="ar"/>
        </w:rPr>
        <w:t>第四部分</w:t>
      </w:r>
    </w:p>
    <w:p>
      <w:pPr>
        <w:keepNext w:val="0"/>
        <w:keepLines w:val="0"/>
        <w:widowControl/>
        <w:suppressLineNumbers w:val="0"/>
        <w:jc w:val="center"/>
        <w:outlineLvl w:val="0"/>
        <w:rPr>
          <w:rFonts w:hint="eastAsia" w:ascii="仿宋" w:hAnsi="仿宋" w:eastAsia="仿宋" w:cs="仿宋"/>
          <w:b/>
          <w:bCs/>
          <w:color w:val="000000"/>
          <w:kern w:val="0"/>
          <w:sz w:val="52"/>
          <w:szCs w:val="52"/>
          <w:lang w:val="en-US" w:eastAsia="zh-CN" w:bidi="ar"/>
        </w:rPr>
      </w:pPr>
      <w:r>
        <w:rPr>
          <w:rFonts w:hint="eastAsia" w:ascii="仿宋" w:hAnsi="仿宋" w:eastAsia="仿宋" w:cs="仿宋"/>
          <w:b/>
          <w:bCs/>
          <w:color w:val="000000"/>
          <w:kern w:val="0"/>
          <w:sz w:val="52"/>
          <w:szCs w:val="52"/>
          <w:lang w:val="en-US" w:eastAsia="zh-CN" w:bidi="ar"/>
        </w:rPr>
        <w:t>名词解释</w:t>
      </w: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center"/>
        <w:rPr>
          <w:rFonts w:hint="eastAsia" w:ascii="仿宋" w:hAnsi="仿宋" w:eastAsia="仿宋" w:cs="仿宋"/>
          <w:b/>
          <w:bCs/>
          <w:color w:val="000000"/>
          <w:kern w:val="0"/>
          <w:sz w:val="52"/>
          <w:szCs w:val="52"/>
          <w:lang w:val="en-US" w:eastAsia="zh-CN" w:bidi="ar"/>
        </w:rPr>
      </w:pP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1．财政拨款收入：指单位本年度从同级财政部门取得的各类财政拨款。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2．上级补助收入：指事业单位从主管部门和上级单位取得的非财政补助收入。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3．事业收入：指事业单位开展专业业务活动及其辅助活动取得的收入，事业单位收到的财政专户实际核拨的教育收费等资金在此反映。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4．经营收入：指事业单位在专业业务活动及其辅助活动之外开展非独立核算经营活动取得的收入。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5．附属单位上缴收入：指事业单位附属独立核算单位按照有关规定上缴的收入。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6．其他收入：指单位取得的除上述“财政拨款收入”、“事业收入”、“经营收入”等以外的各项收入。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7．使用非财政拨款结余：指事业单位使用非财政拨款结余（原事业基金）弥补当年收支差额的数额。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8．年初结转和结余：指单位上年结转本年使用的基本支出结转、项目支出结转和结余和经营结余。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9．结余分配：指事业单位按规定对非财政拨款结余资金提取的专用基金、缴纳的所得税和转入非财政拨款结余等。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10．年末结转和结余资金：指本年度或以前年度预算安排、因客观条件发生变化无法按原计划实施，需要延迟到以后年度按有关规定继续使用的资金。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11．基本支出：指为保障机构正常运转、完成日常工作任务而发生的支出，包括人员经费和公用经费。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12．项目支出：指在为完成特定的工作任务和事业发展目标所发生的支出。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13．上缴上级支出：指事业单位按照财政部门和主管部门的规定上缴上级单位的支出。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14．经营支出：指事业单位在专业业务活动及其辅助活动之外开展非独立核算经营活动发生的支出。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15．对附属单位补助支出：指事业单位用财政拨款收入之外的收入对附属单位补助发生的支出。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16．“三公”经费：指单位用一般公共预算财政拨款安排的因公出国（境）费、公务用车购置及运行维护费和公务接待费。其中，因公出国（境）费反映单位公务出国（境）的国际旅费、国外城市间交通费、住宿费、伙食费、培训费、公杂费等支出；公务用车购置及运行维护费反映单位公务用车购置支出（含车辆购置税、牌照费）以及按规定保留的公务用车燃料费、维修费、过路过桥费、保险费、安全奖励费用等支出；公务接待费反映单位按规定开支的各类公务接待（含外宾接待）费用。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17．机关运行经费：指行政单位（含参照公务员法管理的事业单位）使用一般公共预算安排的基本支出中的公用经费支出，包括办公及印刷费、邮电费、差旅费、会议费、福利费、日常维修费、专用材料及一般设备购置费、办公用房水电费、办公用房取暖费、办公用房物业管理费、公务用车运行维护费及其他费用。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18．一般公共服务支出（类）人大事务（款）事业运行（项）：反映事业单位的基本支出，不包括行政单位（包括实行公务 员管理的事业单位）后勤服务中心、医务室等附属事业单位。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19．一般公共服务支出（类）其他一般公共服务支出（款）其他一般公共服务支出（项）：反映除上述项目以外的其他一般公共服务支出。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20．社会保障和就业支出（类）行政事业单位养老支出（款）机关事业单位基本养老保险缴费支出（项）：反映机关事业单位实施养老保险制度由单位缴纳的基本养老保险费支出。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21．社会保障和就业支出（类）行政事业单位养老支出（款）其他行政事业单位养老支出（项）：反映除上述项目以外其他用于行政事业单位养老方面的支出。 </w:t>
      </w: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22．社会保障和就业支出（类）抚恤（款）死亡抚恤（项）：反映按规定用于烈士和牺牲、病故人员家属的一次性和定期 抚恤金、丧葬补助费以及烈士褒扬金。</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23．社会保障和就业支出（类）抚恤（款）其他优抚支出（项）：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反映除上述项目以外其他用于优抚方面的支出，包括向优抚 对象发放的价格临时补贴等支出。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24．卫生健康支出（类）行政事业单位医疗（款）行政单位医疗（项）：反映财政部门安排的行政单位（包括实行公务员管理的事业 单位，下同）基本医疗保险缴费经费，未参加医疗保险的行政 单位的公费医疗经费，按国家规定享受离休人员、红军老战士 待遇人员的医疗经费。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25．卫生健康支出（类）行政事业单位医疗（款）事业单位医疗（项）：反映财政部门安排的事业单位基本医疗保险缴费经费，未参 加医疗保险的事业单位的公费医疗经费，按国家规定享受离休 人员待遇的医疗经费。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26．卫生健康支出（类）财政对基本医疗保险基金的补助（款）财政对其他基本医疗保险基金的补助（项）：反映财政对其他基本医疗保险基金的补助支出。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27．农林水支出（类）水利（款）其他水利支出（项）：反映除上述项目以外其他用于水利方面的支出。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28．交通运输支出（类）公路水路运输（款）行政运行（项）：反映行政单位（包括实行公务员管理的事业单位）的基本支出。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29．交通运输支出（类）公路水路运输（款）公路建设（项）：反映新建公路支出，公路改建支出，特大型桥梁建设支出， 公路客货运站（场）建设支出。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30．交通运输支出（类）公路水路运输（款）公路养护（项）：反映公路养护支出。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31．交通运输支出（类）公路水路运输（款）其他公路水路运输支出（项）：反映除上述项目以外其他用于公路水路运输方面的支出。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32．交通运输支出（类）铁路运输（款）一般行政管理事务（项）.反映行政单位（包括实行公务员管理的事业单位）未单独 设置项级科目的其他项目支出。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33．交通运输支出（类）车辆购置税支出（款）车辆购置税用于公路等基础设施建设支出（项）：反映车辆购置税收入安排用于公路等基础设施建设的支出。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34．交通运输支出（类）其他交通运输支出（款）公共交通运营补助（项）：反映对公共交通运输企业的补助支出。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35．交通运输支出（类）其他交通运输支出（款）其他交通运输支出（项）：反映其他交通运输支出中隠寸公共交通运营补助以外的其他支出。 </w:t>
      </w:r>
    </w:p>
    <w:p>
      <w:pPr>
        <w:keepNext w:val="0"/>
        <w:keepLines w:val="0"/>
        <w:widowControl/>
        <w:suppressLineNumbers w:val="0"/>
        <w:jc w:val="left"/>
      </w:pPr>
      <w:r>
        <w:rPr>
          <w:rFonts w:hint="eastAsia" w:ascii="仿宋" w:hAnsi="仿宋" w:eastAsia="仿宋" w:cs="仿宋"/>
          <w:color w:val="000000"/>
          <w:kern w:val="0"/>
          <w:sz w:val="32"/>
          <w:szCs w:val="32"/>
          <w:lang w:val="en-US" w:eastAsia="zh-CN" w:bidi="ar"/>
        </w:rPr>
        <w:t xml:space="preserve">36．住房保障支出（类）住房改革支出（款）住房公积金（项）： </w:t>
      </w: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r>
        <w:rPr>
          <w:rFonts w:hint="eastAsia" w:ascii="仿宋" w:hAnsi="仿宋" w:eastAsia="仿宋" w:cs="仿宋"/>
          <w:color w:val="000000"/>
          <w:kern w:val="0"/>
          <w:sz w:val="32"/>
          <w:szCs w:val="32"/>
          <w:lang w:val="en-US" w:eastAsia="zh-CN" w:bidi="ar"/>
        </w:rPr>
        <w:t xml:space="preserve">反映行政事业单位按人力资源和社会保障部、财政部规定的 基本工资和津贴补贴以及规定比例为职工缴纳的住房公积金。 </w:t>
      </w: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left"/>
        <w:rPr>
          <w:rFonts w:hint="eastAsia" w:ascii="仿宋" w:hAnsi="仿宋" w:eastAsia="仿宋" w:cs="仿宋"/>
          <w:color w:val="000000"/>
          <w:kern w:val="0"/>
          <w:sz w:val="32"/>
          <w:szCs w:val="32"/>
          <w:lang w:val="en-US" w:eastAsia="zh-CN" w:bidi="ar"/>
        </w:rPr>
      </w:pPr>
    </w:p>
    <w:p>
      <w:pPr>
        <w:keepNext w:val="0"/>
        <w:keepLines w:val="0"/>
        <w:widowControl/>
        <w:suppressLineNumbers w:val="0"/>
        <w:jc w:val="center"/>
      </w:pPr>
      <w:r>
        <w:rPr>
          <w:rFonts w:hint="eastAsia" w:ascii="仿宋" w:hAnsi="仿宋" w:eastAsia="仿宋" w:cs="仿宋"/>
          <w:b/>
          <w:bCs/>
          <w:color w:val="000000"/>
          <w:kern w:val="0"/>
          <w:sz w:val="52"/>
          <w:szCs w:val="52"/>
          <w:lang w:val="en-US" w:eastAsia="zh-CN" w:bidi="ar"/>
        </w:rPr>
        <w:t>第五部分</w:t>
      </w:r>
    </w:p>
    <w:p>
      <w:pPr>
        <w:keepNext w:val="0"/>
        <w:keepLines w:val="0"/>
        <w:widowControl/>
        <w:suppressLineNumbers w:val="0"/>
        <w:jc w:val="center"/>
        <w:outlineLvl w:val="0"/>
      </w:pPr>
      <w:r>
        <w:rPr>
          <w:rFonts w:hint="eastAsia" w:ascii="仿宋" w:hAnsi="仿宋" w:eastAsia="仿宋" w:cs="仿宋"/>
          <w:b/>
          <w:bCs/>
          <w:color w:val="000000"/>
          <w:kern w:val="0"/>
          <w:sz w:val="52"/>
          <w:szCs w:val="52"/>
          <w:lang w:val="en-US" w:eastAsia="zh-CN" w:bidi="ar"/>
        </w:rPr>
        <w:t>附件</w:t>
      </w:r>
    </w:p>
    <w:p>
      <w:pPr>
        <w:keepNext w:val="0"/>
        <w:keepLines w:val="0"/>
        <w:widowControl/>
        <w:suppressLineNumbers w:val="0"/>
        <w:jc w:val="left"/>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ljN2ZlNzgzYTUzZGRmZjFjMzViNzM2ODlkM2JhODkifQ=="/>
  </w:docVars>
  <w:rsids>
    <w:rsidRoot w:val="4FCC278C"/>
    <w:rsid w:val="041B2C87"/>
    <w:rsid w:val="0B2C056F"/>
    <w:rsid w:val="112F7E24"/>
    <w:rsid w:val="113B2C8D"/>
    <w:rsid w:val="11C62861"/>
    <w:rsid w:val="13A51B3A"/>
    <w:rsid w:val="1A5722E9"/>
    <w:rsid w:val="22E771D2"/>
    <w:rsid w:val="26016BD2"/>
    <w:rsid w:val="262050BD"/>
    <w:rsid w:val="35FE453A"/>
    <w:rsid w:val="44F95CC4"/>
    <w:rsid w:val="45AA3F79"/>
    <w:rsid w:val="4B055BE0"/>
    <w:rsid w:val="4C1921C6"/>
    <w:rsid w:val="4C205178"/>
    <w:rsid w:val="4FCC278C"/>
    <w:rsid w:val="50F67A62"/>
    <w:rsid w:val="51AF293F"/>
    <w:rsid w:val="51E77D13"/>
    <w:rsid w:val="56891ABB"/>
    <w:rsid w:val="5778247D"/>
    <w:rsid w:val="59053EBF"/>
    <w:rsid w:val="59717778"/>
    <w:rsid w:val="5A7A2875"/>
    <w:rsid w:val="5BB75004"/>
    <w:rsid w:val="62B520DD"/>
    <w:rsid w:val="65AA6D2A"/>
    <w:rsid w:val="65E240AB"/>
    <w:rsid w:val="674A4AAC"/>
    <w:rsid w:val="6B380D69"/>
    <w:rsid w:val="7111001F"/>
    <w:rsid w:val="711420FC"/>
    <w:rsid w:val="7482699A"/>
    <w:rsid w:val="7FC839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Layout w:type="fixed"/>
      <w:tblCellMar>
        <w:top w:w="0" w:type="dxa"/>
        <w:left w:w="108" w:type="dxa"/>
        <w:bottom w:w="0" w:type="dxa"/>
        <w:right w:w="108" w:type="dxa"/>
      </w:tblCellMar>
    </w:tblPr>
  </w:style>
  <w:style w:type="paragraph" w:customStyle="1" w:styleId="4">
    <w:name w:val="18"/>
    <w:basedOn w:val="1"/>
    <w:qFormat/>
    <w:uiPriority w:val="0"/>
    <w:pPr>
      <w:keepNext w:val="0"/>
      <w:keepLines w:val="0"/>
      <w:widowControl w:val="0"/>
      <w:suppressLineNumbers w:val="0"/>
      <w:spacing w:before="0" w:beforeAutospacing="0" w:after="0" w:afterAutospacing="0"/>
      <w:ind w:left="0" w:right="0"/>
      <w:jc w:val="both"/>
    </w:pPr>
    <w:rPr>
      <w:rFonts w:hint="eastAsia" w:ascii="等线" w:hAnsi="等线" w:eastAsia="等线" w:cs="Times New Roman"/>
      <w:kern w:val="2"/>
      <w:sz w:val="21"/>
      <w:szCs w:val="22"/>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25</Pages>
  <Words>0</Words>
  <Characters>0</Characters>
  <Lines>0</Lines>
  <Paragraphs>0</Paragraphs>
  <TotalTime>1</TotalTime>
  <ScaleCrop>false</ScaleCrop>
  <LinksUpToDate>false</LinksUpToDate>
  <CharactersWithSpaces>0</CharactersWithSpaces>
  <Application>WPS Office_11.8.2.8721_F1E327BC-269C-435d-A152-05C5408002CA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2024-08-08T08:53:00Z</dcterms:created>
  <dc:creator>迪an</dc:creator>
  <cp:lastModifiedBy>JD-PC</cp:lastModifiedBy>
  <dcterms:modified xsi:type="dcterms:W3CDTF">2024-09-02T14:44:43Z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2052-11.8.2.8721</vt:lpwstr>
  </property>
  <property fmtid="{D5CDD505-2E9C-101B-9397-08002B2CF9AE}" pid="3" name="ICV">
    <vt:lpwstr>4A76AA2C103F4A5DB3C9E26527018D20_11</vt:lpwstr>
  </property>
</Properties>
</file>