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bCs/>
          <w:kern w:val="0"/>
          <w:sz w:val="24"/>
          <w:szCs w:val="24"/>
        </w:rPr>
      </w:pPr>
    </w:p>
    <w:p>
      <w:pPr>
        <w:spacing w:line="640" w:lineRule="exact"/>
        <w:jc w:val="center"/>
        <w:rPr>
          <w:rFonts w:ascii="方正大标宋简体" w:eastAsia="方正大标宋简体" w:hAnsiTheme="majorEastAsia" w:cstheme="majorEastAsia"/>
          <w:bCs/>
          <w:kern w:val="0"/>
          <w:sz w:val="44"/>
          <w:szCs w:val="44"/>
        </w:rPr>
      </w:pPr>
      <w:r>
        <w:rPr>
          <w:rFonts w:hint="eastAsia" w:ascii="方正大标宋简体" w:eastAsia="方正大标宋简体" w:hAnsiTheme="majorEastAsia" w:cstheme="majorEastAsia"/>
          <w:bCs/>
          <w:kern w:val="0"/>
          <w:sz w:val="44"/>
          <w:szCs w:val="44"/>
        </w:rPr>
        <w:t>衡南县发展和改革局</w:t>
      </w:r>
      <w:r>
        <w:rPr>
          <w:rFonts w:hint="eastAsia" w:ascii="方正大标宋简体" w:eastAsia="方正大标宋简体" w:hAnsiTheme="majorEastAsia" w:cstheme="majorEastAsia"/>
          <w:bCs/>
          <w:kern w:val="0"/>
          <w:sz w:val="44"/>
          <w:szCs w:val="44"/>
          <w:lang w:val="en-US" w:eastAsia="zh-CN"/>
        </w:rPr>
        <w:t>2022年</w:t>
      </w:r>
      <w:r>
        <w:rPr>
          <w:rFonts w:hint="eastAsia" w:ascii="方正大标宋简体" w:eastAsia="方正大标宋简体" w:hAnsiTheme="majorEastAsia" w:cstheme="majorEastAsia"/>
          <w:bCs/>
          <w:kern w:val="0"/>
          <w:sz w:val="44"/>
          <w:szCs w:val="44"/>
        </w:rPr>
        <w:t>部门整体支出绩效自评报告</w:t>
      </w:r>
    </w:p>
    <w:p>
      <w:pPr>
        <w:pStyle w:val="9"/>
        <w:spacing w:after="0" w:line="600" w:lineRule="exact"/>
        <w:ind w:firstLine="400"/>
      </w:pPr>
    </w:p>
    <w:p>
      <w:pPr>
        <w:spacing w:line="580" w:lineRule="exact"/>
        <w:ind w:firstLine="640" w:firstLineChars="200"/>
        <w:rPr>
          <w:rFonts w:ascii="仿宋" w:hAnsi="仿宋" w:eastAsia="仿宋" w:cs="仿宋"/>
          <w:b/>
          <w:bCs/>
          <w:kern w:val="0"/>
          <w:sz w:val="32"/>
          <w:szCs w:val="32"/>
        </w:rPr>
      </w:pPr>
      <w:r>
        <w:rPr>
          <w:rFonts w:hint="eastAsia" w:ascii="仿宋_GB2312" w:hAnsi="仿宋_GB2312" w:eastAsia="仿宋_GB2312" w:cs="仿宋_GB2312"/>
          <w:kern w:val="0"/>
          <w:sz w:val="32"/>
          <w:szCs w:val="32"/>
        </w:rPr>
        <w:t>为加强财政预算资金管理，进一步规范预算资金使用，提高财政资金使用效益，根据《衡南县财政局关于开展202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年度财政资金绩效自评工作的通知》要求，我局对202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年度本单位整体支出进行了绩效自评，现将具体绩效评价情况报告如下：</w:t>
      </w:r>
    </w:p>
    <w:p>
      <w:pPr>
        <w:spacing w:line="580" w:lineRule="exact"/>
        <w:ind w:firstLine="640" w:firstLineChars="200"/>
        <w:rPr>
          <w:rFonts w:ascii="黑体" w:hAnsi="黑体" w:eastAsia="黑体" w:cs="仿宋_GB2312"/>
          <w:kern w:val="0"/>
          <w:sz w:val="32"/>
          <w:szCs w:val="32"/>
        </w:rPr>
      </w:pPr>
      <w:r>
        <w:rPr>
          <w:rFonts w:hint="eastAsia" w:ascii="黑体" w:hAnsi="黑体" w:eastAsia="黑体" w:cs="仿宋_GB2312"/>
          <w:bCs/>
          <w:kern w:val="0"/>
          <w:sz w:val="32"/>
          <w:szCs w:val="32"/>
        </w:rPr>
        <w:t>一、部门基本情况</w:t>
      </w:r>
    </w:p>
    <w:p>
      <w:pPr>
        <w:spacing w:line="580" w:lineRule="exact"/>
        <w:ind w:firstLine="643" w:firstLineChars="200"/>
        <w:rPr>
          <w:rFonts w:ascii="楷体_GB2312" w:hAnsi="仿宋_GB2312" w:eastAsia="楷体_GB2312" w:cs="仿宋_GB2312"/>
          <w:b/>
          <w:kern w:val="0"/>
          <w:sz w:val="32"/>
          <w:szCs w:val="32"/>
        </w:rPr>
      </w:pPr>
      <w:r>
        <w:rPr>
          <w:rFonts w:hint="eastAsia" w:ascii="楷体_GB2312" w:hAnsi="仿宋_GB2312" w:eastAsia="楷体_GB2312" w:cs="仿宋_GB2312"/>
          <w:b/>
          <w:kern w:val="0"/>
          <w:sz w:val="32"/>
          <w:szCs w:val="32"/>
        </w:rPr>
        <w:t>1.部门职责</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衡南县发展和改革局是县政府工作部门，是综合研究拟定全县经济和社会发展政策，进行总量平衡，指导全县总体经济体制改革的宏观调控部门。主要职责有：</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（1）拟定并组织实施全县国民经济和社会发展战略、中长期规划和年度计划。</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（2）研究提出加快建设现代化经济体系、推动高质量发展的总体目标、重大任务及相关政策。</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（3）研究提出全县国民经济和社会发展主要目标，监测预测预警宏观经济和社会发展态势趋势，提出宏观调控政策建议，综合协调宏观经济政策，牵头研究宏观经济应对措施。</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（4）调节经济运行，协调解决经济运行中的重大问题。</w:t>
      </w:r>
    </w:p>
    <w:p>
      <w:pPr>
        <w:spacing w:line="580" w:lineRule="exact"/>
        <w:ind w:firstLine="624" w:firstLineChars="200"/>
        <w:rPr>
          <w:rFonts w:ascii="仿宋_GB2312" w:hAnsi="仿宋_GB2312" w:eastAsia="仿宋_GB2312" w:cs="仿宋_GB2312"/>
          <w:spacing w:val="-4"/>
          <w:kern w:val="0"/>
          <w:sz w:val="32"/>
          <w:szCs w:val="32"/>
        </w:rPr>
      </w:pPr>
      <w:r>
        <w:rPr>
          <w:rFonts w:hint="eastAsia" w:ascii="仿宋_GB2312" w:hAnsi="仿宋_GB2312" w:eastAsia="仿宋_GB2312" w:cs="仿宋_GB2312"/>
          <w:spacing w:val="-4"/>
          <w:kern w:val="0"/>
          <w:sz w:val="32"/>
          <w:szCs w:val="32"/>
        </w:rPr>
        <w:t>（5）研究提出和综合协调全县经济体制改革的建议与措施。</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（6）研究提出全县利用外资和境外投资的战略、规划、总量平衡和结构优化的政策。</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（7）负责投资综合管理，拟定全县全社会固定资产投资总规模和投资结构的调控目标、政策及措施。</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（8）推进落实区域协调发展战略、新型城镇化战略和重大政策，组织拟定相关区域规划和政策。</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（9）组织拟定综合性产业政策，负责协调第一、二、三产业发展的重大问题并统筹衔接相关发展规划和重大政策；推动实施创新驱动发展战略。</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（10）跟踪研判涉及经济安全、生态安全、资源安全、科技安全、社会安全等各类风险隐患，提出相关工作建议。</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（11）负责社会发展与国民经济发展的政策衔接，组织拟定社会发展战略、总体规划。</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（12）推进可持续发展战略，推动生态文明建设和改革，协调生态环境保护与修护、能源资源节约和综合利用等工作。</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（13）负责能源规划与社会发展规划的协调衔接。</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（14）拟定全县价格改革方案和年度计划，研究提出价格调控目标和政策建议，组织实施价格总水平调控。</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（15）牵头组织监督公共资源交易活动；研究拟定推进社会信用体系建设的法规、规划、政策措施，统筹推动统一的社会信用信息平台建设，协调有关重大问题。</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（16）会同有关部门拟定推进全县经济建设与国防建设协调发展。</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（17）牵头承担县国防动员委员会、推进“一带一路”建设暨国际产能合作领导小组、县推动长江经济带发展领导小组、县促进中部地区崛起领导小组等有关具体工作。</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（18）负责本行业领域职责范围内的应急管理工作，对本行业领域职责范围内的安全生产工作实施监督管理。</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（19）完成县委和县政府交办的其他任务。</w:t>
      </w:r>
    </w:p>
    <w:p>
      <w:pPr>
        <w:numPr>
          <w:ilvl w:val="0"/>
          <w:numId w:val="1"/>
        </w:numPr>
        <w:spacing w:line="580" w:lineRule="exact"/>
        <w:ind w:firstLine="643" w:firstLineChars="200"/>
        <w:rPr>
          <w:rFonts w:ascii="楷体_GB2312" w:hAnsi="仿宋_GB2312" w:eastAsia="楷体_GB2312" w:cs="仿宋_GB2312"/>
          <w:b/>
          <w:kern w:val="0"/>
          <w:sz w:val="32"/>
          <w:szCs w:val="32"/>
        </w:rPr>
      </w:pPr>
      <w:r>
        <w:rPr>
          <w:rFonts w:hint="eastAsia" w:ascii="楷体_GB2312" w:hAnsi="仿宋_GB2312" w:eastAsia="楷体_GB2312" w:cs="仿宋_GB2312"/>
          <w:b/>
          <w:kern w:val="0"/>
          <w:sz w:val="32"/>
          <w:szCs w:val="32"/>
        </w:rPr>
        <w:t>机构设置情况</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为了推进上述职能工作的开展，我局下设办公室、行政审批服务股、固定资产投资股（国民经济综合和法规股）、农村经济股、工交能源和环保资源股（县“两型”社会建设办公室）、社会发展股（服务业股）、价格管理股共七个股室。同时，下设衡南县重点项目建设事务中心、衡南县价格认证中心、衡南县成本调查队三个非独立核算二级机构。</w:t>
      </w:r>
    </w:p>
    <w:p>
      <w:pPr>
        <w:numPr>
          <w:ilvl w:val="0"/>
          <w:numId w:val="1"/>
        </w:numPr>
        <w:spacing w:line="580" w:lineRule="exact"/>
        <w:ind w:firstLine="643" w:firstLineChars="200"/>
        <w:rPr>
          <w:rFonts w:ascii="楷体_GB2312" w:hAnsi="仿宋_GB2312" w:eastAsia="楷体_GB2312" w:cs="仿宋_GB2312"/>
          <w:b/>
          <w:kern w:val="0"/>
          <w:sz w:val="32"/>
          <w:szCs w:val="32"/>
        </w:rPr>
      </w:pPr>
      <w:r>
        <w:rPr>
          <w:rFonts w:hint="eastAsia" w:ascii="楷体_GB2312" w:hAnsi="仿宋_GB2312" w:eastAsia="楷体_GB2312" w:cs="仿宋_GB2312"/>
          <w:b/>
          <w:kern w:val="0"/>
          <w:sz w:val="32"/>
          <w:szCs w:val="32"/>
        </w:rPr>
        <w:t>人员编制情况</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年12月底共有干部职工</w:t>
      </w:r>
      <w:r>
        <w:rPr>
          <w:rFonts w:hint="eastAsia" w:ascii="仿宋_GB2312" w:hAnsi="仿宋_GB2312" w:eastAsia="仿宋_GB2312" w:cs="仿宋_GB2312"/>
          <w:kern w:val="0"/>
          <w:sz w:val="32"/>
          <w:szCs w:val="32"/>
          <w:lang w:val="en-US" w:eastAsia="zh-CN"/>
        </w:rPr>
        <w:t>90</w:t>
      </w:r>
      <w:r>
        <w:rPr>
          <w:rFonts w:hint="eastAsia" w:ascii="仿宋_GB2312" w:hAnsi="仿宋_GB2312" w:eastAsia="仿宋_GB2312" w:cs="仿宋_GB2312"/>
          <w:kern w:val="0"/>
          <w:sz w:val="32"/>
          <w:szCs w:val="32"/>
        </w:rPr>
        <w:t>人，其中在职</w:t>
      </w:r>
      <w:r>
        <w:rPr>
          <w:rFonts w:hint="eastAsia" w:ascii="仿宋_GB2312" w:hAnsi="仿宋_GB2312" w:eastAsia="仿宋_GB2312" w:cs="仿宋_GB2312"/>
          <w:kern w:val="0"/>
          <w:sz w:val="32"/>
          <w:szCs w:val="32"/>
          <w:lang w:val="en-US" w:eastAsia="zh-CN"/>
        </w:rPr>
        <w:t>49</w:t>
      </w:r>
      <w:r>
        <w:rPr>
          <w:rFonts w:hint="eastAsia" w:ascii="仿宋_GB2312" w:hAnsi="仿宋_GB2312" w:eastAsia="仿宋_GB2312" w:cs="仿宋_GB2312"/>
          <w:kern w:val="0"/>
          <w:sz w:val="32"/>
          <w:szCs w:val="32"/>
        </w:rPr>
        <w:t>人（含全额编制</w:t>
      </w:r>
      <w:r>
        <w:rPr>
          <w:rFonts w:hint="eastAsia" w:ascii="仿宋_GB2312" w:hAnsi="仿宋_GB2312" w:eastAsia="仿宋_GB2312" w:cs="仿宋_GB2312"/>
          <w:kern w:val="0"/>
          <w:sz w:val="32"/>
          <w:szCs w:val="32"/>
          <w:lang w:val="en-US" w:eastAsia="zh-CN"/>
        </w:rPr>
        <w:t>43</w:t>
      </w:r>
      <w:r>
        <w:rPr>
          <w:rFonts w:hint="eastAsia" w:ascii="仿宋_GB2312" w:hAnsi="仿宋_GB2312" w:eastAsia="仿宋_GB2312" w:cs="仿宋_GB2312"/>
          <w:kern w:val="0"/>
          <w:sz w:val="32"/>
          <w:szCs w:val="32"/>
        </w:rPr>
        <w:t>、非全额编制</w:t>
      </w:r>
      <w:r>
        <w:rPr>
          <w:rFonts w:hint="eastAsia" w:ascii="仿宋_GB2312" w:hAnsi="仿宋_GB2312" w:eastAsia="仿宋_GB2312" w:cs="仿宋_GB2312"/>
          <w:kern w:val="0"/>
          <w:sz w:val="32"/>
          <w:szCs w:val="32"/>
          <w:lang w:val="en-US" w:eastAsia="zh-CN"/>
        </w:rPr>
        <w:t>6</w:t>
      </w:r>
      <w:r>
        <w:rPr>
          <w:rFonts w:hint="eastAsia" w:ascii="仿宋_GB2312" w:hAnsi="仿宋_GB2312" w:eastAsia="仿宋_GB2312" w:cs="仿宋_GB2312"/>
          <w:kern w:val="0"/>
          <w:sz w:val="32"/>
          <w:szCs w:val="32"/>
        </w:rPr>
        <w:t>人），退休人员4</w:t>
      </w:r>
      <w:r>
        <w:rPr>
          <w:rFonts w:hint="eastAsia" w:ascii="仿宋_GB2312" w:hAnsi="仿宋_GB2312" w:eastAsia="仿宋_GB2312" w:cs="仿宋_GB2312"/>
          <w:kern w:val="0"/>
          <w:sz w:val="32"/>
          <w:szCs w:val="32"/>
          <w:lang w:val="en-US" w:eastAsia="zh-CN"/>
        </w:rPr>
        <w:t>1</w:t>
      </w:r>
      <w:r>
        <w:rPr>
          <w:rFonts w:hint="eastAsia" w:ascii="仿宋_GB2312" w:hAnsi="仿宋_GB2312" w:eastAsia="仿宋_GB2312" w:cs="仿宋_GB2312"/>
          <w:kern w:val="0"/>
          <w:sz w:val="32"/>
          <w:szCs w:val="32"/>
        </w:rPr>
        <w:t>人。</w:t>
      </w:r>
    </w:p>
    <w:p>
      <w:pPr>
        <w:spacing w:line="580" w:lineRule="exact"/>
        <w:ind w:firstLine="640" w:firstLineChars="200"/>
        <w:rPr>
          <w:rFonts w:ascii="黑体" w:hAnsi="黑体" w:eastAsia="黑体" w:cs="仿宋_GB2312"/>
          <w:kern w:val="0"/>
          <w:sz w:val="32"/>
          <w:szCs w:val="32"/>
        </w:rPr>
      </w:pPr>
      <w:r>
        <w:rPr>
          <w:rFonts w:hint="eastAsia" w:ascii="黑体" w:hAnsi="黑体" w:eastAsia="黑体" w:cs="仿宋_GB2312"/>
          <w:bCs/>
          <w:kern w:val="0"/>
          <w:sz w:val="32"/>
          <w:szCs w:val="32"/>
        </w:rPr>
        <w:t>二、部门整体支出管理及使用情况</w:t>
      </w:r>
    </w:p>
    <w:p>
      <w:pPr>
        <w:spacing w:line="580" w:lineRule="exact"/>
        <w:ind w:firstLine="643" w:firstLineChars="200"/>
        <w:rPr>
          <w:rFonts w:ascii="仿宋_GB2312" w:hAnsi="仿宋_GB2312" w:eastAsia="仿宋_GB2312" w:cs="仿宋_GB2312"/>
          <w:kern w:val="0"/>
          <w:sz w:val="32"/>
          <w:szCs w:val="32"/>
        </w:rPr>
      </w:pPr>
      <w:r>
        <w:rPr>
          <w:rFonts w:hint="eastAsia" w:ascii="楷体_GB2312" w:hAnsi="仿宋_GB2312" w:eastAsia="楷体_GB2312" w:cs="仿宋_GB2312"/>
          <w:b/>
          <w:kern w:val="0"/>
          <w:sz w:val="32"/>
          <w:szCs w:val="32"/>
        </w:rPr>
        <w:t>1.部门预算收支情况</w:t>
      </w:r>
      <w:r>
        <w:rPr>
          <w:rFonts w:hint="eastAsia" w:ascii="仿宋_GB2312" w:hAnsi="仿宋_GB2312" w:eastAsia="仿宋_GB2312" w:cs="仿宋_GB2312"/>
          <w:kern w:val="0"/>
          <w:sz w:val="32"/>
          <w:szCs w:val="32"/>
        </w:rPr>
        <w:t>（含公共财政拨款、政府性基金拨款、纳入专户管理的非税收入拨款及其他资金）及部门决算情况。</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年部门预算情况</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年单位支出预算批复经费包干数为</w:t>
      </w:r>
      <w:r>
        <w:rPr>
          <w:rFonts w:hint="eastAsia" w:ascii="宋体" w:hAnsi="宋体" w:eastAsia="宋体" w:cs="宋体"/>
          <w:color w:val="000000"/>
          <w:sz w:val="32"/>
          <w:szCs w:val="32"/>
          <w:lang w:val="en-US" w:eastAsia="zh-CN"/>
        </w:rPr>
        <w:t>572.55</w:t>
      </w:r>
      <w:r>
        <w:rPr>
          <w:rFonts w:hint="eastAsia" w:ascii="仿宋_GB2312" w:hAnsi="仿宋_GB2312" w:eastAsia="仿宋_GB2312" w:cs="仿宋_GB2312"/>
          <w:kern w:val="0"/>
          <w:sz w:val="32"/>
          <w:szCs w:val="32"/>
        </w:rPr>
        <w:t>万元，其中工资福利支出</w:t>
      </w:r>
      <w:r>
        <w:rPr>
          <w:rFonts w:hint="eastAsia" w:ascii="仿宋_GB2312" w:hAnsi="仿宋_GB2312" w:eastAsia="仿宋_GB2312" w:cs="仿宋_GB2312"/>
          <w:kern w:val="0"/>
          <w:sz w:val="32"/>
          <w:szCs w:val="32"/>
          <w:lang w:val="en-US" w:eastAsia="zh-CN"/>
        </w:rPr>
        <w:t>462.69</w:t>
      </w:r>
      <w:r>
        <w:rPr>
          <w:rFonts w:hint="eastAsia" w:ascii="仿宋_GB2312" w:hAnsi="仿宋_GB2312" w:eastAsia="仿宋_GB2312" w:cs="仿宋_GB2312"/>
          <w:kern w:val="0"/>
          <w:sz w:val="32"/>
          <w:szCs w:val="32"/>
        </w:rPr>
        <w:t>万元，一般商品和服务支出</w:t>
      </w:r>
      <w:r>
        <w:rPr>
          <w:rFonts w:hint="eastAsia" w:ascii="仿宋_GB2312" w:hAnsi="仿宋_GB2312" w:eastAsia="仿宋_GB2312" w:cs="仿宋_GB2312"/>
          <w:kern w:val="0"/>
          <w:sz w:val="32"/>
          <w:szCs w:val="32"/>
          <w:lang w:val="en-US" w:eastAsia="zh-CN"/>
        </w:rPr>
        <w:t>30.6</w:t>
      </w:r>
      <w:r>
        <w:rPr>
          <w:rFonts w:hint="eastAsia" w:ascii="仿宋_GB2312" w:hAnsi="仿宋_GB2312" w:eastAsia="仿宋_GB2312" w:cs="仿宋_GB2312"/>
          <w:kern w:val="0"/>
          <w:sz w:val="32"/>
          <w:szCs w:val="32"/>
        </w:rPr>
        <w:t>万元，对个人和家庭补助</w:t>
      </w:r>
      <w:r>
        <w:rPr>
          <w:rFonts w:hint="eastAsia" w:ascii="仿宋_GB2312" w:hAnsi="仿宋_GB2312" w:eastAsia="仿宋_GB2312" w:cs="仿宋_GB2312"/>
          <w:kern w:val="0"/>
          <w:sz w:val="32"/>
          <w:szCs w:val="32"/>
          <w:lang w:val="en-US" w:eastAsia="zh-CN"/>
        </w:rPr>
        <w:t>9.95</w:t>
      </w:r>
      <w:r>
        <w:rPr>
          <w:rFonts w:hint="eastAsia" w:ascii="仿宋_GB2312" w:hAnsi="仿宋_GB2312" w:eastAsia="仿宋_GB2312" w:cs="仿宋_GB2312"/>
          <w:kern w:val="0"/>
          <w:sz w:val="32"/>
          <w:szCs w:val="32"/>
        </w:rPr>
        <w:t>万元，专项经费</w:t>
      </w:r>
      <w:r>
        <w:rPr>
          <w:rFonts w:hint="eastAsia" w:ascii="仿宋_GB2312" w:hAnsi="仿宋_GB2312" w:eastAsia="仿宋_GB2312" w:cs="仿宋_GB2312"/>
          <w:kern w:val="0"/>
          <w:sz w:val="32"/>
          <w:szCs w:val="32"/>
          <w:lang w:val="en-US" w:eastAsia="zh-CN"/>
        </w:rPr>
        <w:t>69.31</w:t>
      </w:r>
      <w:r>
        <w:rPr>
          <w:rFonts w:hint="eastAsia" w:ascii="仿宋_GB2312" w:hAnsi="仿宋_GB2312" w:eastAsia="仿宋_GB2312" w:cs="仿宋_GB2312"/>
          <w:kern w:val="0"/>
          <w:sz w:val="32"/>
          <w:szCs w:val="32"/>
        </w:rPr>
        <w:t>万元。</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年部门决算情况</w:t>
      </w:r>
    </w:p>
    <w:p>
      <w:pPr>
        <w:spacing w:line="58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1、2022年总收入1564.12万元，比预算增加991.57万元，完成预算率273.18%，主要是因为年中追加的项目工作经费。</w:t>
      </w:r>
    </w:p>
    <w:p>
      <w:pPr>
        <w:spacing w:line="58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2022年总支出1564.12万元，比预算增加991.57万元，完成预算率273.18%，主要是因为年中追加的项目工作经费。</w:t>
      </w:r>
    </w:p>
    <w:p>
      <w:pPr>
        <w:spacing w:line="58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2．收入支出结构分析。</w:t>
      </w:r>
    </w:p>
    <w:p>
      <w:pPr>
        <w:spacing w:line="58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2022年总收入1564.12万元，比上年增加82.82万元，增加5.59%，主要是因为年中追加的项目工作经费。</w:t>
      </w:r>
    </w:p>
    <w:p>
      <w:pPr>
        <w:spacing w:line="58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其中本年一般公共预算收入1351.07万元，占比86.38%；</w:t>
      </w:r>
      <w:r>
        <w:rPr>
          <w:rFonts w:hint="eastAsia" w:ascii="仿宋_GB2312" w:hAnsi="仿宋_GB2312" w:eastAsia="仿宋_GB2312" w:cs="仿宋_GB2312"/>
          <w:kern w:val="0"/>
          <w:sz w:val="32"/>
          <w:szCs w:val="32"/>
        </w:rPr>
        <w:t>政府性基金财政拨款收入0万元</w:t>
      </w:r>
      <w:r>
        <w:rPr>
          <w:rFonts w:hint="eastAsia" w:ascii="仿宋_GB2312" w:hAnsi="仿宋_GB2312" w:eastAsia="仿宋_GB2312" w:cs="仿宋_GB2312"/>
          <w:kern w:val="0"/>
          <w:sz w:val="32"/>
          <w:szCs w:val="32"/>
          <w:lang w:eastAsia="zh-CN"/>
        </w:rPr>
        <w:t>，占比</w:t>
      </w:r>
      <w:r>
        <w:rPr>
          <w:rFonts w:hint="eastAsia" w:ascii="仿宋_GB2312" w:hAnsi="仿宋_GB2312" w:eastAsia="仿宋_GB2312" w:cs="仿宋_GB2312"/>
          <w:kern w:val="0"/>
          <w:sz w:val="32"/>
          <w:szCs w:val="32"/>
          <w:lang w:val="en-US" w:eastAsia="zh-CN"/>
        </w:rPr>
        <w:t>0%；事业收入0万元，占比0%；其他收入213.04万元，占比13.62%。</w:t>
      </w:r>
    </w:p>
    <w:p>
      <w:pPr>
        <w:spacing w:line="580" w:lineRule="exact"/>
        <w:ind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2022年总支出1564.12万元，比上年增加78.02万元，增加5.25%，主要是因为年中追加的项目工作经费。其中本年基本支出540.71万元，占比34.57%，项目支出1023.41万元，占比65.43%。</w:t>
      </w:r>
    </w:p>
    <w:p>
      <w:pPr>
        <w:spacing w:line="58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4.财政拨款收入、支出分析。</w:t>
      </w:r>
    </w:p>
    <w:p>
      <w:pPr>
        <w:spacing w:line="580" w:lineRule="exact"/>
        <w:ind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2022年财政拨款收入1351.07万元，比上年减少124.48万元，减少8.44%，其中一般公共预算收入1351.07万元，占比100%；</w:t>
      </w:r>
      <w:r>
        <w:rPr>
          <w:rFonts w:hint="eastAsia" w:ascii="仿宋_GB2312" w:hAnsi="仿宋_GB2312" w:eastAsia="仿宋_GB2312" w:cs="仿宋_GB2312"/>
          <w:kern w:val="0"/>
          <w:sz w:val="32"/>
          <w:szCs w:val="32"/>
        </w:rPr>
        <w:t>政府性基金财政拨款收入0万元</w:t>
      </w:r>
      <w:r>
        <w:rPr>
          <w:rFonts w:hint="eastAsia" w:ascii="仿宋_GB2312" w:hAnsi="仿宋_GB2312" w:eastAsia="仿宋_GB2312" w:cs="仿宋_GB2312"/>
          <w:kern w:val="0"/>
          <w:sz w:val="32"/>
          <w:szCs w:val="32"/>
          <w:lang w:eastAsia="zh-CN"/>
        </w:rPr>
        <w:t>，占比</w:t>
      </w:r>
      <w:r>
        <w:rPr>
          <w:rFonts w:hint="eastAsia" w:ascii="仿宋_GB2312" w:hAnsi="仿宋_GB2312" w:eastAsia="仿宋_GB2312" w:cs="仿宋_GB2312"/>
          <w:kern w:val="0"/>
          <w:sz w:val="32"/>
          <w:szCs w:val="32"/>
          <w:lang w:val="en-US" w:eastAsia="zh-CN"/>
        </w:rPr>
        <w:t>0%。</w:t>
      </w:r>
    </w:p>
    <w:p>
      <w:pPr>
        <w:spacing w:line="58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2022年财政拨款支出1351.07万元，比上年减少124.48万元，减少8.44%，其中基本支出540.71万元，占比40.02%，项目支出810.36万元，占比59.98%。</w:t>
      </w:r>
    </w:p>
    <w:p>
      <w:pPr>
        <w:spacing w:line="58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5.非财政拨款收入分析。</w:t>
      </w:r>
    </w:p>
    <w:p>
      <w:pPr>
        <w:spacing w:line="58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2022年事业收入0万元，其他收入213.04万元，主要是往来资金专户收入。</w:t>
      </w:r>
    </w:p>
    <w:p>
      <w:pPr>
        <w:numPr>
          <w:ilvl w:val="0"/>
          <w:numId w:val="2"/>
        </w:numPr>
        <w:spacing w:line="580" w:lineRule="exact"/>
        <w:ind w:firstLine="643" w:firstLineChars="200"/>
        <w:rPr>
          <w:rFonts w:ascii="楷体_GB2312" w:hAnsi="仿宋_GB2312" w:eastAsia="楷体_GB2312" w:cs="仿宋_GB2312"/>
          <w:b/>
          <w:kern w:val="0"/>
          <w:sz w:val="32"/>
          <w:szCs w:val="32"/>
        </w:rPr>
      </w:pPr>
      <w:r>
        <w:rPr>
          <w:rFonts w:hint="eastAsia" w:ascii="楷体_GB2312" w:hAnsi="仿宋_GB2312" w:eastAsia="楷体_GB2312" w:cs="仿宋_GB2312"/>
          <w:b/>
          <w:kern w:val="0"/>
          <w:sz w:val="32"/>
          <w:szCs w:val="32"/>
        </w:rPr>
        <w:t>支出分类情况</w:t>
      </w:r>
    </w:p>
    <w:p>
      <w:pPr>
        <w:numPr>
          <w:ilvl w:val="0"/>
          <w:numId w:val="3"/>
        </w:numPr>
        <w:spacing w:line="580" w:lineRule="exact"/>
        <w:ind w:left="840" w:leftChars="0" w:firstLineChars="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基本支出</w:t>
      </w:r>
    </w:p>
    <w:p>
      <w:pPr>
        <w:spacing w:line="58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我局202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年基本支出总计</w:t>
      </w:r>
      <w:r>
        <w:rPr>
          <w:rFonts w:hint="eastAsia" w:ascii="仿宋_GB2312" w:hAnsi="仿宋_GB2312" w:eastAsia="仿宋_GB2312" w:cs="仿宋_GB2312"/>
          <w:kern w:val="0"/>
          <w:sz w:val="32"/>
          <w:szCs w:val="32"/>
          <w:lang w:val="en-US" w:eastAsia="zh-CN"/>
        </w:rPr>
        <w:t>540.71</w:t>
      </w:r>
      <w:r>
        <w:rPr>
          <w:rFonts w:hint="eastAsia" w:ascii="仿宋_GB2312" w:hAnsi="仿宋_GB2312" w:eastAsia="仿宋_GB2312" w:cs="仿宋_GB2312"/>
          <w:kern w:val="0"/>
          <w:sz w:val="32"/>
          <w:szCs w:val="32"/>
        </w:rPr>
        <w:t>万元，</w:t>
      </w:r>
      <w:r>
        <w:rPr>
          <w:rFonts w:hint="eastAsia" w:ascii="仿宋_GB2312" w:hAnsi="仿宋_GB2312" w:eastAsia="仿宋_GB2312" w:cs="仿宋_GB2312"/>
          <w:kern w:val="0"/>
          <w:sz w:val="32"/>
          <w:szCs w:val="32"/>
          <w:lang w:val="en-US" w:eastAsia="zh-CN"/>
        </w:rPr>
        <w:t>主要为一般公共服务，社会保障就业，卫生健康，住房保障和在职人员工资等支出。</w:t>
      </w:r>
    </w:p>
    <w:p>
      <w:pPr>
        <w:spacing w:line="580" w:lineRule="exact"/>
        <w:ind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（1）“三公”经费支出情况：</w:t>
      </w:r>
      <w:r>
        <w:rPr>
          <w:rFonts w:hint="eastAsia" w:ascii="仿宋_GB2312" w:hAnsi="仿宋_GB2312" w:eastAsia="仿宋_GB2312" w:cs="仿宋_GB2312"/>
          <w:kern w:val="0"/>
          <w:sz w:val="32"/>
          <w:szCs w:val="32"/>
          <w:lang w:eastAsia="zh-CN"/>
        </w:rPr>
        <w:t>本年三公经费预算</w:t>
      </w:r>
      <w:r>
        <w:rPr>
          <w:rFonts w:hint="eastAsia" w:ascii="仿宋_GB2312" w:hAnsi="仿宋_GB2312" w:eastAsia="仿宋_GB2312" w:cs="仿宋_GB2312"/>
          <w:kern w:val="0"/>
          <w:sz w:val="32"/>
          <w:szCs w:val="32"/>
          <w:lang w:val="en-US" w:eastAsia="zh-CN"/>
        </w:rPr>
        <w:t>6万元，其中公务接待预算6万元，实际支出5.8万元、因公出国0元，公车运行支出0元。</w:t>
      </w:r>
    </w:p>
    <w:p>
      <w:pPr>
        <w:spacing w:line="580" w:lineRule="exact"/>
        <w:ind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）会议费支出情况：</w:t>
      </w:r>
      <w:r>
        <w:rPr>
          <w:rFonts w:hint="eastAsia" w:ascii="仿宋_GB2312" w:hAnsi="仿宋_GB2312" w:eastAsia="仿宋_GB2312" w:cs="仿宋_GB2312"/>
          <w:kern w:val="0"/>
          <w:sz w:val="32"/>
          <w:szCs w:val="32"/>
          <w:lang w:eastAsia="zh-CN"/>
        </w:rPr>
        <w:t>本年会议费支出</w:t>
      </w:r>
      <w:r>
        <w:rPr>
          <w:rFonts w:hint="eastAsia" w:ascii="仿宋_GB2312" w:hAnsi="仿宋_GB2312" w:eastAsia="仿宋_GB2312" w:cs="仿宋_GB2312"/>
          <w:kern w:val="0"/>
          <w:sz w:val="32"/>
          <w:szCs w:val="32"/>
          <w:lang w:val="en-US" w:eastAsia="zh-CN"/>
        </w:rPr>
        <w:t>4.92万元</w:t>
      </w:r>
    </w:p>
    <w:p>
      <w:pPr>
        <w:spacing w:line="58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）培训费支出情况：</w:t>
      </w:r>
      <w:r>
        <w:rPr>
          <w:rFonts w:hint="eastAsia" w:ascii="仿宋_GB2312" w:hAnsi="仿宋_GB2312" w:eastAsia="仿宋_GB2312" w:cs="仿宋_GB2312"/>
          <w:kern w:val="0"/>
          <w:sz w:val="32"/>
          <w:szCs w:val="32"/>
          <w:lang w:eastAsia="zh-CN"/>
        </w:rPr>
        <w:t>本年培训费支出</w:t>
      </w:r>
      <w:r>
        <w:rPr>
          <w:rFonts w:hint="eastAsia" w:ascii="仿宋_GB2312" w:hAnsi="仿宋_GB2312" w:eastAsia="仿宋_GB2312" w:cs="仿宋_GB2312"/>
          <w:kern w:val="0"/>
          <w:sz w:val="32"/>
          <w:szCs w:val="32"/>
          <w:lang w:val="en-US" w:eastAsia="zh-CN"/>
        </w:rPr>
        <w:t>3.36万元</w:t>
      </w:r>
    </w:p>
    <w:p>
      <w:pPr>
        <w:spacing w:line="580" w:lineRule="exact"/>
        <w:ind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4</w:t>
      </w:r>
      <w:r>
        <w:rPr>
          <w:rFonts w:hint="eastAsia" w:ascii="仿宋_GB2312" w:hAnsi="仿宋_GB2312" w:eastAsia="仿宋_GB2312" w:cs="仿宋_GB2312"/>
          <w:kern w:val="0"/>
          <w:sz w:val="32"/>
          <w:szCs w:val="32"/>
        </w:rPr>
        <w:t>）其他对单位影响较大的支出情况。</w:t>
      </w:r>
      <w:r>
        <w:rPr>
          <w:rFonts w:hint="eastAsia" w:ascii="仿宋_GB2312" w:hAnsi="仿宋_GB2312" w:eastAsia="仿宋_GB2312" w:cs="仿宋_GB2312"/>
          <w:kern w:val="0"/>
          <w:sz w:val="32"/>
          <w:szCs w:val="32"/>
          <w:lang w:eastAsia="zh-CN"/>
        </w:rPr>
        <w:t>无</w:t>
      </w:r>
    </w:p>
    <w:p>
      <w:pPr>
        <w:numPr>
          <w:ilvl w:val="0"/>
          <w:numId w:val="3"/>
        </w:numPr>
        <w:spacing w:line="580" w:lineRule="exact"/>
        <w:ind w:left="840" w:leftChars="0" w:firstLineChars="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项目支出</w:t>
      </w:r>
      <w:r>
        <w:rPr>
          <w:rFonts w:hint="eastAsia" w:ascii="仿宋_GB2312" w:hAnsi="仿宋_GB2312" w:eastAsia="仿宋_GB2312" w:cs="仿宋_GB2312"/>
          <w:kern w:val="0"/>
          <w:sz w:val="32"/>
          <w:szCs w:val="32"/>
          <w:lang w:val="en-US" w:eastAsia="zh-CN"/>
        </w:rPr>
        <w:t xml:space="preserve"> </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年项目支出总计</w:t>
      </w:r>
      <w:r>
        <w:rPr>
          <w:rFonts w:hint="eastAsia" w:ascii="仿宋_GB2312" w:hAnsi="仿宋_GB2312" w:eastAsia="仿宋_GB2312" w:cs="仿宋_GB2312"/>
          <w:kern w:val="0"/>
          <w:sz w:val="32"/>
          <w:szCs w:val="32"/>
          <w:lang w:val="en-US" w:eastAsia="zh-CN"/>
        </w:rPr>
        <w:t>1023.41</w:t>
      </w:r>
      <w:r>
        <w:rPr>
          <w:rFonts w:hint="eastAsia" w:ascii="仿宋_GB2312" w:hAnsi="仿宋_GB2312" w:eastAsia="仿宋_GB2312" w:cs="仿宋_GB2312"/>
          <w:kern w:val="0"/>
          <w:sz w:val="32"/>
          <w:szCs w:val="32"/>
        </w:rPr>
        <w:t>万元。其中</w:t>
      </w:r>
      <w:r>
        <w:rPr>
          <w:rFonts w:hint="eastAsia" w:ascii="仿宋_GB2312" w:hAnsi="仿宋_GB2312" w:eastAsia="仿宋_GB2312" w:cs="仿宋_GB2312"/>
          <w:kern w:val="0"/>
          <w:sz w:val="32"/>
          <w:szCs w:val="32"/>
          <w:lang w:val="en-US" w:eastAsia="zh-CN"/>
        </w:rPr>
        <w:t>900.6</w:t>
      </w:r>
      <w:r>
        <w:rPr>
          <w:rFonts w:hint="eastAsia" w:ascii="仿宋_GB2312" w:hAnsi="仿宋_GB2312" w:eastAsia="仿宋_GB2312" w:cs="仿宋_GB2312"/>
          <w:kern w:val="0"/>
          <w:sz w:val="32"/>
          <w:szCs w:val="32"/>
        </w:rPr>
        <w:t>万元经费主要用于</w:t>
      </w:r>
      <w:r>
        <w:rPr>
          <w:rFonts w:hint="eastAsia" w:ascii="仿宋_GB2312" w:hAnsi="仿宋_GB2312" w:eastAsia="仿宋_GB2312" w:cs="仿宋_GB2312"/>
          <w:kern w:val="0"/>
          <w:sz w:val="32"/>
          <w:szCs w:val="32"/>
          <w:lang w:val="en-US" w:eastAsia="zh-CN"/>
        </w:rPr>
        <w:t>转付各</w:t>
      </w:r>
      <w:r>
        <w:rPr>
          <w:rFonts w:hint="eastAsia" w:ascii="仿宋_GB2312" w:hAnsi="仿宋_GB2312" w:eastAsia="仿宋_GB2312" w:cs="仿宋_GB2312"/>
          <w:kern w:val="0"/>
          <w:sz w:val="32"/>
          <w:szCs w:val="32"/>
        </w:rPr>
        <w:t>项目</w:t>
      </w:r>
      <w:r>
        <w:rPr>
          <w:rFonts w:hint="eastAsia" w:ascii="仿宋_GB2312" w:hAnsi="仿宋_GB2312" w:eastAsia="仿宋_GB2312" w:cs="仿宋_GB2312"/>
          <w:kern w:val="0"/>
          <w:sz w:val="32"/>
          <w:szCs w:val="32"/>
          <w:lang w:val="en-US" w:eastAsia="zh-CN"/>
        </w:rPr>
        <w:t>单位</w:t>
      </w:r>
      <w:r>
        <w:rPr>
          <w:rFonts w:hint="eastAsia" w:ascii="仿宋_GB2312" w:hAnsi="仿宋_GB2312" w:eastAsia="仿宋_GB2312" w:cs="仿宋_GB2312"/>
          <w:kern w:val="0"/>
          <w:sz w:val="32"/>
          <w:szCs w:val="32"/>
        </w:rPr>
        <w:t>前期工作经费,</w:t>
      </w:r>
      <w:r>
        <w:rPr>
          <w:rFonts w:hint="eastAsia" w:ascii="仿宋_GB2312" w:hAnsi="仿宋_GB2312" w:eastAsia="仿宋_GB2312" w:cs="仿宋_GB2312"/>
          <w:kern w:val="0"/>
          <w:sz w:val="32"/>
          <w:szCs w:val="32"/>
          <w:lang w:val="en-US" w:eastAsia="zh-CN"/>
        </w:rPr>
        <w:t>全年共计包装策划重大项目77个、</w:t>
      </w:r>
      <w:r>
        <w:rPr>
          <w:rFonts w:hint="default" w:ascii="Times New Roman" w:hAnsi="Times New Roman" w:eastAsia="仿宋_GB2312" w:cs="Times New Roman"/>
          <w:sz w:val="32"/>
          <w:szCs w:val="32"/>
          <w:lang w:val="en-US" w:eastAsia="zh-CN"/>
        </w:rPr>
        <w:t>总投资额达107亿元</w:t>
      </w:r>
      <w:r>
        <w:rPr>
          <w:rFonts w:hint="eastAsia" w:ascii="仿宋_GB2312" w:hAnsi="仿宋_GB2312" w:eastAsia="仿宋_GB2312" w:cs="仿宋_GB2312"/>
          <w:kern w:val="0"/>
          <w:sz w:val="32"/>
          <w:szCs w:val="32"/>
          <w:lang w:val="en-US" w:eastAsia="zh-CN"/>
        </w:rPr>
        <w:t>，异地搬迁后续帮扶资金30万元用于</w:t>
      </w:r>
      <w:r>
        <w:rPr>
          <w:rFonts w:hint="eastAsia" w:ascii="仿宋_GB2312" w:hAnsi="仿宋_GB2312" w:eastAsia="仿宋_GB2312" w:cs="仿宋_GB2312"/>
          <w:kern w:val="0"/>
          <w:sz w:val="32"/>
          <w:szCs w:val="32"/>
        </w:rPr>
        <w:t>相关</w:t>
      </w:r>
      <w:r>
        <w:rPr>
          <w:rFonts w:hint="eastAsia" w:ascii="仿宋_GB2312" w:hAnsi="仿宋_GB2312" w:eastAsia="仿宋_GB2312" w:cs="仿宋_GB2312"/>
          <w:kern w:val="0"/>
          <w:sz w:val="32"/>
          <w:szCs w:val="32"/>
          <w:lang w:val="en-US" w:eastAsia="zh-CN"/>
        </w:rPr>
        <w:t>帮扶及</w:t>
      </w:r>
      <w:r>
        <w:rPr>
          <w:rFonts w:hint="eastAsia" w:ascii="仿宋_GB2312" w:hAnsi="仿宋_GB2312" w:eastAsia="仿宋_GB2312" w:cs="仿宋_GB2312"/>
          <w:kern w:val="0"/>
          <w:sz w:val="32"/>
          <w:szCs w:val="32"/>
        </w:rPr>
        <w:t>工作开支，后盾单位帮扶资金</w:t>
      </w:r>
      <w:r>
        <w:rPr>
          <w:rFonts w:hint="eastAsia" w:ascii="仿宋_GB2312" w:hAnsi="仿宋_GB2312" w:eastAsia="仿宋_GB2312" w:cs="仿宋_GB2312"/>
          <w:kern w:val="0"/>
          <w:sz w:val="32"/>
          <w:szCs w:val="32"/>
          <w:lang w:val="en-US" w:eastAsia="zh-CN"/>
        </w:rPr>
        <w:t>8万元，主要用于支持帮扶村乡村振兴工作</w:t>
      </w:r>
      <w:r>
        <w:rPr>
          <w:rFonts w:hint="eastAsia" w:ascii="仿宋_GB2312" w:hAnsi="仿宋_GB2312" w:eastAsia="仿宋_GB2312" w:cs="仿宋_GB2312"/>
          <w:kern w:val="0"/>
          <w:sz w:val="32"/>
          <w:szCs w:val="32"/>
        </w:rPr>
        <w:t>、驻村队工作经费</w:t>
      </w:r>
      <w:r>
        <w:rPr>
          <w:rFonts w:hint="eastAsia" w:ascii="仿宋_GB2312" w:hAnsi="仿宋_GB2312" w:eastAsia="仿宋_GB2312" w:cs="仿宋_GB2312"/>
          <w:kern w:val="0"/>
          <w:sz w:val="32"/>
          <w:szCs w:val="32"/>
          <w:lang w:val="en-US" w:eastAsia="zh-CN"/>
        </w:rPr>
        <w:t>1万元主要用于帮扶村工作经费</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对个人和家庭的补助1.61万元主要用于困难家庭帮扶</w:t>
      </w:r>
      <w:r>
        <w:rPr>
          <w:rFonts w:hint="eastAsia" w:ascii="仿宋_GB2312" w:hAnsi="仿宋_GB2312" w:eastAsia="仿宋_GB2312" w:cs="仿宋_GB2312"/>
          <w:kern w:val="0"/>
          <w:sz w:val="32"/>
          <w:szCs w:val="32"/>
        </w:rPr>
        <w:t>。常态化督导组工作经费</w:t>
      </w:r>
      <w:r>
        <w:rPr>
          <w:rFonts w:hint="eastAsia" w:ascii="仿宋_GB2312" w:hAnsi="仿宋_GB2312" w:eastAsia="仿宋_GB2312" w:cs="仿宋_GB2312"/>
          <w:kern w:val="0"/>
          <w:sz w:val="32"/>
          <w:szCs w:val="32"/>
          <w:lang w:val="en-US" w:eastAsia="zh-CN"/>
        </w:rPr>
        <w:t>5万元</w:t>
      </w:r>
      <w:r>
        <w:rPr>
          <w:rFonts w:hint="eastAsia" w:ascii="仿宋_GB2312" w:hAnsi="仿宋_GB2312" w:eastAsia="仿宋_GB2312" w:cs="仿宋_GB2312"/>
          <w:kern w:val="0"/>
          <w:sz w:val="32"/>
          <w:szCs w:val="32"/>
        </w:rPr>
        <w:t>、节日慰问</w:t>
      </w:r>
      <w:r>
        <w:rPr>
          <w:rFonts w:hint="eastAsia" w:ascii="仿宋_GB2312" w:hAnsi="仿宋_GB2312" w:eastAsia="仿宋_GB2312" w:cs="仿宋_GB2312"/>
          <w:kern w:val="0"/>
          <w:sz w:val="32"/>
          <w:szCs w:val="32"/>
          <w:lang w:val="en-US" w:eastAsia="zh-CN"/>
        </w:rPr>
        <w:t>走访监测户1.2万元</w:t>
      </w:r>
      <w:r>
        <w:rPr>
          <w:rFonts w:hint="eastAsia" w:ascii="仿宋_GB2312" w:hAnsi="仿宋_GB2312" w:eastAsia="仿宋_GB2312" w:cs="仿宋_GB2312"/>
          <w:kern w:val="0"/>
          <w:sz w:val="32"/>
          <w:szCs w:val="32"/>
        </w:rPr>
        <w:t>。其中68万元主要用于争资引项工作经费，重点项目调研、督查等工作开支以及固定资产投资、跑项争资</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28万元</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、重点项目建设、规上服务业等固定资产联网直报工作</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成本调查</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10万元</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、价格监测与服务</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10万元</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、GDP工作调度</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10万元</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、固定资产联网直报</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10万元</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、“产业项目建设年”活动工作经费，以上主要用于各股室开展上述工作发生的相关开支。用于社会信用体系平台建设</w:t>
      </w:r>
      <w:r>
        <w:rPr>
          <w:rFonts w:hint="eastAsia" w:ascii="仿宋_GB2312" w:hAnsi="仿宋_GB2312" w:eastAsia="仿宋_GB2312" w:cs="仿宋_GB2312"/>
          <w:kern w:val="0"/>
          <w:sz w:val="32"/>
          <w:szCs w:val="32"/>
          <w:lang w:val="en-US" w:eastAsia="zh-CN"/>
        </w:rPr>
        <w:t>维护（8万元）。</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sz w:val="32"/>
          <w:szCs w:val="32"/>
        </w:rPr>
        <w:t>为促进全县经济高质量发展、推进“四区一花园”建设，按照衡南县专题会议纪要（清委纪要【2019】4号）的相关规定，将政府投资重大项目策划包装前期工作经费纳入财政预算，项目主管部门或建设单位按照《衡南县政府投资重大项目策划包装前期工作经费管理暂行办法》的规定程序报请审核批准后，由我局拨付至项目主管部门或建设单位。</w:t>
      </w:r>
    </w:p>
    <w:p>
      <w:pPr>
        <w:spacing w:line="580" w:lineRule="exact"/>
        <w:ind w:firstLine="640" w:firstLineChars="200"/>
        <w:rPr>
          <w:rFonts w:ascii="黑体" w:hAnsi="黑体" w:eastAsia="黑体" w:cs="仿宋_GB2312"/>
          <w:bCs/>
          <w:kern w:val="0"/>
          <w:sz w:val="32"/>
          <w:szCs w:val="32"/>
        </w:rPr>
      </w:pPr>
      <w:r>
        <w:rPr>
          <w:rFonts w:hint="eastAsia" w:ascii="黑体" w:hAnsi="黑体" w:eastAsia="黑体" w:cs="仿宋_GB2312"/>
          <w:bCs/>
          <w:kern w:val="0"/>
          <w:sz w:val="32"/>
          <w:szCs w:val="32"/>
        </w:rPr>
        <w:t>三、部门整体支出绩效评价情况</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为加强预算管理、规范财务行为，我局制定并完善了《局财务管理制度》并严格执行。同时为了规范政府投资重大项目策划包装前期工作经费使用和管理，与财政局一起制定了《衡南县政府投资重大项目策划包装前期工作经费管理暂行办法》。确保预算资金的使用均符合国家财经法规、财务管理制度规定及相关预算支出管理办法的规定。资金拨付严格按照县财政的相关要求和规定，履行完整的审批程序和手续。重大预算支出均经过评估论证。经费支出基本符合部门预算批复的用途，不存在截留、挤占、挪用、虚列支出等情况。同时，我局积极按照县财政的相关要求报送并公开预决算信息，加强固定资产管理。</w:t>
      </w:r>
    </w:p>
    <w:p>
      <w:pPr>
        <w:spacing w:line="580" w:lineRule="exact"/>
        <w:ind w:firstLine="641"/>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在县委、县政府的正确领导下和市发改委的关心支持下，我局紧紧围绕县委</w:t>
      </w:r>
      <w:r>
        <w:rPr>
          <w:rFonts w:hint="eastAsia" w:ascii="仿宋_GB2312" w:hAnsi="仿宋_GB2312" w:eastAsia="仿宋_GB2312" w:cs="仿宋_GB2312"/>
          <w:kern w:val="0"/>
          <w:sz w:val="32"/>
          <w:szCs w:val="32"/>
          <w:lang w:val="en-US" w:eastAsia="zh-CN"/>
        </w:rPr>
        <w:t>县</w:t>
      </w:r>
      <w:bookmarkStart w:id="1" w:name="_GoBack"/>
      <w:bookmarkEnd w:id="1"/>
      <w:r>
        <w:rPr>
          <w:rFonts w:hint="eastAsia" w:ascii="仿宋_GB2312" w:hAnsi="仿宋_GB2312" w:eastAsia="仿宋_GB2312" w:cs="仿宋_GB2312"/>
          <w:kern w:val="0"/>
          <w:sz w:val="32"/>
          <w:szCs w:val="32"/>
        </w:rPr>
        <w:t>政府和上级发改部门提出的目标和任务，克服困难，开拓进取，较好的完成了202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年的工作任务。各项经济指标在全市排名靠前，</w:t>
      </w:r>
      <w:r>
        <w:rPr>
          <w:rFonts w:hint="eastAsia" w:ascii="仿宋_GB2312" w:hAnsi="仿宋" w:eastAsia="仿宋_GB2312" w:cs="仿宋"/>
          <w:sz w:val="32"/>
          <w:szCs w:val="32"/>
        </w:rPr>
        <w:t>在今年上半年全市的“奋战一百天实现双过半”争先创优活动中我局负责的重点项目建设和固定资产投资均在全市排名第三截止到12月底，全年共完成固定资产投资265.6亿元，增速14.3%，位居全市（县市区）</w:t>
      </w:r>
      <w:r>
        <w:rPr>
          <w:rFonts w:hint="eastAsia" w:ascii="仿宋_GB2312" w:hAnsi="仿宋" w:eastAsia="仿宋_GB2312" w:cs="仿宋"/>
          <w:sz w:val="32"/>
          <w:szCs w:val="32"/>
          <w:lang w:val="en-US" w:eastAsia="zh-CN"/>
        </w:rPr>
        <w:t>第一梯队</w:t>
      </w:r>
      <w:r>
        <w:rPr>
          <w:rFonts w:hint="eastAsia" w:ascii="仿宋_GB2312" w:hAnsi="仿宋" w:eastAsia="仿宋_GB2312" w:cs="仿宋"/>
          <w:sz w:val="32"/>
          <w:szCs w:val="32"/>
        </w:rPr>
        <w:t>,1-12月新增9家以上规模以上服务业入库，225</w:t>
      </w:r>
      <w:r>
        <w:rPr>
          <w:rFonts w:hint="eastAsia" w:ascii="仿宋_GB2312" w:hAnsi="仿宋_GB2312" w:eastAsia="仿宋_GB2312" w:cs="仿宋_GB2312"/>
          <w:sz w:val="32"/>
          <w:szCs w:val="32"/>
        </w:rPr>
        <w:t>%完成全年目标任务，位居全市（县市区）第二。因我县产业投资占固定资产投资比重、高新技术产业投资占比、人均地区生产总值和城乡居民人均可支配收入等21项指标提升幅度较大、结构较优、进步较快，被省发改委公示为“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年全省高质量发展真抓实干督查激励”表扬对象（全省仅十个县市区）。</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同时在疫情防控、“十四五规划”编制、争资跑项、重点项目建设、物价管理、社会信用体系建设、脱贫攻坚等方面均取得了突出成效。</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202</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年履职具体情况如下：</w:t>
      </w:r>
    </w:p>
    <w:p>
      <w:pPr>
        <w:keepNext w:val="0"/>
        <w:keepLines w:val="0"/>
        <w:pageBreakBefore w:val="0"/>
        <w:widowControl w:val="0"/>
        <w:numPr>
          <w:ilvl w:val="0"/>
          <w:numId w:val="4"/>
        </w:numPr>
        <w:kinsoku/>
        <w:wordWrap/>
        <w:overflowPunct/>
        <w:topLinePunct w:val="0"/>
        <w:autoSpaceDE/>
        <w:autoSpaceDN/>
        <w:bidi w:val="0"/>
        <w:adjustRightInd/>
        <w:snapToGrid/>
        <w:spacing w:line="600" w:lineRule="exact"/>
        <w:ind w:left="-643" w:leftChars="0" w:firstLine="643" w:firstLineChars="0"/>
        <w:textAlignment w:val="auto"/>
        <w:rPr>
          <w:rFonts w:hint="default" w:ascii="Times New Roman" w:hAnsi="Times New Roman" w:eastAsia="仿宋_GB2312" w:cs="Times New Roman"/>
          <w:b/>
          <w:sz w:val="32"/>
          <w:szCs w:val="32"/>
          <w:lang w:val="en-US" w:eastAsia="zh-CN"/>
        </w:rPr>
      </w:pPr>
      <w:r>
        <w:rPr>
          <w:rFonts w:hint="default" w:ascii="Times New Roman" w:hAnsi="Times New Roman" w:eastAsia="楷体_GB2312" w:cs="Times New Roman"/>
          <w:b/>
          <w:sz w:val="32"/>
          <w:szCs w:val="32"/>
          <w:lang w:val="en-US" w:eastAsia="zh-CN"/>
        </w:rPr>
        <w:t>加强宏观谋划，当好参谋助手。</w:t>
      </w:r>
      <w:r>
        <w:rPr>
          <w:rFonts w:hint="default" w:ascii="Times New Roman" w:hAnsi="Times New Roman" w:eastAsia="仿宋_GB2312" w:cs="Times New Roman"/>
          <w:sz w:val="32"/>
          <w:szCs w:val="32"/>
          <w:lang w:val="en-US" w:eastAsia="zh-CN"/>
        </w:rPr>
        <w:t>年初编制了《衡南县202</w:t>
      </w: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lang w:val="en-US" w:eastAsia="zh-CN"/>
        </w:rPr>
        <w:t>年国民经济和社会发展计划执行情况与2022年国民经济和社会发展计划（草案）》的报告，明确2022年全县经济社会发展主要目标和工作重点。牵头编制《衡南县政府投资项目管理办法》《县城城镇化实施方案（2022-2025）》《衡南县“十四五”集中式光伏项目开发建设方案》等方案和专项规划，致力做好县委、县政府的参谋助手。</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楷体_GB2312" w:cs="Times New Roman"/>
          <w:b/>
          <w:sz w:val="32"/>
          <w:szCs w:val="32"/>
          <w:lang w:eastAsia="zh-CN"/>
        </w:rPr>
        <w:t>（</w:t>
      </w:r>
      <w:r>
        <w:rPr>
          <w:rFonts w:hint="default" w:ascii="Times New Roman" w:hAnsi="Times New Roman" w:eastAsia="楷体_GB2312" w:cs="Times New Roman"/>
          <w:b/>
          <w:sz w:val="32"/>
          <w:szCs w:val="32"/>
          <w:lang w:val="en-US" w:eastAsia="zh-CN"/>
        </w:rPr>
        <w:t>二</w:t>
      </w:r>
      <w:r>
        <w:rPr>
          <w:rFonts w:hint="default" w:ascii="Times New Roman" w:hAnsi="Times New Roman" w:eastAsia="楷体_GB2312" w:cs="Times New Roman"/>
          <w:b/>
          <w:sz w:val="32"/>
          <w:szCs w:val="32"/>
          <w:lang w:eastAsia="zh-CN"/>
        </w:rPr>
        <w:t>）</w:t>
      </w:r>
      <w:r>
        <w:rPr>
          <w:rFonts w:hint="default" w:ascii="Times New Roman" w:hAnsi="Times New Roman" w:eastAsia="楷体_GB2312" w:cs="Times New Roman"/>
          <w:b/>
          <w:sz w:val="32"/>
          <w:szCs w:val="32"/>
        </w:rPr>
        <w:t>狠抓跑项争资</w:t>
      </w:r>
      <w:r>
        <w:rPr>
          <w:rFonts w:hint="default" w:ascii="Times New Roman" w:hAnsi="Times New Roman" w:eastAsia="楷体_GB2312" w:cs="Times New Roman"/>
          <w:b/>
          <w:sz w:val="32"/>
          <w:szCs w:val="32"/>
          <w:lang w:eastAsia="zh-CN"/>
        </w:rPr>
        <w:t>，</w:t>
      </w:r>
      <w:r>
        <w:rPr>
          <w:rFonts w:hint="default" w:ascii="Times New Roman" w:hAnsi="Times New Roman" w:eastAsia="楷体_GB2312" w:cs="Times New Roman"/>
          <w:b/>
          <w:sz w:val="32"/>
          <w:szCs w:val="32"/>
        </w:rPr>
        <w:t>扩大有效投资</w:t>
      </w:r>
      <w:r>
        <w:rPr>
          <w:rFonts w:hint="default" w:ascii="Times New Roman" w:hAnsi="Times New Roman" w:eastAsia="楷体_GB2312" w:cs="Times New Roman"/>
          <w:b/>
          <w:sz w:val="32"/>
          <w:szCs w:val="32"/>
          <w:lang w:eastAsia="zh-CN"/>
        </w:rPr>
        <w:t>。</w:t>
      </w:r>
      <w:r>
        <w:rPr>
          <w:rFonts w:hint="default" w:ascii="Times New Roman" w:hAnsi="Times New Roman" w:eastAsia="仿宋_GB2312" w:cs="Times New Roman"/>
          <w:sz w:val="32"/>
          <w:szCs w:val="32"/>
          <w:lang w:val="en-US" w:eastAsia="zh-CN"/>
        </w:rPr>
        <w:t>我局围绕年度目标积极跑项争资，全县共策划包装储备项目77个，总投资额达107亿元，发行地方政府专项债券资金7.99亿元。其中，2022年第一批地方专项债3个项目发行资金4.45亿元；第二批地方专项债3个项目发行资金3.54亿元。全县固定资产投资增速15.6%，排名全市（7县市、下同）第3。</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b/>
          <w:sz w:val="32"/>
          <w:szCs w:val="32"/>
        </w:rPr>
        <w:t>（</w:t>
      </w:r>
      <w:r>
        <w:rPr>
          <w:rFonts w:hint="default" w:ascii="Times New Roman" w:hAnsi="Times New Roman" w:eastAsia="楷体_GB2312" w:cs="Times New Roman"/>
          <w:b/>
          <w:sz w:val="32"/>
          <w:szCs w:val="32"/>
          <w:lang w:val="en-US" w:eastAsia="zh-CN"/>
        </w:rPr>
        <w:t>三</w:t>
      </w:r>
      <w:r>
        <w:rPr>
          <w:rFonts w:hint="default" w:ascii="Times New Roman" w:hAnsi="Times New Roman" w:eastAsia="楷体_GB2312" w:cs="Times New Roman"/>
          <w:b/>
          <w:sz w:val="32"/>
          <w:szCs w:val="32"/>
        </w:rPr>
        <w:t>）</w:t>
      </w:r>
      <w:r>
        <w:rPr>
          <w:rFonts w:hint="default" w:ascii="Times New Roman" w:hAnsi="Times New Roman" w:eastAsia="楷体_GB2312" w:cs="Times New Roman"/>
          <w:b/>
          <w:sz w:val="32"/>
          <w:szCs w:val="32"/>
          <w:lang w:val="en-US" w:eastAsia="zh-CN"/>
        </w:rPr>
        <w:t>全力培育企业，发展态势向好</w:t>
      </w:r>
      <w:r>
        <w:rPr>
          <w:rFonts w:hint="default" w:ascii="Times New Roman" w:hAnsi="Times New Roman" w:eastAsia="楷体_GB2312" w:cs="Times New Roman"/>
          <w:b/>
          <w:sz w:val="32"/>
          <w:szCs w:val="32"/>
        </w:rPr>
        <w:t>。</w:t>
      </w:r>
      <w:r>
        <w:rPr>
          <w:rFonts w:hint="default" w:ascii="Times New Roman" w:hAnsi="Times New Roman" w:eastAsia="仿宋_GB2312" w:cs="Times New Roman"/>
          <w:sz w:val="32"/>
          <w:szCs w:val="32"/>
          <w:lang w:val="en-US" w:eastAsia="zh-CN"/>
        </w:rPr>
        <w:t>扎实推进全县规上服务业企业培育培优和新增入库工作，全县新增规上服务业企业27家，新增数量排全市第2。2022年，我县规上服务业营收增速49.4%。</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b/>
          <w:sz w:val="32"/>
          <w:szCs w:val="32"/>
        </w:rPr>
        <w:t>（</w:t>
      </w:r>
      <w:r>
        <w:rPr>
          <w:rFonts w:hint="default" w:ascii="Times New Roman" w:hAnsi="Times New Roman" w:eastAsia="楷体_GB2312" w:cs="Times New Roman"/>
          <w:b/>
          <w:sz w:val="32"/>
          <w:szCs w:val="32"/>
          <w:lang w:val="en-US" w:eastAsia="zh-CN"/>
        </w:rPr>
        <w:t>四</w:t>
      </w:r>
      <w:r>
        <w:rPr>
          <w:rFonts w:hint="default" w:ascii="Times New Roman" w:hAnsi="Times New Roman" w:eastAsia="楷体_GB2312" w:cs="Times New Roman"/>
          <w:b/>
          <w:sz w:val="32"/>
          <w:szCs w:val="32"/>
        </w:rPr>
        <w:t>）</w:t>
      </w:r>
      <w:r>
        <w:rPr>
          <w:rFonts w:hint="default" w:ascii="Times New Roman" w:hAnsi="Times New Roman" w:eastAsia="楷体_GB2312" w:cs="Times New Roman"/>
          <w:b/>
          <w:sz w:val="32"/>
          <w:szCs w:val="32"/>
          <w:lang w:val="en-US" w:eastAsia="zh-CN"/>
        </w:rPr>
        <w:t>提质审批服务，</w:t>
      </w:r>
      <w:r>
        <w:rPr>
          <w:rFonts w:hint="default" w:ascii="Times New Roman" w:hAnsi="Times New Roman" w:eastAsia="楷体_GB2312" w:cs="Times New Roman"/>
          <w:b/>
          <w:sz w:val="32"/>
          <w:szCs w:val="32"/>
        </w:rPr>
        <w:t>优化</w:t>
      </w:r>
      <w:r>
        <w:rPr>
          <w:rFonts w:hint="default" w:ascii="Times New Roman" w:hAnsi="Times New Roman" w:eastAsia="楷体_GB2312" w:cs="Times New Roman"/>
          <w:b/>
          <w:sz w:val="32"/>
          <w:szCs w:val="32"/>
          <w:lang w:val="en-US" w:eastAsia="zh-CN"/>
        </w:rPr>
        <w:t>营商环境</w:t>
      </w:r>
      <w:r>
        <w:rPr>
          <w:rFonts w:hint="default" w:ascii="Times New Roman" w:hAnsi="Times New Roman" w:eastAsia="楷体_GB2312" w:cs="Times New Roman"/>
          <w:b/>
          <w:sz w:val="32"/>
          <w:szCs w:val="32"/>
        </w:rPr>
        <w:t>。</w:t>
      </w:r>
      <w:r>
        <w:rPr>
          <w:rFonts w:hint="default" w:ascii="Times New Roman" w:hAnsi="Times New Roman" w:eastAsia="仿宋_GB2312" w:cs="Times New Roman"/>
          <w:sz w:val="32"/>
          <w:szCs w:val="32"/>
          <w:lang w:val="en-US" w:eastAsia="zh-CN"/>
        </w:rPr>
        <w:t>严格落实网上审批和“一件事一次办”等各项规定，进一步简化审批流程、优化服务，持续优化我县营商环境。我局共办理审批、备案立项项目286个，总投资额521.6亿元。其中，政府投资项目审批87个，批复投资46.2亿元；企业投资项目备案199个，备案投资475.4亿元。我局牵头负责县优化营商环境包容普一级指标，明确专人负责，多次牵头组织科工信局、县委组织部、教育局、卫健局、生态环境局、产业开发区等相关单位就重点工作进展情况进行调度，及时完善工作档案，及时提炼亮点，确保在省市检查中取得优异成绩。</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b/>
          <w:sz w:val="32"/>
          <w:szCs w:val="32"/>
        </w:rPr>
        <w:t>（</w:t>
      </w:r>
      <w:r>
        <w:rPr>
          <w:rFonts w:hint="default" w:ascii="Times New Roman" w:hAnsi="Times New Roman" w:eastAsia="楷体_GB2312" w:cs="Times New Roman"/>
          <w:b/>
          <w:sz w:val="32"/>
          <w:szCs w:val="32"/>
          <w:lang w:val="en-US" w:eastAsia="zh-CN"/>
        </w:rPr>
        <w:t>五</w:t>
      </w:r>
      <w:r>
        <w:rPr>
          <w:rFonts w:hint="default" w:ascii="Times New Roman" w:hAnsi="Times New Roman" w:eastAsia="楷体_GB2312" w:cs="Times New Roman"/>
          <w:b/>
          <w:sz w:val="32"/>
          <w:szCs w:val="32"/>
        </w:rPr>
        <w:t>）</w:t>
      </w:r>
      <w:r>
        <w:rPr>
          <w:rFonts w:hint="default" w:ascii="Times New Roman" w:hAnsi="Times New Roman" w:eastAsia="楷体_GB2312" w:cs="Times New Roman"/>
          <w:b/>
          <w:sz w:val="32"/>
          <w:szCs w:val="32"/>
          <w:lang w:val="en-US" w:eastAsia="zh-CN"/>
        </w:rPr>
        <w:t>强化要素保障，筑牢基础支撑</w:t>
      </w:r>
      <w:r>
        <w:rPr>
          <w:rFonts w:hint="default" w:ascii="Times New Roman" w:hAnsi="Times New Roman" w:eastAsia="楷体_GB2312" w:cs="Times New Roman"/>
          <w:b/>
          <w:sz w:val="32"/>
          <w:szCs w:val="32"/>
        </w:rPr>
        <w:t>。</w:t>
      </w:r>
      <w:r>
        <w:rPr>
          <w:rFonts w:hint="default" w:ascii="Times New Roman" w:hAnsi="Times New Roman" w:eastAsia="仿宋_GB2312" w:cs="Times New Roman"/>
          <w:b/>
          <w:bCs/>
          <w:sz w:val="32"/>
          <w:szCs w:val="32"/>
          <w:lang w:val="en-US" w:eastAsia="zh-CN"/>
        </w:rPr>
        <w:t>狠抓节能减排。</w:t>
      </w:r>
      <w:r>
        <w:rPr>
          <w:rFonts w:hint="default" w:ascii="Times New Roman" w:hAnsi="Times New Roman" w:eastAsia="仿宋_GB2312" w:cs="Times New Roman"/>
          <w:sz w:val="32"/>
          <w:szCs w:val="32"/>
          <w:lang w:val="en-US" w:eastAsia="zh-CN"/>
        </w:rPr>
        <w:t>摸底全县“十四五”成熟集中式光伏项目和新型储能项目。开展智能停车场项目前期选址工作，全面摸排全县23个乡镇的可建场地。全面落实长输油气管道安全监管责任。开展绿色低碳现场知识问答，全社会宣传低碳环保。</w:t>
      </w:r>
      <w:r>
        <w:rPr>
          <w:rFonts w:hint="default" w:ascii="Times New Roman" w:hAnsi="Times New Roman" w:eastAsia="仿宋_GB2312" w:cs="Times New Roman"/>
          <w:b/>
          <w:bCs/>
          <w:sz w:val="32"/>
          <w:szCs w:val="32"/>
          <w:lang w:val="en-US" w:eastAsia="zh-CN"/>
        </w:rPr>
        <w:t>优化</w:t>
      </w:r>
      <w:r>
        <w:rPr>
          <w:rFonts w:hint="default" w:ascii="Times New Roman" w:hAnsi="Times New Roman" w:eastAsia="仿宋_GB2312" w:cs="Times New Roman"/>
          <w:b/>
          <w:bCs/>
          <w:sz w:val="32"/>
          <w:szCs w:val="32"/>
        </w:rPr>
        <w:t>电力</w:t>
      </w:r>
      <w:r>
        <w:rPr>
          <w:rFonts w:hint="default" w:ascii="Times New Roman" w:hAnsi="Times New Roman" w:eastAsia="仿宋_GB2312" w:cs="Times New Roman"/>
          <w:b/>
          <w:bCs/>
          <w:sz w:val="32"/>
          <w:szCs w:val="32"/>
          <w:lang w:val="en-US" w:eastAsia="zh-CN"/>
        </w:rPr>
        <w:t>运行</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sz w:val="32"/>
          <w:szCs w:val="32"/>
          <w:lang w:val="en-US" w:eastAsia="zh-CN"/>
        </w:rPr>
        <w:t>泉湖110KV、相市35KV输变电项目正式启动，冠市35KV变电站已完成建设并投入运营。下发《关于进一步加强全县电力设施安全保护工作的通知》《关于落实上级专项行动部署加强电力安全工作的通知》等相关文件。积极开展全县用电安全隐患排查整改，配合县其他职能部门，对违法生产企业做好停止供电和复电工作，全力保障全县有序安全用电。</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3" w:firstLineChars="20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楷体_GB2312" w:cs="Times New Roman"/>
          <w:b/>
          <w:sz w:val="32"/>
          <w:szCs w:val="32"/>
          <w:lang w:eastAsia="zh-CN"/>
        </w:rPr>
        <w:t>（</w:t>
      </w:r>
      <w:r>
        <w:rPr>
          <w:rFonts w:hint="default" w:ascii="Times New Roman" w:hAnsi="Times New Roman" w:eastAsia="楷体_GB2312" w:cs="Times New Roman"/>
          <w:b/>
          <w:sz w:val="32"/>
          <w:szCs w:val="32"/>
          <w:lang w:val="en-US" w:eastAsia="zh-CN"/>
        </w:rPr>
        <w:t>六</w:t>
      </w:r>
      <w:r>
        <w:rPr>
          <w:rFonts w:hint="default" w:ascii="Times New Roman" w:hAnsi="Times New Roman" w:eastAsia="楷体_GB2312" w:cs="Times New Roman"/>
          <w:b/>
          <w:sz w:val="32"/>
          <w:szCs w:val="32"/>
          <w:lang w:eastAsia="zh-CN"/>
        </w:rPr>
        <w:t>）</w:t>
      </w:r>
      <w:r>
        <w:rPr>
          <w:rFonts w:hint="default" w:ascii="Times New Roman" w:hAnsi="Times New Roman" w:eastAsia="楷体_GB2312" w:cs="Times New Roman"/>
          <w:b/>
          <w:sz w:val="32"/>
          <w:szCs w:val="32"/>
        </w:rPr>
        <w:t>扎实为民实干，增进民生福祉。</w:t>
      </w:r>
      <w:r>
        <w:rPr>
          <w:rFonts w:hint="default" w:ascii="Times New Roman" w:hAnsi="Times New Roman" w:eastAsia="仿宋_GB2312" w:cs="Times New Roman"/>
          <w:b/>
          <w:bCs/>
          <w:sz w:val="32"/>
          <w:szCs w:val="32"/>
          <w:lang w:val="en-US" w:eastAsia="zh-CN"/>
        </w:rPr>
        <w:t>助力乡村振兴。</w:t>
      </w:r>
      <w:r>
        <w:rPr>
          <w:rFonts w:hint="default" w:ascii="Times New Roman" w:hAnsi="Times New Roman" w:eastAsia="仿宋_GB2312" w:cs="Times New Roman"/>
          <w:sz w:val="32"/>
          <w:szCs w:val="32"/>
          <w:lang w:val="en-US" w:eastAsia="zh-CN"/>
        </w:rPr>
        <w:t>争取2022年藏粮于地藏粮于技专项（高标准农田项目）和水利项目的中央预算内投资分别下达资金4107万元、4733万元。督促易地扶贫搬迁产业帮扶委托资金、安置点公益性岗位工资足额发放到位。严格按要求全力迎省巩固拓展脱贫攻坚成果同乡村振兴有效衔接、推进乡村振兴战略实地考核工作。</w:t>
      </w:r>
      <w:r>
        <w:rPr>
          <w:rFonts w:hint="default" w:ascii="Times New Roman" w:hAnsi="Times New Roman" w:eastAsia="仿宋_GB2312" w:cs="Times New Roman"/>
          <w:b/>
          <w:bCs/>
          <w:sz w:val="32"/>
          <w:szCs w:val="32"/>
        </w:rPr>
        <w:t>落实价费</w:t>
      </w:r>
      <w:r>
        <w:rPr>
          <w:rFonts w:hint="default" w:ascii="Times New Roman" w:hAnsi="Times New Roman" w:eastAsia="仿宋_GB2312" w:cs="Times New Roman"/>
          <w:b/>
          <w:bCs/>
          <w:sz w:val="32"/>
          <w:szCs w:val="32"/>
          <w:lang w:val="en-US" w:eastAsia="zh-CN"/>
        </w:rPr>
        <w:t>管理</w:t>
      </w:r>
      <w:r>
        <w:rPr>
          <w:rFonts w:hint="default" w:ascii="Times New Roman" w:hAnsi="Times New Roman" w:eastAsia="仿宋_GB2312" w:cs="Times New Roman"/>
          <w:b/>
          <w:bCs/>
          <w:sz w:val="32"/>
          <w:szCs w:val="32"/>
        </w:rPr>
        <w:t>。</w:t>
      </w:r>
      <w:r>
        <w:rPr>
          <w:rFonts w:hint="default" w:ascii="Times New Roman" w:hAnsi="Times New Roman" w:eastAsia="仿宋_GB2312" w:cs="Times New Roman"/>
          <w:sz w:val="32"/>
          <w:szCs w:val="32"/>
          <w:lang w:val="en-US" w:eastAsia="zh-CN"/>
        </w:rPr>
        <w:t>认真贯彻落实了中央、省、市、县关于水、电、气、油等价格监管政策，全力做好清费、减负、治乱工作。完成衡南县自来水公司、衡南县双板桥自来水有限公司供水成本监审工作。</w:t>
      </w:r>
      <w:r>
        <w:rPr>
          <w:rFonts w:hint="default" w:ascii="Times New Roman" w:hAnsi="Times New Roman" w:eastAsia="仿宋_GB2312" w:cs="Times New Roman"/>
          <w:b/>
          <w:bCs/>
          <w:sz w:val="32"/>
          <w:szCs w:val="32"/>
          <w:lang w:val="en-US" w:eastAsia="zh-CN"/>
        </w:rPr>
        <w:t>做好价格认证工作。</w:t>
      </w:r>
      <w:r>
        <w:rPr>
          <w:rFonts w:hint="default" w:ascii="Times New Roman" w:hAnsi="Times New Roman" w:eastAsia="仿宋_GB2312" w:cs="Times New Roman"/>
          <w:sz w:val="32"/>
          <w:szCs w:val="32"/>
          <w:lang w:val="en-US" w:eastAsia="zh-CN"/>
        </w:rPr>
        <w:t>我局配合公检司法办理涉案物价格评估案件51宗，评估总价值21.56万元。</w:t>
      </w:r>
    </w:p>
    <w:p>
      <w:pPr>
        <w:pStyle w:val="9"/>
        <w:keepNext w:val="0"/>
        <w:keepLines w:val="0"/>
        <w:pageBreakBefore w:val="0"/>
        <w:widowControl w:val="0"/>
        <w:kinsoku/>
        <w:wordWrap/>
        <w:overflowPunct/>
        <w:topLinePunct w:val="0"/>
        <w:autoSpaceDE/>
        <w:autoSpaceDN/>
        <w:bidi w:val="0"/>
        <w:adjustRightInd/>
        <w:snapToGrid/>
        <w:spacing w:after="0" w:line="600" w:lineRule="exact"/>
        <w:ind w:left="0" w:leftChars="0" w:firstLine="643" w:firstLineChars="200"/>
        <w:textAlignment w:val="auto"/>
        <w:rPr>
          <w:rFonts w:hint="default" w:ascii="Times New Roman" w:hAnsi="Times New Roman" w:eastAsia="仿宋_GB2312" w:cs="Times New Roman"/>
          <w:b/>
          <w:kern w:val="2"/>
          <w:sz w:val="32"/>
          <w:szCs w:val="32"/>
          <w:lang w:val="en-US" w:eastAsia="zh-CN" w:bidi="ar-SA"/>
        </w:rPr>
      </w:pPr>
      <w:r>
        <w:rPr>
          <w:rFonts w:hint="default" w:ascii="Times New Roman" w:hAnsi="Times New Roman" w:eastAsia="楷体_GB2312" w:cs="Times New Roman"/>
          <w:b/>
          <w:kern w:val="2"/>
          <w:sz w:val="32"/>
          <w:szCs w:val="32"/>
          <w:lang w:val="en-US" w:eastAsia="zh-CN" w:bidi="ar-SA"/>
        </w:rPr>
        <w:t>（七）聚焦机关建设，改进工作作风。</w:t>
      </w:r>
      <w:r>
        <w:rPr>
          <w:rFonts w:hint="default" w:ascii="Times New Roman" w:hAnsi="Times New Roman" w:eastAsia="仿宋_GB2312" w:cs="Times New Roman"/>
          <w:b/>
          <w:bCs/>
          <w:color w:val="000000"/>
          <w:sz w:val="32"/>
          <w:szCs w:val="32"/>
        </w:rPr>
        <w:t>突出抓好党的建设。</w:t>
      </w:r>
      <w:r>
        <w:rPr>
          <w:rFonts w:hint="default" w:ascii="Times New Roman" w:hAnsi="Times New Roman" w:eastAsia="仿宋_GB2312" w:cs="Times New Roman"/>
          <w:sz w:val="32"/>
          <w:szCs w:val="32"/>
          <w:lang w:eastAsia="zh-CN"/>
        </w:rPr>
        <w:t>围绕“基层党建</w:t>
      </w:r>
      <w:r>
        <w:rPr>
          <w:rFonts w:hint="default" w:ascii="Times New Roman" w:hAnsi="Times New Roman" w:eastAsia="仿宋_GB2312" w:cs="Times New Roman"/>
          <w:sz w:val="32"/>
          <w:szCs w:val="32"/>
          <w:lang w:val="en-US" w:eastAsia="zh-CN"/>
        </w:rPr>
        <w:t>整建</w:t>
      </w:r>
      <w:r>
        <w:rPr>
          <w:rFonts w:hint="default" w:ascii="Times New Roman" w:hAnsi="Times New Roman" w:eastAsia="仿宋_GB2312" w:cs="Times New Roman"/>
          <w:sz w:val="32"/>
          <w:szCs w:val="32"/>
          <w:lang w:eastAsia="zh-CN"/>
        </w:rPr>
        <w:t>提质专项行动”，今年局党组专题研究党建工作的会议达20次，党组班子成员到支部调研指导工作平均每人达20次以上。建立党史学习教育常态化长效机制，全年组织党员集中学习达</w:t>
      </w:r>
      <w:r>
        <w:rPr>
          <w:rFonts w:hint="default" w:ascii="Times New Roman" w:hAnsi="Times New Roman" w:eastAsia="仿宋_GB2312" w:cs="Times New Roman"/>
          <w:sz w:val="32"/>
          <w:szCs w:val="32"/>
          <w:lang w:val="en-US" w:eastAsia="zh-CN"/>
        </w:rPr>
        <w:t>8次，观看教育片2次，到红色教育基地参观学习1次。</w:t>
      </w:r>
      <w:r>
        <w:rPr>
          <w:rFonts w:hint="default" w:ascii="Times New Roman" w:hAnsi="Times New Roman" w:eastAsia="仿宋_GB2312" w:cs="Times New Roman"/>
          <w:bCs/>
          <w:color w:val="000000"/>
          <w:sz w:val="32"/>
          <w:szCs w:val="32"/>
          <w:lang w:val="en-US" w:eastAsia="zh-CN"/>
        </w:rPr>
        <w:t>组织机关干部在</w:t>
      </w:r>
      <w:r>
        <w:rPr>
          <w:rFonts w:hint="default" w:ascii="Times New Roman" w:hAnsi="Times New Roman" w:eastAsia="仿宋_GB2312" w:cs="Times New Roman"/>
          <w:bCs/>
          <w:color w:val="000000"/>
          <w:sz w:val="32"/>
          <w:szCs w:val="32"/>
        </w:rPr>
        <w:t>认真</w:t>
      </w:r>
      <w:r>
        <w:rPr>
          <w:rFonts w:hint="default" w:ascii="Times New Roman" w:hAnsi="Times New Roman" w:eastAsia="仿宋_GB2312" w:cs="Times New Roman"/>
          <w:bCs/>
          <w:color w:val="000000"/>
          <w:sz w:val="32"/>
          <w:szCs w:val="32"/>
          <w:lang w:val="en-US" w:eastAsia="zh-CN"/>
        </w:rPr>
        <w:t>学习党的二十大精神基础上到驻点村召开屋场恳谈会宣传</w:t>
      </w:r>
      <w:r>
        <w:rPr>
          <w:rFonts w:hint="default" w:ascii="Times New Roman" w:hAnsi="Times New Roman" w:eastAsia="仿宋_GB2312" w:cs="Times New Roman"/>
          <w:bCs/>
          <w:color w:val="000000"/>
          <w:sz w:val="32"/>
          <w:szCs w:val="32"/>
        </w:rPr>
        <w:t>，</w:t>
      </w:r>
      <w:r>
        <w:rPr>
          <w:rFonts w:hint="default" w:ascii="Times New Roman" w:hAnsi="Times New Roman" w:eastAsia="仿宋_GB2312" w:cs="Times New Roman"/>
          <w:bCs/>
          <w:color w:val="000000"/>
          <w:sz w:val="32"/>
          <w:szCs w:val="32"/>
          <w:lang w:val="en-US" w:eastAsia="zh-CN"/>
        </w:rPr>
        <w:t>确保党的二十大精神入脑入心</w:t>
      </w:r>
      <w:r>
        <w:rPr>
          <w:rFonts w:hint="default" w:ascii="Times New Roman" w:hAnsi="Times New Roman" w:eastAsia="仿宋_GB2312" w:cs="Times New Roman"/>
          <w:bCs/>
          <w:color w:val="000000"/>
          <w:sz w:val="32"/>
          <w:szCs w:val="32"/>
        </w:rPr>
        <w:t>。</w:t>
      </w:r>
      <w:r>
        <w:rPr>
          <w:rFonts w:hint="default" w:ascii="Times New Roman" w:hAnsi="Times New Roman" w:eastAsia="仿宋_GB2312" w:cs="Times New Roman"/>
          <w:bCs/>
          <w:color w:val="000000"/>
          <w:sz w:val="32"/>
          <w:szCs w:val="32"/>
          <w:lang w:val="en-US" w:eastAsia="zh-CN"/>
        </w:rPr>
        <w:t>进一步强化了“三全一课”制度，严格</w:t>
      </w:r>
      <w:r>
        <w:rPr>
          <w:rFonts w:hint="default" w:ascii="Times New Roman" w:hAnsi="Times New Roman" w:eastAsia="仿宋_GB2312" w:cs="Times New Roman"/>
          <w:sz w:val="32"/>
          <w:szCs w:val="32"/>
        </w:rPr>
        <w:t>党员星级量化积分管理、党支部“五星级”量化管理等</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全面夯实党建基础</w:t>
      </w:r>
      <w:r>
        <w:rPr>
          <w:rFonts w:hint="default" w:ascii="Times New Roman" w:hAnsi="Times New Roman" w:eastAsia="仿宋_GB2312" w:cs="Times New Roman"/>
          <w:bCs/>
          <w:color w:val="000000"/>
          <w:sz w:val="32"/>
          <w:szCs w:val="32"/>
        </w:rPr>
        <w:t>。</w:t>
      </w:r>
      <w:bookmarkStart w:id="0" w:name="_Hlk62230345"/>
      <w:r>
        <w:rPr>
          <w:rFonts w:hint="default" w:ascii="Times New Roman" w:hAnsi="Times New Roman" w:eastAsia="仿宋_GB2312" w:cs="Times New Roman"/>
          <w:b/>
          <w:bCs/>
          <w:color w:val="000000"/>
          <w:sz w:val="32"/>
          <w:szCs w:val="32"/>
        </w:rPr>
        <w:t>突出抓好廉政建设。</w:t>
      </w:r>
      <w:bookmarkEnd w:id="0"/>
      <w:r>
        <w:rPr>
          <w:rFonts w:hint="default" w:ascii="Times New Roman" w:hAnsi="Times New Roman" w:eastAsia="仿宋_GB2312" w:cs="Times New Roman"/>
          <w:bCs/>
          <w:color w:val="000000"/>
          <w:sz w:val="32"/>
          <w:szCs w:val="32"/>
          <w:lang w:val="en-US" w:eastAsia="zh-CN"/>
        </w:rPr>
        <w:t>按照县委巡查整改要求，扎实开展“清廉机关”创建活动，一方面进一步完善了局机关上下班考勤、财务制度等，完善制度监督；另一方面</w:t>
      </w:r>
      <w:r>
        <w:rPr>
          <w:rStyle w:val="15"/>
          <w:rFonts w:hint="default" w:ascii="Times New Roman" w:hAnsi="Times New Roman" w:cs="Times New Roman"/>
          <w:szCs w:val="32"/>
        </w:rPr>
        <w:t>对重要岗位、重要风险点，局党组班子成员定期与关键岗位人员开展谈心、警示教育活动，</w:t>
      </w:r>
      <w:r>
        <w:rPr>
          <w:rStyle w:val="15"/>
          <w:rFonts w:hint="default" w:ascii="Times New Roman" w:hAnsi="Times New Roman" w:cs="Times New Roman"/>
          <w:szCs w:val="32"/>
          <w:lang w:val="en-US"/>
        </w:rPr>
        <w:t>确保全年局党组、全局不发生廉政事件</w:t>
      </w:r>
      <w:r>
        <w:rPr>
          <w:rFonts w:hint="default" w:ascii="Times New Roman" w:hAnsi="Times New Roman" w:eastAsia="仿宋_GB2312" w:cs="Times New Roman"/>
          <w:bCs/>
          <w:color w:val="000000"/>
          <w:sz w:val="32"/>
          <w:szCs w:val="32"/>
        </w:rPr>
        <w:t>。</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部门整体支出绩效情况如下：</w:t>
      </w:r>
    </w:p>
    <w:p>
      <w:pPr>
        <w:spacing w:line="58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1、重点支出安排率: 100%</w:t>
      </w:r>
      <w:r>
        <w:rPr>
          <w:rFonts w:hint="eastAsia" w:ascii="仿宋_GB2312" w:hAnsi="仿宋_GB2312" w:eastAsia="仿宋_GB2312" w:cs="仿宋_GB2312"/>
          <w:kern w:val="0"/>
          <w:sz w:val="32"/>
          <w:szCs w:val="32"/>
          <w:lang w:eastAsia="zh-CN"/>
        </w:rPr>
        <w:t>。</w:t>
      </w:r>
    </w:p>
    <w:p>
      <w:pPr>
        <w:spacing w:line="580" w:lineRule="exact"/>
        <w:ind w:firstLine="640" w:firstLineChars="200"/>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rPr>
        <w:t>2、在职人员控制率：100%</w:t>
      </w:r>
      <w:r>
        <w:rPr>
          <w:rFonts w:hint="eastAsia" w:ascii="仿宋_GB2312" w:hAnsi="仿宋_GB2312" w:eastAsia="仿宋_GB2312" w:cs="仿宋_GB2312"/>
          <w:kern w:val="0"/>
          <w:sz w:val="32"/>
          <w:szCs w:val="32"/>
          <w:lang w:eastAsia="zh-CN"/>
        </w:rPr>
        <w:t>。</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3、“三公经费”控制率：</w:t>
      </w:r>
      <w:r>
        <w:rPr>
          <w:rFonts w:hint="eastAsia" w:ascii="仿宋_GB2312" w:hAnsi="仿宋_GB2312" w:eastAsia="仿宋_GB2312" w:cs="仿宋_GB2312"/>
          <w:kern w:val="0"/>
          <w:sz w:val="32"/>
          <w:szCs w:val="32"/>
          <w:lang w:val="en-US" w:eastAsia="zh-CN"/>
        </w:rPr>
        <w:t>100</w:t>
      </w:r>
      <w:r>
        <w:rPr>
          <w:rFonts w:hint="eastAsia" w:ascii="仿宋_GB2312" w:hAnsi="仿宋_GB2312" w:eastAsia="仿宋_GB2312" w:cs="仿宋_GB2312"/>
          <w:kern w:val="0"/>
          <w:sz w:val="32"/>
          <w:szCs w:val="32"/>
        </w:rPr>
        <w:t>%，严格控制“三公经费”支出，开源节流。</w:t>
      </w:r>
    </w:p>
    <w:p>
      <w:pPr>
        <w:spacing w:line="580" w:lineRule="exact"/>
        <w:ind w:firstLine="640" w:firstLineChars="200"/>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rPr>
        <w:t>4、预算完成率：</w:t>
      </w:r>
      <w:r>
        <w:rPr>
          <w:rFonts w:hint="eastAsia" w:ascii="仿宋_GB2312" w:hAnsi="仿宋_GB2312" w:eastAsia="仿宋_GB2312" w:cs="仿宋_GB2312"/>
          <w:kern w:val="0"/>
          <w:sz w:val="32"/>
          <w:szCs w:val="32"/>
          <w:lang w:val="en-US" w:eastAsia="zh-CN"/>
        </w:rPr>
        <w:t>273.18</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eastAsia="zh-CN"/>
        </w:rPr>
        <w:t>。</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5、预算变动率：</w:t>
      </w:r>
      <w:r>
        <w:rPr>
          <w:rFonts w:hint="eastAsia" w:ascii="仿宋_GB2312" w:hAnsi="仿宋_GB2312" w:eastAsia="仿宋_GB2312" w:cs="仿宋_GB2312"/>
          <w:kern w:val="0"/>
          <w:sz w:val="32"/>
          <w:szCs w:val="32"/>
          <w:lang w:val="en-US" w:eastAsia="zh-CN"/>
        </w:rPr>
        <w:t>173</w:t>
      </w:r>
      <w:r>
        <w:rPr>
          <w:rFonts w:hint="eastAsia" w:ascii="仿宋_GB2312" w:hAnsi="仿宋_GB2312" w:eastAsia="仿宋_GB2312" w:cs="仿宋_GB2312"/>
          <w:kern w:val="0"/>
          <w:sz w:val="32"/>
          <w:szCs w:val="32"/>
        </w:rPr>
        <w:t>%，由于运转经费不足、新增人员未纳入预算</w:t>
      </w:r>
      <w:r>
        <w:rPr>
          <w:rFonts w:hint="eastAsia" w:ascii="仿宋_GB2312" w:hAnsi="仿宋_GB2312" w:eastAsia="仿宋_GB2312" w:cs="仿宋_GB2312"/>
          <w:kern w:val="0"/>
          <w:sz w:val="32"/>
          <w:szCs w:val="32"/>
          <w:lang w:val="en-US" w:eastAsia="zh-CN"/>
        </w:rPr>
        <w:t>及追加项目前期经费和单位往来结算</w:t>
      </w:r>
      <w:r>
        <w:rPr>
          <w:rFonts w:hint="eastAsia" w:ascii="仿宋_GB2312" w:hAnsi="仿宋_GB2312" w:eastAsia="仿宋_GB2312" w:cs="仿宋_GB2312"/>
          <w:kern w:val="0"/>
          <w:sz w:val="32"/>
          <w:szCs w:val="32"/>
        </w:rPr>
        <w:t>所致。</w:t>
      </w:r>
    </w:p>
    <w:p>
      <w:pPr>
        <w:spacing w:line="580" w:lineRule="exact"/>
        <w:ind w:firstLine="640" w:firstLineChars="200"/>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rPr>
        <w:t>6、政府采购执行率：100%</w:t>
      </w:r>
      <w:r>
        <w:rPr>
          <w:rFonts w:hint="eastAsia" w:ascii="仿宋_GB2312" w:hAnsi="仿宋_GB2312" w:eastAsia="仿宋_GB2312" w:cs="仿宋_GB2312"/>
          <w:kern w:val="0"/>
          <w:sz w:val="32"/>
          <w:szCs w:val="32"/>
          <w:lang w:eastAsia="zh-CN"/>
        </w:rPr>
        <w:t>。</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7、在资金管理上，我局制定了一系列的财务管理制度。</w:t>
      </w:r>
    </w:p>
    <w:p>
      <w:pPr>
        <w:spacing w:line="580" w:lineRule="exact"/>
        <w:ind w:firstLine="640" w:firstLineChars="200"/>
        <w:rPr>
          <w:rFonts w:ascii="黑体" w:hAnsi="黑体" w:eastAsia="黑体" w:cs="仿宋_GB2312"/>
          <w:bCs/>
          <w:kern w:val="0"/>
          <w:sz w:val="32"/>
          <w:szCs w:val="32"/>
        </w:rPr>
      </w:pPr>
      <w:r>
        <w:rPr>
          <w:rFonts w:hint="eastAsia" w:ascii="黑体" w:hAnsi="黑体" w:eastAsia="黑体" w:cs="仿宋_GB2312"/>
          <w:bCs/>
          <w:kern w:val="0"/>
          <w:sz w:val="32"/>
          <w:szCs w:val="32"/>
        </w:rPr>
        <w:t>四、存在的主要问题</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因财政资金日益紧张，预算资金逐年减少，单位预算管理压力加大。部分开支未纳入预算，资金缺口较大。年中预算追加运转经费、专项工作经费较多。本单位的预算执行能力还有待加强，需要进一步提高资金使用效率。</w:t>
      </w:r>
    </w:p>
    <w:p>
      <w:pPr>
        <w:spacing w:line="58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kern w:val="0"/>
          <w:sz w:val="32"/>
          <w:szCs w:val="32"/>
        </w:rPr>
        <w:t>由于年底未及时拨付财政资金，部分开支无法在决算前支付，导致决算数与预算数不能完全匹配。</w:t>
      </w:r>
    </w:p>
    <w:p>
      <w:pPr>
        <w:spacing w:line="580" w:lineRule="exact"/>
        <w:ind w:firstLine="640" w:firstLineChars="200"/>
        <w:rPr>
          <w:rFonts w:ascii="黑体" w:hAnsi="黑体" w:eastAsia="黑体" w:cs="仿宋_GB2312"/>
          <w:bCs/>
          <w:kern w:val="0"/>
          <w:sz w:val="32"/>
          <w:szCs w:val="32"/>
        </w:rPr>
      </w:pPr>
      <w:r>
        <w:rPr>
          <w:rFonts w:hint="eastAsia" w:ascii="黑体" w:hAnsi="黑体" w:eastAsia="黑体" w:cs="仿宋_GB2312"/>
          <w:bCs/>
          <w:kern w:val="0"/>
          <w:sz w:val="32"/>
          <w:szCs w:val="32"/>
        </w:rPr>
        <w:t>五、改进措施及建议</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1、进一步精细测算各项工作年度开支，争取各项工作开展所需经费能够纳入预算，减少预算变动率。</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2、抓好财务预算管理，严格执行财务管理制度，充分发挥监督作用。</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3、严格财务支出审批。抓好审核和审批两个环节，在审核审批中严把支出关，切实维护财务纪律的严肃性。</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4、强化经费管理。重点加强招待费和办公经费的管理，严格控制支出，降低经费支出。</w:t>
      </w:r>
    </w:p>
    <w:p>
      <w:pPr>
        <w:spacing w:line="5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5、及时拨付资金，减少结转下年的资金。  </w:t>
      </w:r>
    </w:p>
    <w:p>
      <w:pPr>
        <w:pStyle w:val="12"/>
        <w:spacing w:line="580" w:lineRule="exact"/>
        <w:rPr>
          <w:rFonts w:ascii="仿宋_GB2312" w:hAnsi="仿宋_GB2312" w:eastAsia="仿宋_GB2312" w:cs="仿宋_GB2312"/>
          <w:kern w:val="0"/>
          <w:sz w:val="32"/>
          <w:szCs w:val="32"/>
        </w:rPr>
      </w:pPr>
    </w:p>
    <w:p>
      <w:pPr>
        <w:spacing w:line="580" w:lineRule="exact"/>
        <w:ind w:left="5430" w:leftChars="1976" w:hanging="1280" w:hangingChars="400"/>
        <w:jc w:val="both"/>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南县发展和改革局</w:t>
      </w:r>
      <w:r>
        <w:rPr>
          <w:rFonts w:hint="eastAsia" w:ascii="仿宋_GB2312" w:hAnsi="仿宋_GB2312" w:eastAsia="仿宋_GB2312" w:cs="仿宋_GB2312"/>
          <w:kern w:val="0"/>
          <w:sz w:val="32"/>
          <w:szCs w:val="32"/>
          <w:lang w:val="en-US" w:eastAsia="zh-CN"/>
        </w:rPr>
        <w:t xml:space="preserve">       </w:t>
      </w:r>
    </w:p>
    <w:p>
      <w:pPr>
        <w:spacing w:line="580" w:lineRule="exact"/>
        <w:ind w:left="5430" w:leftChars="1976" w:hanging="1280" w:hangingChars="400"/>
        <w:jc w:val="both"/>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202</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年4月</w:t>
      </w:r>
      <w:r>
        <w:rPr>
          <w:rFonts w:hint="eastAsia" w:ascii="仿宋_GB2312" w:hAnsi="仿宋_GB2312" w:eastAsia="仿宋_GB2312" w:cs="仿宋_GB2312"/>
          <w:kern w:val="0"/>
          <w:sz w:val="32"/>
          <w:szCs w:val="32"/>
          <w:lang w:val="en-US" w:eastAsia="zh-CN"/>
        </w:rPr>
        <w:t>6</w:t>
      </w:r>
      <w:r>
        <w:rPr>
          <w:rFonts w:hint="eastAsia" w:ascii="仿宋_GB2312" w:hAnsi="仿宋_GB2312" w:eastAsia="仿宋_GB2312" w:cs="仿宋_GB2312"/>
          <w:kern w:val="0"/>
          <w:sz w:val="32"/>
          <w:szCs w:val="32"/>
        </w:rPr>
        <w:t>日</w:t>
      </w:r>
    </w:p>
    <w:p/>
    <w:sectPr>
      <w:footerReference r:id="rId3" w:type="default"/>
      <w:pgSz w:w="11906" w:h="16838"/>
      <w:pgMar w:top="1701" w:right="1701" w:bottom="1701" w:left="1701" w:header="851" w:footer="113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EFF" w:usb1="C000785B" w:usb2="00000009" w:usb3="00000000" w:csb0="400001FF" w:csb1="FFFF0000"/>
  </w:font>
  <w:font w:name="宋体">
    <w:panose1 w:val="02010600030101010101"/>
    <w:charset w:val="3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方正大标宋简体">
    <w:altName w:val="微软雅黑"/>
    <w:panose1 w:val="02010601030101010101"/>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31737"/>
      <w:docPartObj>
        <w:docPartGallery w:val="autotext"/>
      </w:docPartObj>
    </w:sdtPr>
    <w:sdtContent>
      <w:p>
        <w:pPr>
          <w:pStyle w:val="6"/>
          <w:jc w:val="center"/>
        </w:pPr>
        <w:r>
          <w:fldChar w:fldCharType="begin"/>
        </w:r>
        <w:r>
          <w:instrText xml:space="preserve"> PAGE   \* MERGEFORMAT </w:instrText>
        </w:r>
        <w:r>
          <w:fldChar w:fldCharType="separate"/>
        </w:r>
        <w:r>
          <w:rPr>
            <w:lang w:val="zh-CN"/>
          </w:rPr>
          <w:t>12</w:t>
        </w:r>
        <w:r>
          <w:rPr>
            <w:lang w:val="zh-CN"/>
          </w:rP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E53886"/>
    <w:multiLevelType w:val="singleLevel"/>
    <w:tmpl w:val="EAE53886"/>
    <w:lvl w:ilvl="0" w:tentative="0">
      <w:start w:val="2"/>
      <w:numFmt w:val="decimal"/>
      <w:lvlText w:val="%1."/>
      <w:lvlJc w:val="left"/>
      <w:pPr>
        <w:tabs>
          <w:tab w:val="left" w:pos="312"/>
        </w:tabs>
      </w:pPr>
    </w:lvl>
  </w:abstractNum>
  <w:abstractNum w:abstractNumId="1">
    <w:nsid w:val="2A97D2FD"/>
    <w:multiLevelType w:val="singleLevel"/>
    <w:tmpl w:val="2A97D2FD"/>
    <w:lvl w:ilvl="0" w:tentative="0">
      <w:start w:val="2"/>
      <w:numFmt w:val="decimal"/>
      <w:lvlText w:val="%1."/>
      <w:lvlJc w:val="left"/>
      <w:pPr>
        <w:tabs>
          <w:tab w:val="left" w:pos="312"/>
        </w:tabs>
      </w:pPr>
    </w:lvl>
  </w:abstractNum>
  <w:abstractNum w:abstractNumId="2">
    <w:nsid w:val="4ABAEA51"/>
    <w:multiLevelType w:val="singleLevel"/>
    <w:tmpl w:val="4ABAEA51"/>
    <w:lvl w:ilvl="0" w:tentative="0">
      <w:start w:val="1"/>
      <w:numFmt w:val="decimal"/>
      <w:suff w:val="nothing"/>
      <w:lvlText w:val="（%1）"/>
      <w:lvlJc w:val="left"/>
      <w:pPr>
        <w:ind w:left="840" w:firstLine="0"/>
      </w:pPr>
    </w:lvl>
  </w:abstractNum>
  <w:abstractNum w:abstractNumId="3">
    <w:nsid w:val="54A1CD38"/>
    <w:multiLevelType w:val="singleLevel"/>
    <w:tmpl w:val="54A1CD38"/>
    <w:lvl w:ilvl="0" w:tentative="0">
      <w:start w:val="1"/>
      <w:numFmt w:val="chineseCounting"/>
      <w:suff w:val="nothing"/>
      <w:lvlText w:val="（%1）"/>
      <w:lvlJc w:val="left"/>
      <w:pPr>
        <w:ind w:left="-643"/>
      </w:pPr>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5E5B359C"/>
    <w:rsid w:val="00495FEB"/>
    <w:rsid w:val="004B7835"/>
    <w:rsid w:val="0059128F"/>
    <w:rsid w:val="0066312C"/>
    <w:rsid w:val="00886A46"/>
    <w:rsid w:val="009445B6"/>
    <w:rsid w:val="00A46490"/>
    <w:rsid w:val="00B45CB4"/>
    <w:rsid w:val="00C4666D"/>
    <w:rsid w:val="00F24D3A"/>
    <w:rsid w:val="02E93CCD"/>
    <w:rsid w:val="06890792"/>
    <w:rsid w:val="06BE4560"/>
    <w:rsid w:val="070E4802"/>
    <w:rsid w:val="07A67A24"/>
    <w:rsid w:val="0C3A4F67"/>
    <w:rsid w:val="0D962FC5"/>
    <w:rsid w:val="0E397C0B"/>
    <w:rsid w:val="10F519A2"/>
    <w:rsid w:val="11835F75"/>
    <w:rsid w:val="12213C9A"/>
    <w:rsid w:val="13796FE5"/>
    <w:rsid w:val="15A51B85"/>
    <w:rsid w:val="182B0C75"/>
    <w:rsid w:val="1BFA38D1"/>
    <w:rsid w:val="1EA96234"/>
    <w:rsid w:val="1EB27989"/>
    <w:rsid w:val="1FC54674"/>
    <w:rsid w:val="20055EE5"/>
    <w:rsid w:val="23D425FA"/>
    <w:rsid w:val="247A035B"/>
    <w:rsid w:val="24C94E1A"/>
    <w:rsid w:val="26711414"/>
    <w:rsid w:val="26A778A1"/>
    <w:rsid w:val="281B6022"/>
    <w:rsid w:val="2C907D44"/>
    <w:rsid w:val="2D7D16B4"/>
    <w:rsid w:val="32761BDB"/>
    <w:rsid w:val="32884D82"/>
    <w:rsid w:val="33785EC7"/>
    <w:rsid w:val="35015A6E"/>
    <w:rsid w:val="36623B29"/>
    <w:rsid w:val="3971469F"/>
    <w:rsid w:val="3B6F53E8"/>
    <w:rsid w:val="3B926923"/>
    <w:rsid w:val="3C8A0F0E"/>
    <w:rsid w:val="432C0BC9"/>
    <w:rsid w:val="4AE97986"/>
    <w:rsid w:val="4C58371B"/>
    <w:rsid w:val="4DF215C7"/>
    <w:rsid w:val="51470263"/>
    <w:rsid w:val="516E61B1"/>
    <w:rsid w:val="53624CD1"/>
    <w:rsid w:val="538B243C"/>
    <w:rsid w:val="54686246"/>
    <w:rsid w:val="5543215D"/>
    <w:rsid w:val="559A0529"/>
    <w:rsid w:val="56C8676A"/>
    <w:rsid w:val="5771198C"/>
    <w:rsid w:val="57AE770E"/>
    <w:rsid w:val="57EE41F3"/>
    <w:rsid w:val="59601446"/>
    <w:rsid w:val="5B407D1E"/>
    <w:rsid w:val="5E5B359C"/>
    <w:rsid w:val="5EB442C2"/>
    <w:rsid w:val="62344EC5"/>
    <w:rsid w:val="62606D3B"/>
    <w:rsid w:val="63487F57"/>
    <w:rsid w:val="63BF6DB0"/>
    <w:rsid w:val="659F0C4A"/>
    <w:rsid w:val="66886125"/>
    <w:rsid w:val="68AE4D35"/>
    <w:rsid w:val="69A34306"/>
    <w:rsid w:val="69FF3176"/>
    <w:rsid w:val="6EDF10AD"/>
    <w:rsid w:val="6F5F2C51"/>
    <w:rsid w:val="70BA2311"/>
    <w:rsid w:val="71BD5FB9"/>
    <w:rsid w:val="769978E8"/>
    <w:rsid w:val="76DA012D"/>
    <w:rsid w:val="7B326238"/>
    <w:rsid w:val="7B4B57A4"/>
    <w:rsid w:val="7CC539EF"/>
    <w:rsid w:val="7D04330D"/>
    <w:rsid w:val="7D112584"/>
    <w:rsid w:val="7F6443B9"/>
    <w:rsid w:val="7F9374C1"/>
    <w:rsid w:val="7FC51D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0"/>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customStyle="1" w:styleId="2">
    <w:name w:val="TOC 标题1"/>
    <w:basedOn w:val="3"/>
    <w:next w:val="1"/>
    <w:qFormat/>
    <w:uiPriority w:val="39"/>
    <w:pPr>
      <w:spacing w:before="480" w:after="0" w:line="276" w:lineRule="auto"/>
      <w:jc w:val="center"/>
      <w:outlineLvl w:val="9"/>
    </w:pPr>
    <w:rPr>
      <w:rFonts w:ascii="仿宋" w:hAnsi="仿宋" w:eastAsia="仿宋"/>
      <w:color w:val="000000"/>
      <w:kern w:val="0"/>
      <w:sz w:val="32"/>
      <w:szCs w:val="32"/>
    </w:rPr>
  </w:style>
  <w:style w:type="paragraph" w:styleId="4">
    <w:name w:val="Body Text Indent"/>
    <w:basedOn w:val="1"/>
    <w:next w:val="5"/>
    <w:qFormat/>
    <w:uiPriority w:val="0"/>
    <w:pPr>
      <w:spacing w:after="120"/>
      <w:ind w:left="420" w:leftChars="200"/>
    </w:pPr>
  </w:style>
  <w:style w:type="paragraph" w:styleId="5">
    <w:name w:val="Body Text Indent 2"/>
    <w:basedOn w:val="1"/>
    <w:qFormat/>
    <w:uiPriority w:val="0"/>
    <w:pPr>
      <w:spacing w:after="120" w:line="480" w:lineRule="auto"/>
      <w:ind w:left="420" w:leftChars="200"/>
    </w:pPr>
  </w:style>
  <w:style w:type="paragraph" w:styleId="6">
    <w:name w:val="footer"/>
    <w:basedOn w:val="1"/>
    <w:link w:val="14"/>
    <w:qFormat/>
    <w:uiPriority w:val="99"/>
    <w:pPr>
      <w:tabs>
        <w:tab w:val="center" w:pos="4153"/>
        <w:tab w:val="right" w:pos="8306"/>
      </w:tabs>
      <w:snapToGrid w:val="0"/>
      <w:jc w:val="left"/>
    </w:pPr>
    <w:rPr>
      <w:sz w:val="18"/>
    </w:rPr>
  </w:style>
  <w:style w:type="paragraph" w:styleId="7">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rPr>
      <w:sz w:val="24"/>
    </w:rPr>
  </w:style>
  <w:style w:type="paragraph" w:styleId="9">
    <w:name w:val="Body Text First Indent 2"/>
    <w:basedOn w:val="4"/>
    <w:qFormat/>
    <w:uiPriority w:val="0"/>
    <w:pPr>
      <w:ind w:firstLine="420" w:firstLineChars="200"/>
    </w:pPr>
    <w:rPr>
      <w:rFonts w:ascii="宋体"/>
      <w:kern w:val="0"/>
      <w:sz w:val="20"/>
    </w:rPr>
  </w:style>
  <w:style w:type="paragraph" w:customStyle="1" w:styleId="12">
    <w:name w:val="Body Text Indent 21"/>
    <w:basedOn w:val="1"/>
    <w:qFormat/>
    <w:uiPriority w:val="0"/>
    <w:pPr>
      <w:spacing w:line="480" w:lineRule="auto"/>
      <w:ind w:left="420" w:leftChars="200"/>
    </w:pPr>
  </w:style>
  <w:style w:type="character" w:customStyle="1" w:styleId="13">
    <w:name w:val="页眉 Char"/>
    <w:basedOn w:val="11"/>
    <w:link w:val="7"/>
    <w:qFormat/>
    <w:uiPriority w:val="0"/>
    <w:rPr>
      <w:rFonts w:asciiTheme="minorHAnsi" w:hAnsiTheme="minorHAnsi" w:eastAsiaTheme="minorEastAsia" w:cstheme="minorBidi"/>
      <w:kern w:val="2"/>
      <w:sz w:val="18"/>
      <w:szCs w:val="18"/>
    </w:rPr>
  </w:style>
  <w:style w:type="character" w:customStyle="1" w:styleId="14">
    <w:name w:val="页脚 Char"/>
    <w:basedOn w:val="11"/>
    <w:link w:val="6"/>
    <w:qFormat/>
    <w:uiPriority w:val="99"/>
    <w:rPr>
      <w:rFonts w:asciiTheme="minorHAnsi" w:hAnsiTheme="minorHAnsi" w:eastAsiaTheme="minorEastAsia" w:cstheme="minorBidi"/>
      <w:kern w:val="2"/>
      <w:sz w:val="18"/>
      <w:szCs w:val="22"/>
    </w:rPr>
  </w:style>
  <w:style w:type="character" w:customStyle="1" w:styleId="15">
    <w:name w:val="NormalCharacter"/>
    <w:semiHidden/>
    <w:qFormat/>
    <w:uiPriority w:val="0"/>
    <w:rPr>
      <w:rFonts w:ascii="Times New Roman" w:hAnsi="Times New Roman" w:eastAsia="仿宋_GB2312" w:cstheme="minorBidi"/>
      <w:kern w:val="2"/>
      <w:sz w:val="32"/>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12</Pages>
  <Words>5330</Words>
  <Characters>5768</Characters>
  <Lines>2</Lines>
  <Paragraphs>12</Paragraphs>
  <TotalTime>194</TotalTime>
  <ScaleCrop>false</ScaleCrop>
  <LinksUpToDate>false</LinksUpToDate>
  <CharactersWithSpaces>5779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2021-05-13T02:10:00Z</dcterms:created>
  <dc:creator>知止</dc:creator>
  <cp:lastModifiedBy>茜茜</cp:lastModifiedBy>
  <cp:lastPrinted>2022-04-26T00:43:00Z</cp:lastPrinted>
  <dcterms:modified xsi:type="dcterms:W3CDTF">2024-08-29T01:30:02Z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B43856366E3E4275B11D271E9C8B914E_13</vt:lpwstr>
  </property>
</Properties>
</file>