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jc w:val="center"/>
        <w:rPr>
          <w:sz w:val="56"/>
          <w:szCs w:val="56"/>
        </w:rPr>
      </w:pPr>
    </w:p>
    <w:p>
      <w:pPr>
        <w:pStyle w:val="12"/>
        <w:jc w:val="center"/>
        <w:rPr>
          <w:sz w:val="56"/>
          <w:szCs w:val="56"/>
        </w:rPr>
      </w:pPr>
    </w:p>
    <w:p>
      <w:pPr>
        <w:pStyle w:val="12"/>
        <w:jc w:val="center"/>
        <w:rPr>
          <w:sz w:val="84"/>
          <w:szCs w:val="84"/>
        </w:rPr>
      </w:pPr>
    </w:p>
    <w:p>
      <w:pPr>
        <w:pStyle w:val="12"/>
        <w:jc w:val="center"/>
        <w:rPr>
          <w:sz w:val="84"/>
          <w:szCs w:val="84"/>
        </w:rPr>
      </w:pPr>
    </w:p>
    <w:p>
      <w:pPr>
        <w:pStyle w:val="12"/>
        <w:jc w:val="center"/>
        <w:rPr>
          <w:sz w:val="84"/>
          <w:szCs w:val="84"/>
        </w:rPr>
      </w:pPr>
      <w:r>
        <w:rPr>
          <w:rFonts w:hint="eastAsia"/>
          <w:sz w:val="84"/>
          <w:szCs w:val="84"/>
        </w:rPr>
        <w:t>2020年度</w:t>
      </w:r>
    </w:p>
    <w:p>
      <w:pPr>
        <w:pStyle w:val="12"/>
        <w:jc w:val="center"/>
        <w:rPr>
          <w:sz w:val="84"/>
          <w:szCs w:val="84"/>
        </w:rPr>
      </w:pPr>
      <w:r>
        <w:rPr>
          <w:rFonts w:hint="eastAsia"/>
          <w:sz w:val="84"/>
          <w:szCs w:val="84"/>
        </w:rPr>
        <w:t>衡南县发展和改革局部门决算</w:t>
      </w:r>
    </w:p>
    <w:p>
      <w:pPr>
        <w:pStyle w:val="12"/>
        <w:jc w:val="center"/>
        <w:rPr>
          <w:sz w:val="56"/>
          <w:szCs w:val="56"/>
        </w:rPr>
      </w:pPr>
    </w:p>
    <w:p>
      <w:pPr>
        <w:pStyle w:val="12"/>
        <w:jc w:val="center"/>
        <w:rPr>
          <w:sz w:val="56"/>
          <w:szCs w:val="56"/>
        </w:rPr>
      </w:pPr>
    </w:p>
    <w:p>
      <w:pPr>
        <w:pStyle w:val="12"/>
        <w:jc w:val="center"/>
        <w:rPr>
          <w:sz w:val="56"/>
          <w:szCs w:val="56"/>
        </w:rPr>
      </w:pPr>
    </w:p>
    <w:p>
      <w:pPr>
        <w:pStyle w:val="12"/>
        <w:jc w:val="center"/>
        <w:rPr>
          <w:sz w:val="56"/>
          <w:szCs w:val="56"/>
        </w:rPr>
      </w:pPr>
    </w:p>
    <w:p>
      <w:pPr>
        <w:pStyle w:val="12"/>
        <w:jc w:val="center"/>
        <w:rPr>
          <w:sz w:val="56"/>
          <w:szCs w:val="56"/>
        </w:rPr>
      </w:pPr>
    </w:p>
    <w:p>
      <w:pPr>
        <w:widowControl/>
        <w:rPr>
          <w:sz w:val="56"/>
          <w:szCs w:val="56"/>
        </w:rPr>
      </w:pPr>
    </w:p>
    <w:p>
      <w:pPr>
        <w:pStyle w:val="12"/>
        <w:spacing w:line="520" w:lineRule="exact"/>
        <w:jc w:val="center"/>
        <w:rPr>
          <w:sz w:val="56"/>
          <w:szCs w:val="56"/>
        </w:rPr>
      </w:pPr>
      <w:r>
        <w:rPr>
          <w:rFonts w:hint="eastAsia"/>
          <w:sz w:val="56"/>
          <w:szCs w:val="56"/>
        </w:rPr>
        <w:t>目录</w:t>
      </w:r>
    </w:p>
    <w:p>
      <w:pPr>
        <w:pStyle w:val="12"/>
        <w:spacing w:line="460" w:lineRule="exact"/>
        <w:rPr>
          <w:rFonts w:ascii="仿宋_GB2312" w:hAnsi="仿宋_GB2312" w:cs="仿宋_GB2312"/>
          <w:b/>
          <w:sz w:val="28"/>
          <w:szCs w:val="28"/>
        </w:rPr>
      </w:pPr>
      <w:r>
        <w:rPr>
          <w:rFonts w:hint="eastAsia"/>
          <w:b/>
          <w:sz w:val="28"/>
          <w:szCs w:val="28"/>
        </w:rPr>
        <w:t>第一部分 单位概况</w:t>
      </w:r>
    </w:p>
    <w:p>
      <w:pPr>
        <w:pStyle w:val="12"/>
        <w:spacing w:line="46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2"/>
        <w:spacing w:line="46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w:t>
      </w:r>
      <w:r>
        <w:rPr>
          <w:rFonts w:hint="eastAsia" w:cs="仿宋_GB2312" w:asciiTheme="minorEastAsia" w:hAnsiTheme="minorEastAsia" w:eastAsiaTheme="minorEastAsia"/>
          <w:sz w:val="28"/>
          <w:szCs w:val="28"/>
        </w:rPr>
        <w:t xml:space="preserve">机构设置及决算单位构成 </w:t>
      </w:r>
    </w:p>
    <w:p>
      <w:pPr>
        <w:pStyle w:val="12"/>
        <w:spacing w:line="460" w:lineRule="exact"/>
        <w:rPr>
          <w:rFonts w:ascii="仿宋_GB2312" w:hAnsi="仿宋_GB2312" w:cs="仿宋_GB2312"/>
          <w:b/>
          <w:sz w:val="28"/>
          <w:szCs w:val="28"/>
        </w:rPr>
      </w:pPr>
      <w:r>
        <w:rPr>
          <w:rFonts w:hint="eastAsia" w:hAnsi="仿宋_GB2312"/>
          <w:b/>
          <w:sz w:val="28"/>
          <w:szCs w:val="28"/>
        </w:rPr>
        <w:t xml:space="preserve">第二部分 </w:t>
      </w:r>
      <w:r>
        <w:rPr>
          <w:rFonts w:hAnsi="仿宋_GB2312"/>
          <w:b/>
          <w:sz w:val="28"/>
          <w:szCs w:val="28"/>
        </w:rPr>
        <w:t>20</w:t>
      </w:r>
      <w:r>
        <w:rPr>
          <w:rFonts w:hint="eastAsia" w:hAnsi="仿宋_GB2312"/>
          <w:b/>
          <w:sz w:val="28"/>
          <w:szCs w:val="28"/>
        </w:rPr>
        <w:t>20年度部门决算表</w:t>
      </w:r>
    </w:p>
    <w:p>
      <w:pPr>
        <w:pStyle w:val="12"/>
        <w:spacing w:line="46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2"/>
        <w:spacing w:line="46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2"/>
        <w:spacing w:line="46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2"/>
        <w:spacing w:line="46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2"/>
        <w:spacing w:line="46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2"/>
        <w:spacing w:line="46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2"/>
        <w:spacing w:line="46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2"/>
        <w:spacing w:line="46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2"/>
        <w:spacing w:line="460" w:lineRule="exact"/>
        <w:ind w:firstLine="700" w:firstLineChars="250"/>
        <w:rPr>
          <w:rFonts w:cs="仿宋_GB2312" w:asciiTheme="minorEastAsia" w:hAnsiTheme="minorEastAsia" w:eastAsiaTheme="minorEastAsia"/>
          <w:sz w:val="28"/>
          <w:szCs w:val="28"/>
        </w:rPr>
      </w:pPr>
      <w:r>
        <w:rPr>
          <w:rFonts w:hint="eastAsia" w:cs="仿宋_GB2312" w:asciiTheme="minorEastAsia" w:hAnsiTheme="minorEastAsia" w:eastAsiaTheme="minorEastAsia"/>
          <w:sz w:val="28"/>
          <w:szCs w:val="28"/>
        </w:rPr>
        <w:t>九、国有资本经营预算财政拨款支出决算表</w:t>
      </w:r>
    </w:p>
    <w:p>
      <w:pPr>
        <w:pStyle w:val="12"/>
        <w:spacing w:line="460" w:lineRule="exact"/>
        <w:rPr>
          <w:rFonts w:ascii="仿宋_GB2312" w:hAnsi="仿宋_GB2312" w:cs="仿宋_GB2312"/>
          <w:b/>
          <w:sz w:val="28"/>
          <w:szCs w:val="28"/>
        </w:rPr>
      </w:pPr>
      <w:r>
        <w:rPr>
          <w:rFonts w:hint="eastAsia" w:hAnsi="仿宋_GB2312"/>
          <w:b/>
          <w:sz w:val="28"/>
          <w:szCs w:val="28"/>
        </w:rPr>
        <w:t>第三部分 2020年度部门决算情况说明</w:t>
      </w:r>
    </w:p>
    <w:p>
      <w:pPr>
        <w:pStyle w:val="12"/>
        <w:spacing w:line="46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46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46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46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46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46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46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46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九、国有资本经营预算财政拨款支出决算情况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十、关于机关运行经费支出说明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十一、一般性支出情况说明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十二、关于政府采购支出说明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十三、关于国有资产占用情况说明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十四、关于2020年度预算绩效情况说明</w:t>
      </w:r>
    </w:p>
    <w:p>
      <w:pPr>
        <w:autoSpaceDE w:val="0"/>
        <w:autoSpaceDN w:val="0"/>
        <w:adjustRightInd w:val="0"/>
        <w:spacing w:line="46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46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pStyle w:val="3"/>
        <w:rPr>
          <w:rFonts w:hint="default"/>
          <w:sz w:val="72"/>
          <w:szCs w:val="72"/>
        </w:rPr>
      </w:pPr>
    </w:p>
    <w:p>
      <w:pPr>
        <w:pStyle w:val="3"/>
        <w:rPr>
          <w:rFonts w:hint="default"/>
          <w:sz w:val="72"/>
          <w:szCs w:val="72"/>
        </w:rPr>
      </w:pPr>
    </w:p>
    <w:p>
      <w:pPr>
        <w:pStyle w:val="3"/>
        <w:rPr>
          <w:rFonts w:hint="default"/>
          <w:sz w:val="72"/>
          <w:szCs w:val="72"/>
        </w:rPr>
      </w:pPr>
    </w:p>
    <w:p>
      <w:pPr>
        <w:pStyle w:val="3"/>
        <w:rPr>
          <w:rFonts w:hint="default"/>
          <w:sz w:val="72"/>
          <w:szCs w:val="72"/>
        </w:rPr>
      </w:pPr>
    </w:p>
    <w:p>
      <w:pPr>
        <w:pStyle w:val="3"/>
        <w:rPr>
          <w:rFonts w:hint="default"/>
          <w:sz w:val="72"/>
          <w:szCs w:val="72"/>
        </w:rPr>
      </w:pPr>
    </w:p>
    <w:p>
      <w:pPr>
        <w:pStyle w:val="3"/>
        <w:rPr>
          <w:rFonts w:hint="default"/>
          <w:sz w:val="72"/>
          <w:szCs w:val="72"/>
        </w:rPr>
      </w:pPr>
    </w:p>
    <w:p>
      <w:pPr>
        <w:pStyle w:val="3"/>
        <w:rPr>
          <w:rFonts w:hint="default"/>
          <w:sz w:val="72"/>
          <w:szCs w:val="72"/>
        </w:rPr>
      </w:pPr>
    </w:p>
    <w:p>
      <w:pPr>
        <w:pStyle w:val="3"/>
        <w:rPr>
          <w:rFonts w:hint="default"/>
          <w:sz w:val="72"/>
          <w:szCs w:val="72"/>
        </w:rPr>
      </w:pPr>
    </w:p>
    <w:p>
      <w:pPr>
        <w:pStyle w:val="3"/>
        <w:rPr>
          <w:rFonts w:hint="default"/>
          <w:sz w:val="72"/>
          <w:szCs w:val="72"/>
        </w:rPr>
      </w:pPr>
    </w:p>
    <w:p>
      <w:pPr>
        <w:pStyle w:val="3"/>
        <w:rPr>
          <w:rFonts w:hint="default"/>
          <w:sz w:val="72"/>
          <w:szCs w:val="72"/>
        </w:rPr>
      </w:pPr>
    </w:p>
    <w:p>
      <w:pPr>
        <w:pStyle w:val="3"/>
        <w:rPr>
          <w:rFonts w:hint="default"/>
          <w:sz w:val="72"/>
          <w:szCs w:val="72"/>
        </w:rPr>
      </w:pPr>
    </w:p>
    <w:p>
      <w:pPr>
        <w:pStyle w:val="3"/>
        <w:rPr>
          <w:rFonts w:hint="default"/>
          <w:sz w:val="72"/>
          <w:szCs w:val="72"/>
        </w:rPr>
      </w:pPr>
    </w:p>
    <w:p>
      <w:pPr>
        <w:pStyle w:val="12"/>
        <w:jc w:val="center"/>
        <w:rPr>
          <w:sz w:val="84"/>
          <w:szCs w:val="84"/>
        </w:rPr>
      </w:pPr>
    </w:p>
    <w:p>
      <w:pPr>
        <w:pStyle w:val="12"/>
        <w:jc w:val="center"/>
        <w:rPr>
          <w:sz w:val="84"/>
          <w:szCs w:val="84"/>
        </w:rPr>
      </w:pPr>
    </w:p>
    <w:p>
      <w:pPr>
        <w:pStyle w:val="12"/>
        <w:jc w:val="center"/>
        <w:rPr>
          <w:sz w:val="84"/>
          <w:szCs w:val="84"/>
        </w:rPr>
      </w:pPr>
    </w:p>
    <w:p>
      <w:pPr>
        <w:pStyle w:val="12"/>
        <w:jc w:val="center"/>
        <w:rPr>
          <w:sz w:val="84"/>
          <w:szCs w:val="84"/>
        </w:rPr>
      </w:pPr>
      <w:r>
        <w:rPr>
          <w:rFonts w:hint="eastAsia"/>
          <w:sz w:val="84"/>
          <w:szCs w:val="84"/>
        </w:rPr>
        <w:t>第一部分</w:t>
      </w:r>
    </w:p>
    <w:p>
      <w:pPr>
        <w:pStyle w:val="12"/>
        <w:jc w:val="center"/>
        <w:rPr>
          <w:sz w:val="84"/>
          <w:szCs w:val="84"/>
        </w:rPr>
      </w:pPr>
    </w:p>
    <w:p>
      <w:pPr>
        <w:pStyle w:val="12"/>
        <w:jc w:val="center"/>
        <w:rPr>
          <w:sz w:val="84"/>
          <w:szCs w:val="84"/>
        </w:rPr>
      </w:pPr>
      <w:r>
        <w:rPr>
          <w:rFonts w:hint="eastAsia"/>
          <w:sz w:val="84"/>
          <w:szCs w:val="84"/>
        </w:rPr>
        <w:t>单位概况</w:t>
      </w:r>
    </w:p>
    <w:p>
      <w:pPr>
        <w:jc w:val="center"/>
        <w:rPr>
          <w:sz w:val="72"/>
          <w:szCs w:val="72"/>
        </w:rPr>
      </w:pPr>
    </w:p>
    <w:p>
      <w:pPr>
        <w:jc w:val="center"/>
        <w:rPr>
          <w:sz w:val="72"/>
          <w:szCs w:val="72"/>
        </w:rPr>
      </w:pPr>
    </w:p>
    <w:p>
      <w:pPr>
        <w:jc w:val="center"/>
        <w:rPr>
          <w:sz w:val="72"/>
          <w:szCs w:val="72"/>
        </w:rPr>
      </w:pPr>
    </w:p>
    <w:p>
      <w:pPr>
        <w:pStyle w:val="3"/>
        <w:rPr>
          <w:rFonts w:hint="default"/>
          <w:sz w:val="72"/>
          <w:szCs w:val="72"/>
        </w:rPr>
      </w:pPr>
    </w:p>
    <w:p>
      <w:pPr>
        <w:pStyle w:val="3"/>
        <w:rPr>
          <w:rFonts w:hint="default"/>
          <w:sz w:val="72"/>
          <w:szCs w:val="72"/>
        </w:rPr>
      </w:pPr>
    </w:p>
    <w:p>
      <w:pPr>
        <w:pStyle w:val="13"/>
        <w:ind w:firstLine="0" w:firstLineChars="0"/>
        <w:jc w:val="left"/>
        <w:rPr>
          <w:rFonts w:ascii="宋体" w:hAnsi="宋体" w:eastAsia="宋体" w:cs="Times New Roman"/>
          <w:kern w:val="0"/>
          <w:sz w:val="72"/>
          <w:szCs w:val="72"/>
        </w:rPr>
      </w:pPr>
    </w:p>
    <w:p>
      <w:pPr>
        <w:spacing w:line="580" w:lineRule="exact"/>
        <w:jc w:val="left"/>
        <w:rPr>
          <w:rFonts w:ascii="黑体" w:hAnsi="黑体" w:eastAsia="黑体"/>
          <w:b/>
          <w:bCs/>
          <w:sz w:val="32"/>
          <w:szCs w:val="32"/>
        </w:rPr>
      </w:pPr>
      <w:r>
        <w:rPr>
          <w:rFonts w:ascii="黑体" w:hAnsi="黑体" w:eastAsia="黑体"/>
          <w:sz w:val="32"/>
          <w:szCs w:val="32"/>
        </w:rPr>
        <w:t>一</w:t>
      </w:r>
      <w:r>
        <w:rPr>
          <w:rFonts w:hint="eastAsia" w:ascii="黑体" w:hAnsi="黑体" w:eastAsia="黑体"/>
          <w:sz w:val="32"/>
          <w:szCs w:val="32"/>
        </w:rPr>
        <w:t>、</w:t>
      </w:r>
      <w:r>
        <w:rPr>
          <w:rFonts w:ascii="黑体" w:hAnsi="黑体" w:eastAsia="黑体"/>
          <w:b/>
          <w:bCs/>
          <w:sz w:val="32"/>
          <w:szCs w:val="32"/>
        </w:rPr>
        <w:t>部门职责</w:t>
      </w:r>
    </w:p>
    <w:p>
      <w:pPr>
        <w:widowControl/>
        <w:spacing w:line="58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衡南县发展和改革局是县政府工作部门，是综合研究拟定全县经济和社会发展政策，进行总量平衡，指导全县总体经济体制改革的宏观调控部门。主要职责有：</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（一）拟定并组织实施全县国民经济和社会发展战略、中长期规划和年度计划。</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（二）研究提出加快建设现代化经济体系、推动高质量发展的总体目标、重大任务及相关政策。</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（三）研究提出全县国民经济和社会发展主要目标，监测预测预警宏观经济和社会发展态势趋势，提出宏观调控政策建议，综合协调宏观经济政策，牵头研究宏观经济应对措施。</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（四）调节经济运行，协调解决经济运行中的重大问题。</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（五）研究提出和综合协调全县经济体制改革的建议与措施。</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（六）研究提出全县利用外资和境外投资的战略、规划、总量平衡和结构优化的政策。</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（七）负责投资综合管理，拟定全县全社会固定资产投资总规模和投资结构的调控目标、政策及措施。</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（八）推进落实区域协调发展战略、新型城镇化战略和重大政策，组织拟定相关区域规划和政策。</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（九）组织拟定综合性产业政策，负责协调第一、二、三产业发展的重大问题并统筹衔接相关发展规划和重大政策；推动实施创新驱动发展战略。</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（十）跟踪研判涉及经济安全、生态安全、资源安全、科技安全、社会安全等各类风险隐患，提出相关工作建议。</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（十一）负责社会发展与国民经济发展的政策衔接，组织拟定社会发展战略、总体规划。</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（十二）推进可持续发展战略，推动生态文明建设和改革，协调生态环境保护与修护、能源资源节约和综合利用等工作。</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（十三）负责能源规划与社会发展规划的协调衔接。</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（十四）拟定全县价格改革方案和年度计划，研究提出价格调控目标和政策建议，组织实施价格总水平调控。</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（十五）牵头组织监督公共资源交易活动；研究拟定推进社会信用体系建设的法规、规划、政策措施，统筹推动统一的社会信用信息平台建设，协调有关重大问题。</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（十六）会同有关部门拟定推进全县经济建设与国防建设协调发展。</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（十七）牵头承担县国防动员委员会、推进“一带一路”建设暨国际产能合作领导小组、县推动长江经济带发展领导小组、县促进中部地区崛起领导小组等有关具体工作。</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（十八）负责本行业领域职责范围内的应急管理工作，对本行业领域职责范围内的安全生产工作实施监督管理。</w:t>
      </w:r>
    </w:p>
    <w:p>
      <w:pPr>
        <w:spacing w:line="580" w:lineRule="exact"/>
        <w:ind w:firstLine="640" w:firstLineChars="200"/>
        <w:jc w:val="left"/>
        <w:rPr>
          <w:rFonts w:ascii="仿宋_GB2312" w:eastAsia="仿宋_GB2312" w:hAnsiTheme="minorEastAsia"/>
          <w:sz w:val="32"/>
          <w:szCs w:val="32"/>
        </w:rPr>
      </w:pPr>
      <w:r>
        <w:rPr>
          <w:rFonts w:hint="eastAsia" w:ascii="仿宋_GB2312" w:eastAsia="仿宋_GB2312" w:hAnsiTheme="minorEastAsia"/>
          <w:sz w:val="32"/>
          <w:szCs w:val="32"/>
        </w:rPr>
        <w:t>（十九）完成县委和县政府交办的其他任务。</w:t>
      </w:r>
    </w:p>
    <w:p>
      <w:pPr>
        <w:widowControl/>
        <w:spacing w:line="620" w:lineRule="exact"/>
        <w:ind w:firstLine="643" w:firstLineChars="200"/>
        <w:rPr>
          <w:rFonts w:ascii="黑体" w:hAnsi="黑体" w:eastAsia="黑体"/>
          <w:b/>
          <w:kern w:val="0"/>
          <w:sz w:val="32"/>
          <w:szCs w:val="32"/>
        </w:rPr>
      </w:pPr>
      <w:r>
        <w:rPr>
          <w:rFonts w:hint="eastAsia" w:ascii="黑体" w:hAnsi="黑体" w:eastAsia="黑体"/>
          <w:b/>
          <w:kern w:val="0"/>
          <w:sz w:val="32"/>
          <w:szCs w:val="32"/>
        </w:rPr>
        <w:t>二、机构设置及决算单位构成</w:t>
      </w:r>
    </w:p>
    <w:p>
      <w:pPr>
        <w:spacing w:line="620" w:lineRule="exact"/>
        <w:ind w:firstLine="643" w:firstLineChars="200"/>
        <w:jc w:val="left"/>
        <w:rPr>
          <w:rFonts w:ascii="仿宋_GB2312" w:eastAsia="仿宋_GB2312" w:hAnsiTheme="minorEastAsia"/>
          <w:b/>
          <w:bCs/>
          <w:sz w:val="32"/>
          <w:szCs w:val="32"/>
        </w:rPr>
      </w:pPr>
      <w:r>
        <w:rPr>
          <w:rFonts w:hint="eastAsia" w:ascii="仿宋_GB2312" w:eastAsia="仿宋_GB2312" w:hAnsiTheme="minorEastAsia"/>
          <w:b/>
          <w:bCs/>
          <w:sz w:val="32"/>
          <w:szCs w:val="32"/>
        </w:rPr>
        <w:t>（一）内设机构设置</w:t>
      </w:r>
    </w:p>
    <w:p>
      <w:pPr>
        <w:widowControl/>
        <w:spacing w:line="620" w:lineRule="exact"/>
        <w:ind w:firstLine="640" w:firstLineChars="200"/>
        <w:rPr>
          <w:rFonts w:ascii="仿宋_GB2312" w:eastAsia="仿宋_GB2312"/>
          <w:sz w:val="32"/>
          <w:szCs w:val="32"/>
        </w:rPr>
      </w:pPr>
      <w:r>
        <w:rPr>
          <w:rFonts w:hint="eastAsia" w:ascii="仿宋_GB2312" w:eastAsia="仿宋_GB2312" w:hAnsiTheme="minorEastAsia"/>
          <w:bCs/>
          <w:kern w:val="0"/>
          <w:sz w:val="32"/>
          <w:szCs w:val="32"/>
        </w:rPr>
        <w:t>衡南县发展和改革局下设办公室（行政审批服务股）、固定资产投资股（国民经济综合和法规股）、农村经济股、工交能源和环保资源股（县“两型”社会建设办公室）、服务业股（财政金融和信用建设股）、社会发展股、价格调控管理股共七个股室。同时，下设县重点项目建设事务中心、价格认证中心、成本调查队三个非独立核算二级机构。</w:t>
      </w:r>
    </w:p>
    <w:p>
      <w:pPr>
        <w:spacing w:line="620" w:lineRule="exact"/>
        <w:ind w:firstLine="643" w:firstLineChars="200"/>
        <w:jc w:val="left"/>
        <w:rPr>
          <w:rFonts w:ascii="仿宋_GB2312" w:eastAsia="仿宋_GB2312" w:hAnsiTheme="minorEastAsia"/>
          <w:b/>
          <w:bCs/>
          <w:sz w:val="32"/>
          <w:szCs w:val="32"/>
        </w:rPr>
      </w:pPr>
      <w:r>
        <w:rPr>
          <w:rFonts w:hint="eastAsia" w:ascii="仿宋_GB2312" w:eastAsia="仿宋_GB2312" w:hAnsiTheme="minorEastAsia"/>
          <w:b/>
          <w:bCs/>
          <w:sz w:val="32"/>
          <w:szCs w:val="32"/>
        </w:rPr>
        <w:t>（二）决算单位构成</w:t>
      </w:r>
    </w:p>
    <w:p>
      <w:pPr>
        <w:widowControl/>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衡南县发展和改革局2020年部门决算汇总公开单位构成包括：衡南县发展和改革局本级以及衡南县重点项目建设事务中心、价格认证中心、成本调查队三个非独立核算二级机构。</w:t>
      </w:r>
    </w:p>
    <w:p>
      <w:pPr>
        <w:ind w:firstLine="640" w:firstLineChars="200"/>
        <w:jc w:val="left"/>
        <w:rPr>
          <w:rFonts w:ascii="仿宋_GB2312" w:eastAsia="仿宋_GB2312" w:hAnsiTheme="minorEastAsia"/>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28"/>
          <w:szCs w:val="28"/>
        </w:rPr>
      </w:pPr>
    </w:p>
    <w:p>
      <w:pPr>
        <w:jc w:val="center"/>
        <w:rPr>
          <w:rFonts w:ascii="黑体" w:hAnsi="黑体" w:eastAsia="黑体"/>
          <w:sz w:val="28"/>
          <w:szCs w:val="28"/>
        </w:rPr>
      </w:pPr>
    </w:p>
    <w:p>
      <w:pPr>
        <w:pStyle w:val="2"/>
      </w:pPr>
    </w:p>
    <w:p>
      <w:pPr>
        <w:pStyle w:val="2"/>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pStyle w:val="2"/>
      </w:pPr>
    </w:p>
    <w:p>
      <w:pPr>
        <w:rPr>
          <w:sz w:val="72"/>
          <w:szCs w:val="72"/>
        </w:rPr>
      </w:pPr>
    </w:p>
    <w:p>
      <w:pPr>
        <w:jc w:val="center"/>
        <w:rPr>
          <w:sz w:val="72"/>
          <w:szCs w:val="72"/>
        </w:rPr>
      </w:pPr>
    </w:p>
    <w:p>
      <w:pPr>
        <w:jc w:val="center"/>
        <w:rPr>
          <w:rFonts w:ascii="黑体" w:hAnsi="黑体" w:eastAsia="黑体"/>
          <w:sz w:val="72"/>
          <w:szCs w:val="72"/>
        </w:rPr>
      </w:pPr>
      <w:r>
        <w:rPr>
          <w:rFonts w:hint="eastAsia" w:ascii="黑体" w:hAnsi="黑体" w:eastAsia="黑体"/>
          <w:sz w:val="72"/>
          <w:szCs w:val="72"/>
        </w:rPr>
        <w:t>第二部分</w:t>
      </w:r>
    </w:p>
    <w:p>
      <w:pPr>
        <w:jc w:val="center"/>
        <w:rPr>
          <w:rFonts w:ascii="黑体" w:hAnsi="黑体" w:eastAsia="黑体"/>
          <w:sz w:val="72"/>
          <w:szCs w:val="72"/>
        </w:rPr>
      </w:pPr>
    </w:p>
    <w:p>
      <w:pPr>
        <w:jc w:val="center"/>
        <w:rPr>
          <w:rFonts w:ascii="黑体" w:hAnsi="黑体" w:eastAsia="黑体"/>
          <w:sz w:val="72"/>
          <w:szCs w:val="72"/>
        </w:rPr>
      </w:pPr>
      <w:r>
        <w:rPr>
          <w:rFonts w:hint="eastAsia" w:ascii="黑体" w:hAnsi="黑体" w:eastAsia="黑体"/>
          <w:sz w:val="72"/>
          <w:szCs w:val="72"/>
        </w:rPr>
        <w:t>部门决算表</w:t>
      </w:r>
    </w:p>
    <w:p>
      <w:pPr>
        <w:jc w:val="center"/>
        <w:rPr>
          <w:rFonts w:ascii="黑体" w:hAnsi="黑体" w:eastAsia="黑体"/>
          <w:sz w:val="72"/>
          <w:szCs w:val="72"/>
        </w:rPr>
      </w:pPr>
      <w:r>
        <w:rPr>
          <w:rFonts w:hint="eastAsia" w:ascii="黑体" w:hAnsi="黑体" w:eastAsia="黑体"/>
          <w:sz w:val="72"/>
          <w:szCs w:val="72"/>
        </w:rPr>
        <w:t>(部门决算公示表附后)</w:t>
      </w:r>
    </w:p>
    <w:p>
      <w:pPr>
        <w:pStyle w:val="3"/>
        <w:rPr>
          <w:rFonts w:hint="default"/>
        </w:rPr>
        <w:sectPr>
          <w:pgSz w:w="11906" w:h="16838"/>
          <w:pgMar w:top="1440" w:right="1803" w:bottom="1440" w:left="1803" w:header="851" w:footer="992" w:gutter="0"/>
          <w:cols w:space="0" w:num="1"/>
          <w:docGrid w:type="lines" w:linePitch="317" w:charSpace="0"/>
        </w:sectPr>
      </w:pPr>
    </w:p>
    <w:p>
      <w:pPr>
        <w:pStyle w:val="12"/>
        <w:jc w:val="center"/>
        <w:rPr>
          <w:sz w:val="72"/>
          <w:szCs w:val="72"/>
        </w:rPr>
      </w:pPr>
    </w:p>
    <w:p>
      <w:pPr>
        <w:pStyle w:val="12"/>
        <w:jc w:val="center"/>
        <w:rPr>
          <w:sz w:val="72"/>
          <w:szCs w:val="72"/>
        </w:rPr>
      </w:pPr>
    </w:p>
    <w:p>
      <w:pPr>
        <w:pStyle w:val="12"/>
        <w:spacing w:line="1000" w:lineRule="exact"/>
        <w:jc w:val="center"/>
        <w:rPr>
          <w:sz w:val="72"/>
          <w:szCs w:val="72"/>
        </w:rPr>
      </w:pPr>
    </w:p>
    <w:p>
      <w:pPr>
        <w:pStyle w:val="12"/>
        <w:jc w:val="center"/>
        <w:rPr>
          <w:sz w:val="72"/>
          <w:szCs w:val="72"/>
        </w:rPr>
      </w:pPr>
    </w:p>
    <w:p>
      <w:pPr>
        <w:pStyle w:val="12"/>
        <w:jc w:val="center"/>
        <w:rPr>
          <w:sz w:val="72"/>
          <w:szCs w:val="72"/>
        </w:rPr>
      </w:pPr>
      <w:r>
        <w:rPr>
          <w:rFonts w:hint="eastAsia"/>
          <w:sz w:val="72"/>
          <w:szCs w:val="72"/>
        </w:rPr>
        <w:t>第三部分</w:t>
      </w:r>
    </w:p>
    <w:p>
      <w:pPr>
        <w:pStyle w:val="12"/>
        <w:jc w:val="center"/>
        <w:rPr>
          <w:sz w:val="70"/>
          <w:szCs w:val="70"/>
        </w:rPr>
      </w:pPr>
    </w:p>
    <w:p>
      <w:pPr>
        <w:pStyle w:val="12"/>
        <w:jc w:val="center"/>
        <w:rPr>
          <w:sz w:val="84"/>
          <w:szCs w:val="84"/>
        </w:rPr>
      </w:pPr>
      <w:r>
        <w:rPr>
          <w:rFonts w:hint="eastAsia"/>
          <w:sz w:val="84"/>
          <w:szCs w:val="84"/>
        </w:rPr>
        <w:t>2020年度部门决算</w:t>
      </w:r>
    </w:p>
    <w:p>
      <w:pPr>
        <w:pStyle w:val="12"/>
        <w:jc w:val="center"/>
        <w:rPr>
          <w:sz w:val="84"/>
          <w:szCs w:val="84"/>
        </w:rPr>
      </w:pPr>
      <w:r>
        <w:rPr>
          <w:rFonts w:hint="eastAsia"/>
          <w:sz w:val="84"/>
          <w:szCs w:val="84"/>
        </w:rPr>
        <w:t>情况说明</w:t>
      </w:r>
    </w:p>
    <w:p>
      <w:pPr>
        <w:widowControl/>
        <w:jc w:val="left"/>
        <w:rPr>
          <w:rFonts w:ascii="黑体" w:eastAsia="黑体" w:cs="黑体"/>
          <w:color w:val="000000"/>
          <w:kern w:val="0"/>
          <w:sz w:val="70"/>
          <w:szCs w:val="70"/>
        </w:rPr>
      </w:pPr>
      <w:r>
        <w:rPr>
          <w:sz w:val="70"/>
          <w:szCs w:val="70"/>
        </w:rPr>
        <w:br w:type="page"/>
      </w:r>
    </w:p>
    <w:p>
      <w:pPr>
        <w:pStyle w:val="12"/>
        <w:spacing w:line="620" w:lineRule="exact"/>
        <w:ind w:firstLine="643" w:firstLineChars="200"/>
        <w:rPr>
          <w:rFonts w:hAnsi="黑体"/>
          <w:b/>
          <w:sz w:val="32"/>
          <w:szCs w:val="32"/>
        </w:rPr>
      </w:pPr>
      <w:r>
        <w:rPr>
          <w:rFonts w:hint="eastAsia" w:hAnsi="黑体"/>
          <w:b/>
          <w:sz w:val="32"/>
          <w:szCs w:val="32"/>
        </w:rPr>
        <w:t>一、收入支出决算总体情况说明</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2020年度收入总计1317.85万元，较2019年增加129.09万元，增长12.34%，主要是本年度追加社会信用体系平台建设资金及项目前期工作经费所致。2020年度支出总计1317.85万元，较2019年增加271.77万元，增加30.08%，主要是本年新增社会信用体系平台建设支出和项目前期工作经费支出。以及上年结转结余资金上年年底尚未拨回，部分上年支出在本年支付计入本年支出。</w:t>
      </w:r>
    </w:p>
    <w:p>
      <w:pPr>
        <w:pStyle w:val="12"/>
        <w:spacing w:line="620" w:lineRule="exact"/>
        <w:ind w:firstLine="643" w:firstLineChars="200"/>
        <w:rPr>
          <w:rFonts w:hAnsi="黑体"/>
          <w:b/>
          <w:sz w:val="32"/>
          <w:szCs w:val="32"/>
        </w:rPr>
      </w:pPr>
      <w:r>
        <w:rPr>
          <w:rFonts w:hint="eastAsia" w:hAnsi="黑体"/>
          <w:b/>
          <w:sz w:val="32"/>
          <w:szCs w:val="32"/>
        </w:rPr>
        <w:t>二、收入决算情况说明</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本年收入合计1175.22万元，其中：财政拨款收入1171.22万元，占99.66%；其他收入4万元，占0.34%。</w:t>
      </w:r>
    </w:p>
    <w:p>
      <w:pPr>
        <w:pStyle w:val="12"/>
        <w:spacing w:line="620" w:lineRule="exact"/>
        <w:ind w:firstLine="643" w:firstLineChars="200"/>
        <w:rPr>
          <w:rFonts w:hAnsi="黑体"/>
          <w:b/>
          <w:sz w:val="32"/>
          <w:szCs w:val="32"/>
        </w:rPr>
      </w:pPr>
      <w:r>
        <w:rPr>
          <w:rFonts w:hint="eastAsia" w:hAnsi="黑体"/>
          <w:b/>
          <w:sz w:val="32"/>
          <w:szCs w:val="32"/>
        </w:rPr>
        <w:t>三、支出决算情况说明</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本年支出合计1175.27万元，其中：基本支出515.48万元，占43.86%；项目支出659.79万元，占56.14%；上缴上级支出0万元，占0%；经营支出0万元，占0%；对附属单位补助支出0万元，占0%。</w:t>
      </w:r>
    </w:p>
    <w:p>
      <w:pPr>
        <w:pStyle w:val="12"/>
        <w:spacing w:line="620" w:lineRule="exact"/>
        <w:ind w:firstLine="643" w:firstLineChars="200"/>
        <w:rPr>
          <w:rFonts w:hAnsi="黑体"/>
          <w:b/>
          <w:sz w:val="32"/>
          <w:szCs w:val="32"/>
        </w:rPr>
      </w:pPr>
      <w:r>
        <w:rPr>
          <w:rFonts w:hint="eastAsia" w:hAnsi="黑体"/>
          <w:b/>
          <w:sz w:val="32"/>
          <w:szCs w:val="32"/>
        </w:rPr>
        <w:t>四、财政拨款收入支出决算总体情况说明</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2020年度财政拨款收入总计1313.05万元，与2019年相比，增加126.89万元，增长12.14%，主要是本年度追加社会信用体系平台建设资金及项目前期工作经费所致。2020年度财政拨款支出总计1175.27万元，与2019年相比，增加271.77万元，增长30.08%，主要是本年增加社会信用体系平台建设支出和项目前期工作经费支出所致。</w:t>
      </w:r>
    </w:p>
    <w:p>
      <w:pPr>
        <w:pStyle w:val="12"/>
        <w:spacing w:line="620" w:lineRule="exact"/>
        <w:ind w:firstLine="643" w:firstLineChars="200"/>
        <w:rPr>
          <w:rFonts w:hAnsi="黑体"/>
          <w:b/>
          <w:sz w:val="32"/>
          <w:szCs w:val="32"/>
        </w:rPr>
      </w:pPr>
      <w:r>
        <w:rPr>
          <w:rFonts w:hint="eastAsia" w:hAnsi="黑体"/>
          <w:b/>
          <w:sz w:val="32"/>
          <w:szCs w:val="32"/>
        </w:rPr>
        <w:t>五、一般公共预算财政拨款支出决算情况说明</w:t>
      </w:r>
    </w:p>
    <w:p>
      <w:pPr>
        <w:spacing w:line="620" w:lineRule="exact"/>
        <w:ind w:firstLine="643" w:firstLineChars="200"/>
        <w:jc w:val="left"/>
        <w:rPr>
          <w:rFonts w:ascii="仿宋_GB2312" w:eastAsia="仿宋_GB2312" w:hAnsiTheme="minorEastAsia"/>
          <w:b/>
          <w:bCs/>
          <w:sz w:val="32"/>
          <w:szCs w:val="32"/>
        </w:rPr>
      </w:pPr>
      <w:r>
        <w:rPr>
          <w:rFonts w:hint="eastAsia" w:ascii="仿宋_GB2312" w:eastAsia="仿宋_GB2312" w:hAnsiTheme="minorEastAsia"/>
          <w:b/>
          <w:bCs/>
          <w:sz w:val="32"/>
          <w:szCs w:val="32"/>
        </w:rPr>
        <w:t>（一）财政拨款支出决算总体情况</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2020年度财政拨款支出1168.27万元，占本年支出合计的99.40%，与2019年相比，财政拨款支出增加264.77万元，增长29.30%，主要是因为本年增加社会信用体系平台建设支出和项目前期工作经费支出所致。</w:t>
      </w:r>
    </w:p>
    <w:p>
      <w:pPr>
        <w:spacing w:line="620" w:lineRule="exact"/>
        <w:ind w:firstLine="643" w:firstLineChars="200"/>
        <w:jc w:val="left"/>
        <w:rPr>
          <w:rFonts w:ascii="仿宋_GB2312" w:eastAsia="仿宋_GB2312" w:hAnsiTheme="minorEastAsia"/>
          <w:b/>
          <w:bCs/>
          <w:sz w:val="32"/>
          <w:szCs w:val="32"/>
        </w:rPr>
      </w:pPr>
      <w:r>
        <w:rPr>
          <w:rFonts w:hint="eastAsia" w:ascii="仿宋_GB2312" w:eastAsia="仿宋_GB2312" w:hAnsiTheme="minorEastAsia"/>
          <w:b/>
          <w:bCs/>
          <w:sz w:val="32"/>
          <w:szCs w:val="32"/>
        </w:rPr>
        <w:t>（二）财政拨款支出决算结构情况</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2020年度财政拨款支出1168.27万元，主要用于以下方面：一般公共服务支出1026.07万元，占87.83%；文化旅游体育与传媒支出60.71万元，占5.20%；社会保障和就业支出52.6万元，占4.50%；卫生健康支出16.12万元，占1.38%；住房保障支出12.77万元，占1.09%；</w:t>
      </w:r>
    </w:p>
    <w:p>
      <w:pPr>
        <w:spacing w:line="620" w:lineRule="exact"/>
        <w:ind w:firstLine="643" w:firstLineChars="200"/>
        <w:jc w:val="left"/>
        <w:rPr>
          <w:rFonts w:ascii="仿宋_GB2312" w:eastAsia="仿宋_GB2312" w:hAnsiTheme="minorEastAsia"/>
          <w:b/>
          <w:bCs/>
          <w:sz w:val="32"/>
          <w:szCs w:val="32"/>
        </w:rPr>
      </w:pPr>
      <w:r>
        <w:rPr>
          <w:rFonts w:hint="eastAsia" w:ascii="仿宋_GB2312" w:eastAsia="仿宋_GB2312" w:hAnsiTheme="minorEastAsia"/>
          <w:b/>
          <w:bCs/>
          <w:sz w:val="32"/>
          <w:szCs w:val="32"/>
        </w:rPr>
        <w:t>（三）财政拨款支出决算具体情况</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2020年度财政拨款支出年初预算数为836.72万元，支出决算数为1168.27万元，完成年初预算的139.68%，其中：</w:t>
      </w:r>
    </w:p>
    <w:p>
      <w:pPr>
        <w:numPr>
          <w:ilvl w:val="0"/>
          <w:numId w:val="1"/>
        </w:numPr>
        <w:spacing w:line="620" w:lineRule="exact"/>
        <w:ind w:left="0"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一般公共服务支出（类）政府办公厅（室）及相关机构事务（款）专项业务活动（项）</w:t>
      </w:r>
    </w:p>
    <w:p>
      <w:pPr>
        <w:pStyle w:val="3"/>
        <w:widowControl w:val="0"/>
        <w:spacing w:after="0" w:line="620" w:lineRule="exact"/>
        <w:ind w:firstLine="640" w:firstLineChars="200"/>
        <w:rPr>
          <w:rFonts w:hint="default" w:ascii="仿宋_GB2312" w:eastAsia="仿宋_GB2312"/>
          <w:sz w:val="32"/>
          <w:szCs w:val="32"/>
        </w:rPr>
      </w:pPr>
      <w:r>
        <w:rPr>
          <w:rFonts w:ascii="仿宋_GB2312" w:eastAsia="仿宋_GB2312" w:hAnsiTheme="minorEastAsia"/>
          <w:bCs/>
          <w:sz w:val="32"/>
          <w:szCs w:val="32"/>
        </w:rPr>
        <w:t>年初预算为0万元，支出决算为100万元，决算数大于年初预算数的主要原因是：因机构改革非税收入减少及项目支出预算逐年减少，单位运转经费缺口很大，年中申请追加解决单位运转经费。</w:t>
      </w:r>
    </w:p>
    <w:p>
      <w:pPr>
        <w:numPr>
          <w:ilvl w:val="0"/>
          <w:numId w:val="1"/>
        </w:numPr>
        <w:spacing w:line="620" w:lineRule="exact"/>
        <w:ind w:left="0"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一般公共服务支出（类）政府办公厅（室）及相关机构事务（款）其他政府办公厅（室）及相关机构事务（项）</w:t>
      </w:r>
    </w:p>
    <w:p>
      <w:pPr>
        <w:spacing w:line="620" w:lineRule="exact"/>
        <w:ind w:firstLine="640" w:firstLineChars="200"/>
        <w:rPr>
          <w:rFonts w:ascii="仿宋_GB2312" w:eastAsia="仿宋_GB2312" w:cs="Times New Roman" w:hAnsiTheme="minorEastAsia"/>
          <w:bCs/>
          <w:kern w:val="0"/>
          <w:sz w:val="32"/>
          <w:szCs w:val="32"/>
        </w:rPr>
      </w:pPr>
      <w:r>
        <w:rPr>
          <w:rFonts w:hint="eastAsia" w:ascii="仿宋_GB2312" w:eastAsia="仿宋_GB2312" w:cs="Times New Roman" w:hAnsiTheme="minorEastAsia"/>
          <w:bCs/>
          <w:kern w:val="0"/>
          <w:sz w:val="32"/>
          <w:szCs w:val="32"/>
        </w:rPr>
        <w:t>年初预算为0万元，支出决算为8.3万元，决算数大于年初预算数的主要原因是：其他单位拨付本单位各项专项资金及奖励。含2020年农产品成本调查监管专项资金、2018年全面小康奖金、2019年全市新增服务业规上企业奖励、2020年农产品成本调查经费、2019年度市绩效评估奖金、固定资产投资奖励。</w:t>
      </w:r>
    </w:p>
    <w:p>
      <w:pPr>
        <w:numPr>
          <w:ilvl w:val="0"/>
          <w:numId w:val="1"/>
        </w:numPr>
        <w:spacing w:line="620" w:lineRule="exact"/>
        <w:ind w:left="0"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一般公共服务支出（类）发展与改革事务（款）行政运行（项）。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年初预算为171.57万元，支出决算为260.40万元，完成年初预算的151.77%，决算数大于年初预算数的主要原因是：车补、绩效奖、非全额编制人员部分人员经费未纳入年初预算。</w:t>
      </w:r>
    </w:p>
    <w:p>
      <w:pPr>
        <w:numPr>
          <w:ilvl w:val="0"/>
          <w:numId w:val="1"/>
        </w:numPr>
        <w:spacing w:line="620" w:lineRule="exact"/>
        <w:ind w:left="0"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一般公共服务支出（类）发展与改革事务（款）一般行政管理事务（项）。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年初预算为10万元，支出决算为10万元，完成年初预算的100%。</w:t>
      </w:r>
    </w:p>
    <w:p>
      <w:pPr>
        <w:numPr>
          <w:ilvl w:val="0"/>
          <w:numId w:val="1"/>
        </w:numPr>
        <w:spacing w:line="620" w:lineRule="exact"/>
        <w:ind w:left="0"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一般公共服务支出（类）发展与改革事务（款）战略规划与实施（项）。</w:t>
      </w:r>
    </w:p>
    <w:p>
      <w:pPr>
        <w:spacing w:line="620" w:lineRule="exact"/>
        <w:ind w:firstLine="640" w:firstLineChars="200"/>
        <w:rPr>
          <w:rFonts w:ascii="仿宋_GB2312" w:eastAsia="仿宋_GB2312"/>
          <w:sz w:val="32"/>
          <w:szCs w:val="32"/>
        </w:rPr>
      </w:pPr>
      <w:r>
        <w:rPr>
          <w:rFonts w:hint="eastAsia" w:ascii="仿宋_GB2312" w:eastAsia="仿宋_GB2312" w:hAnsiTheme="minorEastAsia"/>
          <w:bCs/>
          <w:kern w:val="0"/>
          <w:sz w:val="32"/>
          <w:szCs w:val="32"/>
        </w:rPr>
        <w:t>年初预算为10万元，支出决算为10万元，完成年初预算的100%。</w:t>
      </w:r>
    </w:p>
    <w:p>
      <w:pPr>
        <w:numPr>
          <w:ilvl w:val="0"/>
          <w:numId w:val="1"/>
        </w:numPr>
        <w:spacing w:line="620" w:lineRule="exact"/>
        <w:ind w:left="0"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一般公共服务支出（类）发展与改革事务（款）物价管理（项）。</w:t>
      </w:r>
    </w:p>
    <w:p>
      <w:pPr>
        <w:spacing w:line="620" w:lineRule="exact"/>
        <w:ind w:firstLine="640" w:firstLineChars="200"/>
        <w:rPr>
          <w:rFonts w:ascii="仿宋_GB2312" w:eastAsia="仿宋_GB2312"/>
          <w:sz w:val="32"/>
          <w:szCs w:val="32"/>
        </w:rPr>
      </w:pPr>
      <w:r>
        <w:rPr>
          <w:rFonts w:hint="eastAsia" w:ascii="仿宋_GB2312" w:eastAsia="仿宋_GB2312" w:hAnsiTheme="minorEastAsia"/>
          <w:bCs/>
          <w:kern w:val="0"/>
          <w:sz w:val="32"/>
          <w:szCs w:val="32"/>
        </w:rPr>
        <w:t>年初预算为10万元，支出决算为10万元，完成年初预算的100%。</w:t>
      </w:r>
    </w:p>
    <w:p>
      <w:pPr>
        <w:numPr>
          <w:ilvl w:val="0"/>
          <w:numId w:val="1"/>
        </w:numPr>
        <w:spacing w:line="620" w:lineRule="exact"/>
        <w:ind w:left="0"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一般公共服务支出（类）发展与改革事务（款）事业运行（项）。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年初预算为105.36万元，支出决算为113.03万元，完成年初预算的107.28%。决算数大于年初预算数的主要原因是：上年未拨付退休人员节日慰问、本年非全额编制人员部分人员经费等未纳入年初预算。</w:t>
      </w:r>
    </w:p>
    <w:p>
      <w:pPr>
        <w:numPr>
          <w:ilvl w:val="0"/>
          <w:numId w:val="1"/>
        </w:numPr>
        <w:spacing w:line="620" w:lineRule="exact"/>
        <w:ind w:left="0"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一般公共服务支出（类）发展与改革事务（款）其他发展与改革事务（项）。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年初预算为38万元，支出决算为169.76万元，完成年初预算的446.74%，决算数大于年初预算数的主要原因是：一是上年结转的项目经费未包含在年初预算内，二是因易地扶贫搬迁工作需要追加了专项经费。</w:t>
      </w:r>
    </w:p>
    <w:p>
      <w:pPr>
        <w:numPr>
          <w:ilvl w:val="0"/>
          <w:numId w:val="1"/>
        </w:numPr>
        <w:spacing w:line="620" w:lineRule="exact"/>
        <w:ind w:left="0"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一般公共服务支出（类）财政事务（款）其他财政事务支出（项）。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0万元，支出决算为29.37万元，决算数大于年初预算数的主要原因是：因以前年度结转解决2018年产业项目建设年活动先进单位、先进个人奖励追加财政资金未在年初预算体现，上年决算结转结余指标未调整，在本年决算调整所致。</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10、一般公共服务支出（类）其他一般公共服务支出（款）其他一般公共服务支出（项）。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年初预算为400万元，支出决算为315.21万元，完成年初预算的78.80%，决算数小于年初预算数的主要原因是：本年度调整其他项目以前年度结余结转余额、年末尚未支付的项目前期工作经费结转下年所致。</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11、文化旅游体育与传媒支出（类）文化和旅游（款）其他文化和旅游支出（项）。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0万元，支出决算为60.71万元，决算数大于年初预算数的主要原因是：因以前年度结转解决2018年新增1000亿粮食生产能力规划方案追加财政资金未在年初预算体现所致。上年决算结转结余指标未调整，在本年决算调整所致。</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12、社会保障和就业支出（类）行政事业单位养老支出（款）机关事业单位基本养老保险缴费支出（项）。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年初预算为39.13万元，支出决算为39.13万元，完成年初预算的100%。</w:t>
      </w:r>
    </w:p>
    <w:p>
      <w:pPr>
        <w:numPr>
          <w:ilvl w:val="0"/>
          <w:numId w:val="2"/>
        </w:num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社会保障和就业支出（类）行政事业单位养老支出（款）其他行政事业单位养老支出（项）。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年初预算为0万元，支出决算为9.36万元，决算数大于年初预算数的主要原因是：本年退休人员节日慰问未纳入年初预算。</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14、社会保障和就业支出（类）抚恤（款）伤残抚恤（项）。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年初预算为1.09万元，支出决算为1.09万元，完成年初预算的100%。</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15、社会保障和就业支出（类）财政对其他社会保险基金的补助（款）财政对生育（工伤）保险基金的补助（项）。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年初预算为3.02万元，支出决算为3.02万元，完成年初预算的100%。</w:t>
      </w:r>
    </w:p>
    <w:p>
      <w:pPr>
        <w:numPr>
          <w:ilvl w:val="0"/>
          <w:numId w:val="3"/>
        </w:num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卫生健康支出（类）行政事业单位医疗（款）行政单位医疗（项）。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年初预算为9.27万元，支出决算为9.27万元，完成年初预算的100%。</w:t>
      </w:r>
    </w:p>
    <w:p>
      <w:pPr>
        <w:numPr>
          <w:ilvl w:val="0"/>
          <w:numId w:val="3"/>
        </w:num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卫生健康支出（类）行政事业单位医疗（款）事业单位医疗（项）。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年初预算为6.85万元，支出决算为6.85万元，完成年初预算的100%。</w:t>
      </w:r>
    </w:p>
    <w:p>
      <w:pPr>
        <w:numPr>
          <w:ilvl w:val="0"/>
          <w:numId w:val="3"/>
        </w:num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住房保障支出（类）住房改革支出（款）住房公积金（项）。</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年初预算为12.77万元，支出决算为12.77万元，完成年初预算的100%。</w:t>
      </w:r>
    </w:p>
    <w:p>
      <w:pPr>
        <w:pStyle w:val="12"/>
        <w:spacing w:line="620" w:lineRule="exact"/>
        <w:ind w:firstLine="643" w:firstLineChars="200"/>
        <w:rPr>
          <w:rFonts w:hAnsi="黑体"/>
          <w:b/>
          <w:sz w:val="32"/>
          <w:szCs w:val="32"/>
        </w:rPr>
      </w:pPr>
      <w:r>
        <w:rPr>
          <w:rFonts w:hint="eastAsia" w:hAnsi="黑体"/>
          <w:b/>
          <w:sz w:val="32"/>
          <w:szCs w:val="32"/>
        </w:rPr>
        <w:t>六、一般公共预算财政拨款基本支出决算情况说明</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2020年度财政拨款基本支出508.47万元，其中：人员经费461.59万元，占基本支出的90.78%,主要包括基本工资、津贴补贴、奖金、伙食补助费，养老保险、医疗保险、住房公积金、对个人和家庭的补助等；公用经费46.88万元，占基本支出的14.90%，主要包括办公费、印刷费、咨询费、手续费、水电费、物业管理费、差旅费、会议费、培训费、公务接待费、工会经费等。</w:t>
      </w:r>
    </w:p>
    <w:p>
      <w:pPr>
        <w:pStyle w:val="12"/>
        <w:spacing w:line="620" w:lineRule="exact"/>
        <w:ind w:firstLine="643" w:firstLineChars="200"/>
        <w:rPr>
          <w:rFonts w:hAnsi="黑体"/>
          <w:b/>
          <w:sz w:val="32"/>
          <w:szCs w:val="32"/>
        </w:rPr>
      </w:pPr>
      <w:r>
        <w:rPr>
          <w:rFonts w:hint="eastAsia" w:hAnsi="黑体"/>
          <w:b/>
          <w:sz w:val="32"/>
          <w:szCs w:val="32"/>
        </w:rPr>
        <w:t>七、一般公共预算财政拨款三公经费支出决算情况说明</w:t>
      </w:r>
    </w:p>
    <w:p>
      <w:pPr>
        <w:pStyle w:val="12"/>
        <w:spacing w:line="620" w:lineRule="exact"/>
        <w:ind w:firstLine="643" w:firstLineChars="200"/>
        <w:rPr>
          <w:rFonts w:ascii="仿宋_GB2312" w:eastAsia="仿宋_GB2312" w:hAnsiTheme="minorEastAsia"/>
          <w:b/>
          <w:sz w:val="32"/>
          <w:szCs w:val="32"/>
        </w:rPr>
      </w:pPr>
      <w:r>
        <w:rPr>
          <w:rFonts w:hint="eastAsia" w:ascii="仿宋_GB2312" w:eastAsia="仿宋_GB2312" w:hAnsiTheme="minorEastAsia"/>
          <w:b/>
          <w:sz w:val="32"/>
          <w:szCs w:val="32"/>
        </w:rPr>
        <w:t>（一）“三公”经费财政拨款支出决算总体情况说明</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“三公”经费财政拨款支出预算为6.36万元，支出决算为2.60万元，完成预算的40.88%，其中：</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因公出国（境）费支出预算为0万元，支出决算为0万元。与上年相比减少（增加）0万元。</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公务接待费支出预算为6.36万元，支出决算为2.60万元，完成预算的40.88%，决算数小于年初预算数的主要原因是在上年的基础上本年继续严控三公经费支出，与上年相比减少0.76万元，减少22.62%,减少的主要原因是本年度继续严控公务接待支出。</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公务用车购置费及运行维护费支出预算为0万元，决算为0万元，完成预算度0%。</w:t>
      </w:r>
    </w:p>
    <w:p>
      <w:pPr>
        <w:pStyle w:val="12"/>
        <w:spacing w:line="620" w:lineRule="exact"/>
        <w:ind w:firstLine="643" w:firstLineChars="200"/>
        <w:rPr>
          <w:rFonts w:ascii="仿宋_GB2312" w:eastAsia="仿宋_GB2312" w:hAnsiTheme="minorEastAsia"/>
          <w:b/>
          <w:sz w:val="32"/>
          <w:szCs w:val="32"/>
        </w:rPr>
      </w:pPr>
      <w:r>
        <w:rPr>
          <w:rFonts w:hint="eastAsia" w:ascii="仿宋_GB2312" w:eastAsia="仿宋_GB2312" w:hAnsiTheme="minorEastAsia"/>
          <w:b/>
          <w:sz w:val="32"/>
          <w:szCs w:val="32"/>
        </w:rPr>
        <w:t>（二）“三公”经费财政拨款支出决算具体情况说明</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1、因公出国（境）费支出决算为0万元，全年安排因公出国（境）团组0个，累计0人次。</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2、公务接待费支出决算为2.60万元，全年共接待来访团组46个、来宾640人次，主要是省、市来我单位考察、调研、项目合作、招商引资、易地扶贫搬迁工作督查等事项发生的接待支出。</w:t>
      </w:r>
    </w:p>
    <w:p>
      <w:pPr>
        <w:spacing w:line="620" w:lineRule="exact"/>
        <w:ind w:firstLine="640" w:firstLineChars="200"/>
        <w:rPr>
          <w:rFonts w:asciiTheme="minorEastAsia" w:hAnsiTheme="minorEastAsia"/>
          <w:bCs/>
          <w:kern w:val="0"/>
          <w:sz w:val="32"/>
          <w:szCs w:val="32"/>
        </w:rPr>
      </w:pPr>
      <w:r>
        <w:rPr>
          <w:rFonts w:hint="eastAsia" w:ascii="仿宋_GB2312" w:eastAsia="仿宋_GB2312" w:hAnsiTheme="minorEastAsia"/>
          <w:bCs/>
          <w:kern w:val="0"/>
          <w:sz w:val="32"/>
          <w:szCs w:val="32"/>
        </w:rPr>
        <w:t>3、公务用车购置费及运行维护费支出决算为0万元，其中：公务用车购置费0万元。公务用车运行维护费0万元，截止2020年12月31日，我单位开支财政拨款的公务用车保有量为0辆，年新增公务用车为0辆。</w:t>
      </w:r>
    </w:p>
    <w:p>
      <w:pPr>
        <w:pStyle w:val="12"/>
        <w:spacing w:line="620" w:lineRule="exact"/>
        <w:ind w:firstLine="643" w:firstLineChars="200"/>
        <w:rPr>
          <w:rFonts w:asciiTheme="minorEastAsia" w:hAnsiTheme="minorEastAsia"/>
          <w:bCs/>
          <w:sz w:val="32"/>
          <w:szCs w:val="32"/>
        </w:rPr>
      </w:pPr>
      <w:r>
        <w:rPr>
          <w:rFonts w:hint="eastAsia" w:hAnsi="黑体"/>
          <w:b/>
          <w:sz w:val="32"/>
          <w:szCs w:val="32"/>
        </w:rPr>
        <w:t>八、政府性基金预算收入支出决算情况</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 xml:space="preserve">2020年政府性基金预算收入7万元，支出7万元。为抗疫特别国债安排的支出，用于单位疫情防控应急物资保障支出。 </w:t>
      </w:r>
    </w:p>
    <w:p>
      <w:pPr>
        <w:pStyle w:val="12"/>
        <w:ind w:firstLine="643" w:firstLineChars="200"/>
        <w:rPr>
          <w:rFonts w:hAnsi="黑体"/>
          <w:b/>
          <w:sz w:val="32"/>
          <w:szCs w:val="32"/>
        </w:rPr>
      </w:pPr>
      <w:r>
        <w:rPr>
          <w:rFonts w:hint="eastAsia" w:hAnsi="黑体"/>
          <w:b/>
          <w:sz w:val="32"/>
          <w:szCs w:val="32"/>
        </w:rPr>
        <w:t>九、国有资本经营预算财政拨款支出决算情况</w:t>
      </w:r>
    </w:p>
    <w:p>
      <w:pPr>
        <w:pStyle w:val="12"/>
        <w:ind w:firstLine="640" w:firstLineChars="200"/>
        <w:rPr>
          <w:rFonts w:ascii="仿宋_GB2312" w:eastAsia="仿宋_GB2312" w:hAnsiTheme="minorEastAsia" w:cstheme="minorBidi"/>
          <w:bCs/>
          <w:color w:val="auto"/>
          <w:sz w:val="32"/>
          <w:szCs w:val="32"/>
        </w:rPr>
      </w:pPr>
      <w:r>
        <w:rPr>
          <w:rFonts w:hint="eastAsia" w:ascii="仿宋_GB2312" w:eastAsia="仿宋_GB2312" w:hAnsiTheme="minorEastAsia" w:cstheme="minorBidi"/>
          <w:bCs/>
          <w:color w:val="auto"/>
          <w:sz w:val="32"/>
          <w:szCs w:val="32"/>
        </w:rPr>
        <w:t>本单位2020年没有国有资本经营预算财政拨款支出。</w:t>
      </w:r>
    </w:p>
    <w:p>
      <w:pPr>
        <w:pStyle w:val="12"/>
        <w:spacing w:line="620" w:lineRule="exact"/>
        <w:ind w:firstLine="643" w:firstLineChars="200"/>
        <w:rPr>
          <w:rFonts w:hAnsi="黑体"/>
          <w:b/>
          <w:sz w:val="32"/>
          <w:szCs w:val="32"/>
        </w:rPr>
      </w:pPr>
      <w:r>
        <w:rPr>
          <w:rFonts w:hint="eastAsia" w:hAnsi="黑体"/>
          <w:b/>
          <w:sz w:val="32"/>
          <w:szCs w:val="32"/>
        </w:rPr>
        <w:t>十、关于机关运行经费支出说明</w:t>
      </w:r>
    </w:p>
    <w:p>
      <w:pPr>
        <w:spacing w:line="620" w:lineRule="exact"/>
        <w:ind w:firstLine="640" w:firstLineChars="200"/>
        <w:rPr>
          <w:rFonts w:ascii="仿宋_GB2312" w:eastAsia="仿宋_GB2312"/>
          <w:sz w:val="32"/>
          <w:szCs w:val="32"/>
        </w:rPr>
      </w:pPr>
      <w:r>
        <w:rPr>
          <w:rFonts w:hint="eastAsia" w:ascii="仿宋_GB2312" w:eastAsia="仿宋_GB2312" w:hAnsiTheme="minorEastAsia"/>
          <w:bCs/>
          <w:kern w:val="0"/>
          <w:sz w:val="32"/>
          <w:szCs w:val="32"/>
        </w:rPr>
        <w:t>本部门2020年度机关运行经费支出46.88万元，比年初预算数增加25.88万元，增长123.24%。主要原因是：我单位年初预算中公用经费的金额偏低，日常运行中办公经费等存在较大资金缺口所致。</w:t>
      </w:r>
    </w:p>
    <w:p>
      <w:pPr>
        <w:pStyle w:val="12"/>
        <w:spacing w:line="620" w:lineRule="exact"/>
        <w:ind w:firstLine="643" w:firstLineChars="200"/>
        <w:rPr>
          <w:rFonts w:hAnsi="黑体"/>
          <w:b/>
          <w:sz w:val="32"/>
          <w:szCs w:val="32"/>
        </w:rPr>
      </w:pPr>
      <w:r>
        <w:rPr>
          <w:rFonts w:hint="eastAsia" w:hAnsi="黑体"/>
          <w:b/>
          <w:sz w:val="32"/>
          <w:szCs w:val="32"/>
        </w:rPr>
        <w:t>十一、一般性支出情况说明</w:t>
      </w:r>
    </w:p>
    <w:p>
      <w:pPr>
        <w:spacing w:line="620" w:lineRule="exact"/>
        <w:ind w:firstLine="640" w:firstLineChars="200"/>
        <w:rPr>
          <w:rFonts w:ascii="仿宋_GB2312" w:hAnsi="黑体" w:eastAsia="仿宋_GB2312"/>
          <w:b/>
          <w:sz w:val="32"/>
          <w:szCs w:val="32"/>
        </w:rPr>
      </w:pPr>
      <w:r>
        <w:rPr>
          <w:rFonts w:hint="eastAsia" w:ascii="仿宋_GB2312" w:eastAsia="仿宋_GB2312" w:cs="黑体" w:hAnsiTheme="minorEastAsia"/>
          <w:color w:val="000000"/>
          <w:kern w:val="0"/>
          <w:sz w:val="32"/>
          <w:szCs w:val="32"/>
        </w:rPr>
        <w:t>2020年本部门开支会议费5.21万元，用于召开易地扶贫搬迁工作推进、重点项目建设推进、固定资产联网直报等会议，人数约为280人，内容为布置全县易地扶贫搬迁工作、重点项目任务、推进固定资产联网直报工作等。开支培训费1.42万元，用于开展工交能源环资、价格认定、档案管理等工作业务培训，人数约为8人，内容为能源安全、价格认定、档案归集整理等业务；没有举办节庆、晚会、论坛、赛事活动。</w:t>
      </w:r>
    </w:p>
    <w:p>
      <w:pPr>
        <w:pStyle w:val="12"/>
        <w:spacing w:line="620" w:lineRule="exact"/>
        <w:ind w:firstLine="643" w:firstLineChars="200"/>
        <w:rPr>
          <w:rFonts w:hAnsi="黑体"/>
          <w:b/>
          <w:sz w:val="32"/>
          <w:szCs w:val="32"/>
        </w:rPr>
      </w:pPr>
      <w:r>
        <w:rPr>
          <w:rFonts w:hint="eastAsia" w:hAnsi="黑体"/>
          <w:b/>
          <w:sz w:val="32"/>
          <w:szCs w:val="32"/>
        </w:rPr>
        <w:t xml:space="preserve">十二、关于政府采购支出说明 </w:t>
      </w:r>
    </w:p>
    <w:p>
      <w:pPr>
        <w:spacing w:line="620" w:lineRule="exact"/>
        <w:ind w:firstLine="640" w:firstLineChars="200"/>
        <w:rPr>
          <w:rFonts w:ascii="仿宋_GB2312" w:hAnsi="黑体" w:eastAsia="仿宋_GB2312"/>
          <w:b/>
          <w:sz w:val="32"/>
          <w:szCs w:val="32"/>
        </w:rPr>
      </w:pPr>
      <w:r>
        <w:rPr>
          <w:rFonts w:hint="eastAsia" w:ascii="仿宋_GB2312" w:eastAsia="仿宋_GB2312" w:cs="黑体" w:hAnsiTheme="minorEastAsia"/>
          <w:color w:val="000000"/>
          <w:kern w:val="0"/>
          <w:sz w:val="32"/>
          <w:szCs w:val="32"/>
        </w:rPr>
        <w:t>本部门2020年度政府采购支出总额50.18万元，其中：政府采购货物支出5.51万元、政府采购工程支出2.82万元、政府采购服务支出41.85万元。授予中小企业合同金额50.18万元，占政府采购支出总额的100%，其中：授予小微企业合同金额50.18万元，占政府采购支出总额的100%。政府采购支出主要内容用于社会信用体系平台建设、单位业务采购。</w:t>
      </w:r>
    </w:p>
    <w:p>
      <w:pPr>
        <w:pStyle w:val="12"/>
        <w:spacing w:line="620" w:lineRule="exact"/>
        <w:ind w:firstLine="643" w:firstLineChars="200"/>
        <w:rPr>
          <w:rFonts w:hAnsi="黑体"/>
          <w:b/>
          <w:sz w:val="32"/>
          <w:szCs w:val="32"/>
        </w:rPr>
      </w:pPr>
      <w:r>
        <w:rPr>
          <w:rFonts w:hint="eastAsia" w:hAnsi="黑体"/>
          <w:b/>
          <w:sz w:val="32"/>
          <w:szCs w:val="32"/>
        </w:rPr>
        <w:t xml:space="preserve">十三、关于国有资产占用情况说明 </w:t>
      </w:r>
    </w:p>
    <w:p>
      <w:pPr>
        <w:spacing w:line="620" w:lineRule="exact"/>
        <w:ind w:firstLine="640" w:firstLineChars="200"/>
        <w:rPr>
          <w:rFonts w:ascii="仿宋_GB2312" w:hAnsi="黑体" w:eastAsia="仿宋_GB2312"/>
          <w:b/>
          <w:sz w:val="32"/>
          <w:szCs w:val="32"/>
        </w:rPr>
      </w:pPr>
      <w:r>
        <w:rPr>
          <w:rFonts w:hint="eastAsia" w:ascii="仿宋_GB2312" w:eastAsia="仿宋_GB2312" w:cs="黑体" w:hAnsiTheme="minorEastAsia"/>
          <w:color w:val="000000"/>
          <w:kern w:val="0"/>
          <w:sz w:val="32"/>
          <w:szCs w:val="32"/>
        </w:rPr>
        <w:t>截至2020年12月31日，本单位共有车辆0辆；单位价值50万元以上通用设备0台（套）；单位价值100万元以上专用设备0台（套）。</w:t>
      </w:r>
    </w:p>
    <w:p>
      <w:pPr>
        <w:pStyle w:val="12"/>
        <w:spacing w:line="620" w:lineRule="exact"/>
        <w:ind w:firstLine="643" w:firstLineChars="200"/>
        <w:rPr>
          <w:rFonts w:hAnsi="黑体"/>
          <w:b/>
          <w:sz w:val="32"/>
          <w:szCs w:val="32"/>
        </w:rPr>
      </w:pPr>
      <w:r>
        <w:rPr>
          <w:rFonts w:hint="eastAsia" w:hAnsi="黑体"/>
          <w:b/>
          <w:sz w:val="32"/>
          <w:szCs w:val="32"/>
        </w:rPr>
        <w:t>十四、关于</w:t>
      </w:r>
      <w:r>
        <w:rPr>
          <w:rFonts w:hAnsi="黑体"/>
          <w:b/>
          <w:sz w:val="32"/>
          <w:szCs w:val="32"/>
        </w:rPr>
        <w:t>2020</w:t>
      </w:r>
      <w:r>
        <w:rPr>
          <w:rFonts w:hint="eastAsia" w:hAnsi="黑体"/>
          <w:b/>
          <w:sz w:val="32"/>
          <w:szCs w:val="32"/>
        </w:rPr>
        <w:t>年度预算绩效情况说明</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为加强财政预算资金管理，进一步规范预算资金使用，提高财政资金使用效益，根据《衡南县财政局关于开展2020年度县级财政资金绩效自评工作的通知》要求，我局对2020年度本单位整体支出进行了绩效自评。</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在县委、县政府的正确领导下和市发改委的关心支持下，我局紧紧围绕县委</w:t>
      </w:r>
      <w:r>
        <w:rPr>
          <w:rFonts w:hint="eastAsia" w:ascii="仿宋_GB2312" w:eastAsia="仿宋_GB2312" w:hAnsiTheme="minorEastAsia"/>
          <w:bCs/>
          <w:kern w:val="0"/>
          <w:sz w:val="32"/>
          <w:szCs w:val="32"/>
          <w:lang w:val="en-US" w:eastAsia="zh-CN"/>
        </w:rPr>
        <w:t>县</w:t>
      </w:r>
      <w:r>
        <w:rPr>
          <w:rFonts w:hint="eastAsia" w:ascii="仿宋_GB2312" w:eastAsia="仿宋_GB2312" w:hAnsiTheme="minorEastAsia"/>
          <w:bCs/>
          <w:kern w:val="0"/>
          <w:sz w:val="32"/>
          <w:szCs w:val="32"/>
        </w:rPr>
        <w:t>政府和上级发改部门提出的目标和任务，克服困难，开拓进取，较好的完成了2020年的工作任务。各项经济指标在全市排名靠前，同时在疫情防控、规划编制、经济指标调度、跑项争资、企业扶持、项目建设、诚信体系建设、优化营商环境、党风建设、易地扶贫搬迁等各项工作中均取得了突出成效。</w:t>
      </w:r>
    </w:p>
    <w:p>
      <w:pPr>
        <w:spacing w:line="620" w:lineRule="exact"/>
        <w:ind w:firstLine="640" w:firstLineChars="200"/>
        <w:rPr>
          <w:rFonts w:ascii="仿宋_GB2312" w:hAnsi="仿宋_GB2312" w:eastAsia="仿宋_GB2312" w:cs="仿宋_GB2312"/>
          <w:kern w:val="0"/>
          <w:sz w:val="32"/>
          <w:szCs w:val="32"/>
        </w:rPr>
      </w:pPr>
      <w:r>
        <w:rPr>
          <w:rFonts w:hint="eastAsia" w:ascii="仿宋_GB2312" w:eastAsia="仿宋_GB2312" w:hAnsiTheme="minorEastAsia"/>
          <w:bCs/>
          <w:kern w:val="0"/>
          <w:sz w:val="32"/>
          <w:szCs w:val="32"/>
        </w:rPr>
        <w:t>部门整体支出绩效情况如下：</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1、重点支出安排率: 100%</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2、在职人员控制率：100%</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3、“三公经费”控制率：100%，严格控制“三公经费”支出，开源节流。</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4、预算完成率：100%</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5、预算变动率：29.67%，由于运转经费不足、新增人员未纳入预算等追加预算所致。</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6、政府采购执行率：100%</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7、在资金管理上，我局制定了一系列的财务管理制度。</w:t>
      </w:r>
    </w:p>
    <w:p>
      <w:pPr>
        <w:spacing w:line="620" w:lineRule="exact"/>
        <w:ind w:firstLine="640" w:firstLineChars="200"/>
        <w:rPr>
          <w:rFonts w:ascii="仿宋_GB2312" w:eastAsia="仿宋_GB2312" w:hAnsiTheme="minorEastAsia"/>
          <w:bCs/>
          <w:kern w:val="0"/>
          <w:sz w:val="32"/>
          <w:szCs w:val="32"/>
        </w:rPr>
      </w:pPr>
      <w:r>
        <w:rPr>
          <w:rFonts w:hint="eastAsia" w:ascii="仿宋_GB2312" w:eastAsia="仿宋_GB2312" w:hAnsiTheme="minorEastAsia"/>
          <w:bCs/>
          <w:kern w:val="0"/>
          <w:sz w:val="32"/>
          <w:szCs w:val="32"/>
        </w:rPr>
        <w:t>具体绩效自评报告见附件。</w:t>
      </w:r>
    </w:p>
    <w:p>
      <w:pPr>
        <w:rPr>
          <w:rFonts w:cs="黑体" w:asciiTheme="minorEastAsia" w:hAnsiTheme="minorEastAsia"/>
          <w:color w:val="000000"/>
          <w:kern w:val="0"/>
          <w:sz w:val="32"/>
          <w:szCs w:val="3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hAnsi="黑体"/>
          <w:b/>
          <w:sz w:val="32"/>
          <w:szCs w:val="32"/>
        </w:rPr>
      </w:pPr>
      <w:r>
        <w:rPr>
          <w:rFonts w:ascii="黑体" w:eastAsia="黑体" w:cs="黑体"/>
          <w:color w:val="000000"/>
          <w:kern w:val="0"/>
          <w:sz w:val="70"/>
          <w:szCs w:val="70"/>
        </w:rPr>
        <w:br w:type="page"/>
      </w:r>
    </w:p>
    <w:p>
      <w:pPr>
        <w:widowControl/>
        <w:jc w:val="left"/>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一、财政拨款收入：指财政部门核拨给单位的财政预算资金。</w:t>
      </w:r>
    </w:p>
    <w:p>
      <w:pPr>
        <w:widowControl/>
        <w:jc w:val="left"/>
        <w:rPr>
          <w:rFonts w:ascii="仿宋_GB2312" w:eastAsia="仿宋_GB2312" w:hAnsiTheme="minorEastAsia"/>
          <w:bCs/>
          <w:kern w:val="0"/>
          <w:sz w:val="32"/>
          <w:szCs w:val="32"/>
        </w:rPr>
      </w:pPr>
      <w:r>
        <w:rPr>
          <w:rFonts w:hint="eastAsia" w:ascii="仿宋_GB2312" w:eastAsia="仿宋_GB2312" w:hAnsiTheme="minorEastAsia"/>
          <w:bCs/>
          <w:kern w:val="0"/>
          <w:sz w:val="32"/>
          <w:szCs w:val="32"/>
        </w:rPr>
        <w:t>二、事业收入：指事业单位开展专业业务活动及辅助活动所取得的收入。 </w:t>
      </w:r>
    </w:p>
    <w:p>
      <w:pPr>
        <w:pStyle w:val="7"/>
        <w:shd w:val="clear" w:color="auto" w:fill="FFFFFF"/>
        <w:spacing w:before="0" w:beforeAutospacing="0" w:after="0" w:afterAutospacing="0"/>
        <w:rPr>
          <w:rFonts w:ascii="仿宋_GB2312" w:eastAsia="仿宋_GB2312" w:hAnsiTheme="minorEastAsia" w:cstheme="minorBidi"/>
          <w:bCs/>
          <w:sz w:val="32"/>
          <w:szCs w:val="32"/>
        </w:rPr>
      </w:pPr>
      <w:r>
        <w:rPr>
          <w:rFonts w:hint="eastAsia" w:ascii="仿宋_GB2312" w:eastAsia="仿宋_GB2312" w:hAnsiTheme="minorEastAsia" w:cstheme="minorBidi"/>
          <w:bCs/>
          <w:sz w:val="32"/>
          <w:szCs w:val="32"/>
        </w:rPr>
        <w:t>三、附属单位上缴收入：指事业单位附属独立核算单位按有关规定上缴的收入。 </w:t>
      </w:r>
    </w:p>
    <w:p>
      <w:pPr>
        <w:pStyle w:val="7"/>
        <w:shd w:val="clear" w:color="auto" w:fill="FFFFFF"/>
        <w:spacing w:before="0" w:beforeAutospacing="0" w:after="0" w:afterAutospacing="0"/>
        <w:rPr>
          <w:rFonts w:ascii="仿宋_GB2312" w:eastAsia="仿宋_GB2312" w:hAnsiTheme="minorEastAsia" w:cstheme="minorBidi"/>
          <w:bCs/>
          <w:sz w:val="32"/>
          <w:szCs w:val="32"/>
        </w:rPr>
      </w:pPr>
      <w:r>
        <w:rPr>
          <w:rFonts w:hint="eastAsia" w:ascii="仿宋_GB2312" w:eastAsia="仿宋_GB2312" w:hAnsiTheme="minorEastAsia" w:cstheme="minorBidi"/>
          <w:bCs/>
          <w:sz w:val="32"/>
          <w:szCs w:val="32"/>
        </w:rPr>
        <w:t>四、其他收入：指单位取得的除上述“财政拨款收入”、“事业收入”、“附属单位上缴收入”等以外的收入。 </w:t>
      </w:r>
    </w:p>
    <w:p>
      <w:pPr>
        <w:pStyle w:val="7"/>
        <w:shd w:val="clear" w:color="auto" w:fill="FFFFFF"/>
        <w:spacing w:before="0" w:beforeAutospacing="0" w:after="0" w:afterAutospacing="0"/>
        <w:rPr>
          <w:rFonts w:ascii="仿宋_GB2312" w:eastAsia="仿宋_GB2312" w:hAnsiTheme="minorEastAsia" w:cstheme="minorBidi"/>
          <w:bCs/>
          <w:sz w:val="32"/>
          <w:szCs w:val="32"/>
        </w:rPr>
      </w:pPr>
      <w:r>
        <w:rPr>
          <w:rFonts w:hint="eastAsia" w:ascii="仿宋_GB2312" w:eastAsia="仿宋_GB2312" w:hAnsiTheme="minorEastAsia" w:cstheme="minorBidi"/>
          <w:bCs/>
          <w:sz w:val="32"/>
          <w:szCs w:val="32"/>
        </w:rPr>
        <w:t>五、年初结转和结余：指以前年度尚未完成、结转到本年仍按有关规定继续使用的资金。 </w:t>
      </w:r>
    </w:p>
    <w:p>
      <w:pPr>
        <w:pStyle w:val="7"/>
        <w:shd w:val="clear" w:color="auto" w:fill="FFFFFF"/>
        <w:spacing w:before="0" w:beforeAutospacing="0" w:after="0" w:afterAutospacing="0"/>
        <w:rPr>
          <w:rFonts w:ascii="仿宋_GB2312" w:eastAsia="仿宋_GB2312" w:hAnsiTheme="minorEastAsia" w:cstheme="minorBidi"/>
          <w:bCs/>
          <w:sz w:val="32"/>
          <w:szCs w:val="32"/>
        </w:rPr>
      </w:pPr>
      <w:r>
        <w:rPr>
          <w:rFonts w:hint="eastAsia" w:ascii="仿宋_GB2312" w:eastAsia="仿宋_GB2312" w:hAnsiTheme="minorEastAsia" w:cstheme="minorBidi"/>
          <w:bCs/>
          <w:sz w:val="32"/>
          <w:szCs w:val="32"/>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7"/>
        <w:shd w:val="clear" w:color="auto" w:fill="FFFFFF"/>
        <w:spacing w:before="0" w:beforeAutospacing="0" w:after="0" w:afterAutospacing="0"/>
        <w:rPr>
          <w:rFonts w:ascii="仿宋_GB2312" w:eastAsia="仿宋_GB2312" w:hAnsiTheme="minorEastAsia" w:cstheme="minorBidi"/>
          <w:bCs/>
          <w:sz w:val="32"/>
          <w:szCs w:val="32"/>
        </w:rPr>
      </w:pPr>
      <w:r>
        <w:rPr>
          <w:rFonts w:hint="eastAsia" w:ascii="仿宋_GB2312" w:eastAsia="仿宋_GB2312" w:hAnsiTheme="minorEastAsia" w:cstheme="minorBidi"/>
          <w:bCs/>
          <w:sz w:val="32"/>
          <w:szCs w:val="32"/>
        </w:rPr>
        <w:t>七、结余分配：指事业单位按规定提取的职工福利基金、事业基金和缴纳的所得税，以及建设单位按规定应交回的基本建设竣工项目结余资金。 </w:t>
      </w:r>
    </w:p>
    <w:p>
      <w:pPr>
        <w:pStyle w:val="7"/>
        <w:shd w:val="clear" w:color="auto" w:fill="FFFFFF"/>
        <w:spacing w:before="0" w:beforeAutospacing="0" w:after="0" w:afterAutospacing="0"/>
        <w:rPr>
          <w:rFonts w:ascii="仿宋_GB2312" w:eastAsia="仿宋_GB2312" w:hAnsiTheme="minorEastAsia" w:cstheme="minorBidi"/>
          <w:bCs/>
          <w:sz w:val="32"/>
          <w:szCs w:val="32"/>
        </w:rPr>
      </w:pPr>
      <w:r>
        <w:rPr>
          <w:rFonts w:hint="eastAsia" w:ascii="仿宋_GB2312" w:eastAsia="仿宋_GB2312" w:hAnsiTheme="minorEastAsia" w:cstheme="minorBidi"/>
          <w:bCs/>
          <w:sz w:val="32"/>
          <w:szCs w:val="32"/>
        </w:rPr>
        <w:t>八、年末结转和结余：指本年度或以前年度预算安排、因客观条件发生变化无法按原计划实施，需延迟到以后年度按有关规定继续使用的资金。 </w:t>
      </w:r>
    </w:p>
    <w:p>
      <w:pPr>
        <w:pStyle w:val="7"/>
        <w:shd w:val="clear" w:color="auto" w:fill="FFFFFF"/>
        <w:spacing w:before="0" w:beforeAutospacing="0" w:after="0" w:afterAutospacing="0"/>
        <w:rPr>
          <w:rFonts w:ascii="仿宋_GB2312" w:eastAsia="仿宋_GB2312" w:hAnsiTheme="minorEastAsia" w:cstheme="minorBidi"/>
          <w:bCs/>
          <w:sz w:val="32"/>
          <w:szCs w:val="32"/>
        </w:rPr>
      </w:pPr>
      <w:r>
        <w:rPr>
          <w:rFonts w:hint="eastAsia" w:ascii="仿宋_GB2312" w:eastAsia="仿宋_GB2312" w:hAnsiTheme="minorEastAsia" w:cstheme="minorBidi"/>
          <w:bCs/>
          <w:sz w:val="32"/>
          <w:szCs w:val="32"/>
        </w:rPr>
        <w:t>九、基本支出：指为保障机构正常运转、完成日常工作任务而发生的人员支出和公用支出。 </w:t>
      </w:r>
    </w:p>
    <w:p>
      <w:pPr>
        <w:pStyle w:val="7"/>
        <w:shd w:val="clear" w:color="auto" w:fill="FFFFFF"/>
        <w:spacing w:before="0" w:beforeAutospacing="0" w:after="0" w:afterAutospacing="0"/>
        <w:rPr>
          <w:rFonts w:ascii="仿宋_GB2312" w:eastAsia="仿宋_GB2312" w:hAnsiTheme="minorEastAsia" w:cstheme="minorBidi"/>
          <w:bCs/>
          <w:sz w:val="32"/>
          <w:szCs w:val="32"/>
        </w:rPr>
      </w:pPr>
      <w:r>
        <w:rPr>
          <w:rFonts w:hint="eastAsia" w:ascii="仿宋_GB2312" w:eastAsia="仿宋_GB2312" w:hAnsiTheme="minorEastAsia" w:cstheme="minorBidi"/>
          <w:bCs/>
          <w:sz w:val="32"/>
          <w:szCs w:val="32"/>
        </w:rPr>
        <w:t>十、项目支出：指在基本支出之外，为完成特定行政任务和事业发展目标所发生的支出。 </w:t>
      </w:r>
    </w:p>
    <w:p>
      <w:pPr>
        <w:pStyle w:val="7"/>
        <w:shd w:val="clear" w:color="auto" w:fill="FFFFFF"/>
        <w:spacing w:before="0" w:beforeAutospacing="0" w:after="0" w:afterAutospacing="0"/>
        <w:rPr>
          <w:rFonts w:ascii="仿宋_GB2312" w:eastAsia="仿宋_GB2312" w:hAnsiTheme="minorEastAsia" w:cstheme="minorBidi"/>
          <w:bCs/>
          <w:sz w:val="32"/>
          <w:szCs w:val="32"/>
        </w:rPr>
      </w:pPr>
      <w:r>
        <w:rPr>
          <w:rFonts w:hint="eastAsia" w:ascii="仿宋_GB2312" w:eastAsia="仿宋_GB2312" w:hAnsiTheme="minorEastAsia" w:cstheme="minorBidi"/>
          <w:bCs/>
          <w:sz w:val="32"/>
          <w:szCs w:val="32"/>
        </w:rPr>
        <w:t>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pStyle w:val="12"/>
        <w:ind w:firstLine="640" w:firstLineChars="200"/>
        <w:rPr>
          <w:rFonts w:ascii="仿宋_GB2312" w:eastAsia="仿宋_GB2312" w:hAnsiTheme="minorEastAsia" w:cstheme="minorBidi"/>
          <w:bCs/>
          <w:color w:val="auto"/>
          <w:sz w:val="32"/>
          <w:szCs w:val="32"/>
        </w:rPr>
      </w:pPr>
      <w:r>
        <w:rPr>
          <w:rFonts w:hint="eastAsia" w:ascii="仿宋_GB2312" w:eastAsia="仿宋_GB2312" w:hAnsiTheme="minorEastAsia" w:cstheme="minorBidi"/>
          <w:bCs/>
          <w:color w:val="auto"/>
          <w:sz w:val="32"/>
          <w:szCs w:val="32"/>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  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spacing w:line="640" w:lineRule="exact"/>
        <w:jc w:val="center"/>
        <w:rPr>
          <w:rFonts w:ascii="方正大标宋简体" w:eastAsia="方正大标宋简体" w:hAnsiTheme="majorEastAsia" w:cstheme="majorEastAsia"/>
          <w:bCs/>
          <w:kern w:val="0"/>
          <w:sz w:val="44"/>
          <w:szCs w:val="44"/>
        </w:rPr>
      </w:pPr>
      <w:r>
        <w:rPr>
          <w:rFonts w:hint="eastAsia" w:ascii="方正大标宋简体" w:eastAsia="方正大标宋简体" w:hAnsiTheme="majorEastAsia" w:cstheme="majorEastAsia"/>
          <w:bCs/>
          <w:kern w:val="0"/>
          <w:sz w:val="44"/>
          <w:szCs w:val="44"/>
        </w:rPr>
        <w:t>衡南县发展和改革局2020年部门整体支出绩效自评报告</w:t>
      </w:r>
    </w:p>
    <w:p>
      <w:pPr>
        <w:pStyle w:val="2"/>
      </w:pPr>
    </w:p>
    <w:p>
      <w:pPr>
        <w:spacing w:line="600" w:lineRule="exact"/>
        <w:ind w:firstLine="640" w:firstLineChars="200"/>
        <w:rPr>
          <w:rFonts w:ascii="仿宋" w:hAnsi="仿宋" w:eastAsia="仿宋" w:cs="仿宋"/>
          <w:b/>
          <w:bCs/>
          <w:kern w:val="0"/>
          <w:sz w:val="32"/>
          <w:szCs w:val="32"/>
        </w:rPr>
      </w:pPr>
      <w:r>
        <w:rPr>
          <w:rFonts w:hint="eastAsia" w:ascii="仿宋_GB2312" w:hAnsi="仿宋_GB2312" w:eastAsia="仿宋_GB2312" w:cs="仿宋_GB2312"/>
          <w:kern w:val="0"/>
          <w:sz w:val="32"/>
          <w:szCs w:val="32"/>
        </w:rPr>
        <w:t>为加强财政预算资金管理，进一步规范预算资金使用，提高财政资金使用效益，根据《衡南县财政局关于开展2020年度财政资金绩效自评工作的通知》要求，我局对2020年度本单位整体支出进行了绩效自评，现将具体绩效评价情况报告如下：</w:t>
      </w:r>
    </w:p>
    <w:p>
      <w:pPr>
        <w:spacing w:line="600" w:lineRule="exact"/>
        <w:ind w:firstLine="640" w:firstLineChars="200"/>
        <w:rPr>
          <w:rFonts w:ascii="黑体" w:hAnsi="黑体" w:eastAsia="黑体" w:cs="仿宋_GB2312"/>
          <w:kern w:val="0"/>
          <w:sz w:val="32"/>
          <w:szCs w:val="32"/>
        </w:rPr>
      </w:pPr>
      <w:r>
        <w:rPr>
          <w:rFonts w:hint="eastAsia" w:ascii="黑体" w:hAnsi="黑体" w:eastAsia="黑体" w:cs="仿宋_GB2312"/>
          <w:bCs/>
          <w:kern w:val="0"/>
          <w:sz w:val="32"/>
          <w:szCs w:val="32"/>
        </w:rPr>
        <w:t>一、部门基本情况</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1.部门职责</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衡南县发展和改革局是县政府工作部门，是综合研究拟定全县经济和社会发展政策，进行总量平衡，指导全县总体经济体制改革的宏观调控部门。主要职责有：</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（1）拟定并组织实施全县国民经济和社会发展战略、中长期规划和年度计划。</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（2）研究提出加快建设现代化经济体系、推动高质量发展的总体目标、重大任务及相关政策。</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（3）研究提出全县国民经济和社会发展主要目标，监测预测预警宏观经济和社会发展态势趋势，提出宏观调控政策建议，综合协调宏观经济政策，牵头研究宏观经济应对措施。</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（4）调节经济运行，协调解决经济运行中的重大问题。</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（5）研究提出和综合协调全县经济体制改革的建议与措施。</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（6）研究提出全县利用外资和境外投资的战略、规划、总量平衡和结构优化的政策。</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（7）负责投资综合管理，拟定全县全社会固定资产投资总规模和投资结构的调控目标、政策及措施。</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（8）推进落实区域协调发展战略、新型城镇化战略和重大政策，组织拟定相关区域规划和政策。</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（9）组织拟定综合性产业政策，负责协调第一、二、三产业发展的重大问题并统筹衔接相关发展规划和重大政策；推动实施创新驱动发展战略。</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（10）跟踪研判涉及经济安全、生态安全、资源安全、科技安全、社会安全等各类风险隐患，提出相关工作建议。</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（11）负责社会发展与国民经济发展的政策衔接，组织拟定社会发展战略、总体规划。</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（12）推进可持续发展战略，推动生态文明建设和改革，协调生态环境保护与修护、能源资源节约和综合利用等工作。</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（13）负责能源规划与社会发展规划的协调衔接。</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（14）拟定全县价格改革方案和年度计划，研究提出价格调控目标和政策建议，组织实施价格总水平调控。</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（15）牵头组织监督公共资源交易活动；研究拟定推进社会信用体系建设的法规、规划、政策措施，统筹推动统一的社会信用信息平台建设，协调有关重大问题。</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（16）会同有关部门拟定推进全县经济建设与国防建设协调发展。</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（17）牵头承担县国防动员委员会、推进“一带一路”建设暨国际产能合作领导小组、县推动长江经济带发展领导小组、县促进中部地区崛起领导小组等有关具体工作。</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（18）负责本行业领域职责范围内的应急管理工作，对本行业领域职责范围内的安全生产工作实施监督管理。</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（19）完成县委和县政府交办的其他任务。</w:t>
      </w:r>
    </w:p>
    <w:p>
      <w:pPr>
        <w:numPr>
          <w:ilvl w:val="0"/>
          <w:numId w:val="4"/>
        </w:num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机构设置情况</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为了推进上述职能工作的开展，我局下设办公室、行政审批服务股、固定资产投资股（国民经济综合和法规股）、农村经济股、工交能源和环保资源股（县“两型”社会建设办公室）、社会发展股（服务业股）、价格管理股共七个股室。同时，下设衡南县重点项目建设事务中心、衡南县价格认证中心、衡南县成本调查队三个非独立核算二级机构。</w:t>
      </w:r>
    </w:p>
    <w:p>
      <w:pPr>
        <w:numPr>
          <w:ilvl w:val="0"/>
          <w:numId w:val="4"/>
        </w:num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人员编制情况</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我局2020年12月底共有干部职工95人，其中在职55人（含全额编制48、非全额编制7人），退休人员40人。</w:t>
      </w:r>
    </w:p>
    <w:p>
      <w:pPr>
        <w:spacing w:line="600" w:lineRule="exact"/>
        <w:ind w:firstLine="640" w:firstLineChars="200"/>
        <w:rPr>
          <w:rFonts w:ascii="黑体" w:hAnsi="黑体" w:eastAsia="黑体" w:cs="仿宋_GB2312"/>
          <w:bCs/>
          <w:kern w:val="0"/>
          <w:sz w:val="32"/>
          <w:szCs w:val="32"/>
        </w:rPr>
      </w:pPr>
      <w:r>
        <w:rPr>
          <w:rFonts w:hint="eastAsia" w:ascii="黑体" w:hAnsi="黑体" w:eastAsia="黑体" w:cs="仿宋_GB2312"/>
          <w:bCs/>
          <w:kern w:val="0"/>
          <w:sz w:val="32"/>
          <w:szCs w:val="32"/>
        </w:rPr>
        <w:t>二、部门整体支出管理及使用情况</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1.部门预算收支情况（含公共财政拨款、政府性基金拨款、纳入专户管理的非税收入拨款及其他资金）及部门决算情况。</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（1）2020年部门预算情况</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我局2020年单位支出预算批复经费包干数为436.72万元，其中工资福利支出346.63万元，一般商品和服务支出21万元，对个人和家庭补助1.09万元，专项经费68万元。纳入财政预算的项目前期工作经费400万元。</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（2）2020年部门决算情况</w:t>
      </w:r>
    </w:p>
    <w:p>
      <w:pPr>
        <w:spacing w:line="600" w:lineRule="exact"/>
        <w:ind w:firstLine="64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局2020年部门决算收入总计1175.22万元。其中，年初部门预算436.72万元，纳入财政预算的项目前期工作经费400万元，追加的运行经费188.8万元（含退休人员2019-2020年节日慰问资金、绩效奖、交通补贴、新增人员经费异动等），追加的专项经费138.7万元，抗疫特别国债安排的应急物资保障资金7万元。租金收入4万元。</w:t>
      </w:r>
    </w:p>
    <w:p>
      <w:pPr>
        <w:spacing w:line="600" w:lineRule="exact"/>
        <w:ind w:firstLine="64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我局2020年部门预算支出总计1175.26万元，上年结转142.63万元，结转下年142.59万元（主要为年底尚未支付的项目前期工作经费）。</w:t>
      </w:r>
    </w:p>
    <w:p>
      <w:pPr>
        <w:numPr>
          <w:ilvl w:val="0"/>
          <w:numId w:val="5"/>
        </w:num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支出分类情况</w:t>
      </w:r>
    </w:p>
    <w:p>
      <w:pPr>
        <w:numPr>
          <w:ilvl w:val="0"/>
          <w:numId w:val="6"/>
        </w:numPr>
        <w:spacing w:line="600" w:lineRule="exac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基本支出</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局2020年基本支出总计515.47万元，其中工资福利支出461.59万元，商品和服务支出53.88万元，以上支出主要用于职工工资、津补贴、社保、住房公积金及退休人员慰问、办公费、差旅费、培训费、交通补助、维修维护费、邮电费、印刷费、办公设备购置、捐款等日常公用经费。</w:t>
      </w:r>
    </w:p>
    <w:p>
      <w:pPr>
        <w:numPr>
          <w:ilvl w:val="0"/>
          <w:numId w:val="6"/>
        </w:numPr>
        <w:spacing w:line="600" w:lineRule="exac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项目支出</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我局2020年项目支出总计659.79万元。其中，工资福利支出200.73万元，商品和服务支出343.09万元，对个人和家庭的补助支出65.79万元，资本性支出50.18万元。</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其中精准扶贫相关工作开支46.09万元，主要用于后盾单位帮扶资金、驻村队工作经费、常态化督导组工作经费、节日扶贫慰问等。</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易地扶贫搬迁工作经费80万元，主要用于易地扶贫搬迁搬迁工作相关的资料印刷费、租车费、会议费、办公费、差旅费、报告编写费用等支出。</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争资引项工作经费28万元，主要用于重点项目调研、督查等工作开支以及固定资产投资、跑项争资、重点项目建设、规上服务业等固定资产联网直报工作奖励。成本调查、价格监测与服务、GDP工作调度、固定资产联网直报、“产业项目建设年”活动工作经费合计45.7万元，以上主要用于各股室开展上述工作发生的相关开支。</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社会信用体系平台建设经费53万元，主要用于社会信用体系网站建设、维护及相关工作开支。</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新冠肺炎疫情防控经费7万元，主要用于疫情防控期间防疫物资等开支。</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项目前期工作经费400万元。</w:t>
      </w:r>
      <w:r>
        <w:rPr>
          <w:rFonts w:hint="eastAsia" w:ascii="仿宋_GB2312" w:hAnsi="仿宋_GB2312" w:eastAsia="仿宋_GB2312" w:cs="仿宋_GB2312"/>
          <w:sz w:val="32"/>
          <w:szCs w:val="32"/>
        </w:rPr>
        <w:t>为促进全县经济高质量发展、推进“四区一花园”建设，按照衡南县专题会议纪要（清委纪要【2019】4号）的相关规定，将政府投资重大项目策划包装前期工作经费纳入财政预算，项目主管部门或建设单位按照《衡南县政府投资重大项目策划包装前期工作经费管理暂行办法》的规定程序报请审核批准后，由我局拨付至项目主管部门或建设单位。主要用于社会民生类项目（总投资额500万元以上的文化、教育、卫生、体育、社会保障类项目）、产业发展类项目（总投资额1000万元以上的农业类项目、现代服务业类项目、工业项目和高新技术产业类项目）以及基础设施类项目（总投资额2000万元以上的城乡基础设施项目、能源类项目和交通类项目）。相关资金均拨付至项目主管或建设单位用于建设项目规划编制、立项申请、项目建议书、可行性研究报告和评审、投资概算评审、技术图书资料费等与前期工作相关的支出。</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3.“三公”经费情况</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我局2020年“三公经费”支出总计2.60万元，其中公务接待费支出2.60万元，无因公出国（境）费用和公务用车运行维护费。与上年相比减少0.76万元，减少22.62%。</w:t>
      </w:r>
    </w:p>
    <w:p>
      <w:pPr>
        <w:spacing w:line="600" w:lineRule="exact"/>
        <w:ind w:firstLine="640" w:firstLineChars="200"/>
        <w:rPr>
          <w:rFonts w:ascii="黑体" w:hAnsi="黑体" w:eastAsia="黑体" w:cs="仿宋_GB2312"/>
          <w:bCs/>
          <w:kern w:val="0"/>
          <w:sz w:val="32"/>
          <w:szCs w:val="32"/>
        </w:rPr>
      </w:pPr>
      <w:r>
        <w:rPr>
          <w:rFonts w:hint="eastAsia" w:ascii="黑体" w:hAnsi="黑体" w:eastAsia="黑体" w:cs="仿宋_GB2312"/>
          <w:bCs/>
          <w:kern w:val="0"/>
          <w:sz w:val="32"/>
          <w:szCs w:val="32"/>
        </w:rPr>
        <w:t>三、部门整体支出绩效评价情况</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为加强预算管理、规范财务行为，我局根据财政局下发的相关文件、结合我局工作实际制定并完善了《局财务管理制度》并严格执行。同时为了规范政府投资重大项目策划包装前期工作经费使用和管理，与财政局一起制定了《衡南县政府投资重大项目策划包装前期工作经费管理暂行办法》。确保预算资金的使用均符合国家财经法规、财务管理制度规定及相关预算支出管理办法的规定。资金拨付严格按照县财政的相关要求和规定，履行完整的审批程序和手续。重大预算支出均经过评估论证。经费支出基本符合部门预算批复的用途，不存在截留、挤占、挪用、虚列支出等情况。同时，我局积极按照县财政的相关要求报送并公开预决算信息，加强固定资产管理。</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2020年我局根据省、市发改委工作要求，在县委、县政府的正确领导下和市发改委的关心支持下，我局紧紧围绕县委</w:t>
      </w:r>
      <w:r>
        <w:rPr>
          <w:rFonts w:hint="eastAsia" w:ascii="仿宋_GB2312" w:hAnsi="仿宋_GB2312" w:eastAsia="仿宋_GB2312" w:cs="仿宋_GB2312"/>
          <w:kern w:val="0"/>
          <w:sz w:val="32"/>
          <w:szCs w:val="32"/>
          <w:lang w:val="en-US" w:eastAsia="zh-CN"/>
        </w:rPr>
        <w:t>县</w:t>
      </w:r>
      <w:r>
        <w:rPr>
          <w:rFonts w:hint="eastAsia" w:ascii="仿宋_GB2312" w:hAnsi="仿宋_GB2312" w:eastAsia="仿宋_GB2312" w:cs="仿宋_GB2312"/>
          <w:kern w:val="0"/>
          <w:sz w:val="32"/>
          <w:szCs w:val="32"/>
        </w:rPr>
        <w:t>政府和上级发改部门提出的目标和任务，克服困难，开拓进取，较好的完成了2020年的工作任务。各项经济指标在全市排名靠前，同时在疫情防控、“十四五”规划编制、争资跑项、重点项目建设、物价管理、社会信用体系建设、脱贫攻坚等方面均取得了突出成效。</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2020年履职情况具体如下：</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统筹推进疫情防控。牵头调度平价口罩投放工作，保持防疫物资市场价格稳定。以保障民生为重点，在云集、三塘、冠市设立三个价格监测点，安排专人专班对市场的粮、油、禽肉、蔬菜、水果、农资等重要生活物资价格实行一日一监测，密切关注市场供需变化和市场秩序状况，确保居民重要生活物资保供稳价。及时向县委提出了《关于全力做好企业项目复工复产及稳投资的建议》，参与编制了《疫情防控期间中央、省、市、县关于复工复产政策选编》，方便项目和企业全面掌握各级应对疫情的政策。</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抓规划编制谋宏图。对标对表中央、省、市要求，立足全县经济发展实际，围绕做强实体经济、城乡融合发展、努力构建“四区一花园”这个目标，加强规划编制论证，多轮听取各部门、乡镇和社会各界对“十四五”发展规划暨“四区一花园”建设规划建议，确保规划符合上级要求、符合衡南发展实际。</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千方百计促进经济增长。一是强化经济指标调度。牵头起草制定《衡南县2020年国民经济和社会发展主要指标分解计划》，对经济运行中出现的突出问题和困难，及时预警并提出对策建议，我县固定资产投资增速居全市第二。二是全力跑项争资。抢抓国家发行专项债劵机遇，积极申报2020年地方专项债劵项目、策划包装中央投资项目，争取中央预算内项目资金。无论是项目个数还是到位资金额度，均居全市前列，为我县在“十四五”时期高质量发展争得先机、赢得主动。三是加大企业扶持力度。坚决落实县委《关于贯彻习近平总书记“2.23”重要讲话精神的若干举措》，派出4名副科级干部担任驻企联络员，破解企业投资生产经营中的“堵点”、“痛点”，增强企业发展信心和竞争力。认真做好扶持政策的组织申报，积极帮助企业争取各级各类政策扶持。四是拓展节能降耗思路。加强对全县重点用能单位监管，以能耗“双控”领导小组名义下发《用能监察自查通知书》，并组织联合监察组，对全县重点用能单位逐个检查，对节能工作落实不到位的企业依法处理。</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集中精力推进项目建设。一是抓项目谋划，推动项目尽早开工。出台《项目前期工作管理办法》，指导各部门开展项目谋划工作，强化项目储备。严格落实项目审批工作，有效运用在线审批监管平台，指导项目单位通过在线审批平台进行网上申报工作。二是抓项目建设，力促项目有序推进。起草《衡南县2020年“产业项目建设年”行动方案》并由县委审核行文下发。列出重点项目任务分解表，将任务分解到各县级领导、责任部门，明确项目推进时间节点，统筹服务协调，千方百计加快项目建设进度。三是抓项目督查，解决重点难点问题。按照“计划项目促开工、在建项目促进度”要求，积极配合县委</w:t>
      </w:r>
      <w:r>
        <w:rPr>
          <w:rFonts w:hint="eastAsia" w:ascii="仿宋_GB2312" w:hAnsi="仿宋_GB2312" w:eastAsia="仿宋_GB2312" w:cs="仿宋_GB2312"/>
          <w:kern w:val="0"/>
          <w:sz w:val="32"/>
          <w:szCs w:val="32"/>
          <w:lang w:val="en-US" w:eastAsia="zh-CN"/>
        </w:rPr>
        <w:t>县</w:t>
      </w:r>
      <w:r>
        <w:rPr>
          <w:rFonts w:hint="eastAsia" w:ascii="仿宋_GB2312" w:hAnsi="仿宋_GB2312" w:eastAsia="仿宋_GB2312" w:cs="仿宋_GB2312"/>
          <w:kern w:val="0"/>
          <w:sz w:val="32"/>
          <w:szCs w:val="32"/>
        </w:rPr>
        <w:t xml:space="preserve">政府督查室不定期对项目进行现场督查，对标找差，及时整改，确保建设项目真动工、真开工，确保项目按月度计划如期开工建设。对日常监管中发现的问题组织核查，提出整改意见，督促整改，并将重大问题及时报送有关部门。我县的重点项目问题处理率排名多次居全市前列。  </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5）多措并举保障民生发展。一是强化先检后送，确保粮食收购安全。省发改委召开了粮食收购预检试点工作会议后，我局联合县农业农村局、县商务和粮食局迅速出台了工作方案，明确职责分工，统一为全县20个试点乡镇单位各自配置了一套便携式稻谷（含稻米）镉快速检测设备。成功争取县乡村三级物流配送体系建设项目和省现代服务业（冷链物流）发展专项资金建设项目，获得省预算内资金支持。二是强化价格监测，维护市场秩序平稳。为稳定重大节日期间市场民生物资价格，我局组织专班在“元旦”“春节”“五一”“国庆”节期间，加强价格监测巡查。严格执行省、市文件精神，把好教育收费关，全面落实义务教育农村学校减免学杂费、书藉费、住宿费政策，规范了全县中小学伙食费、教辅资料收费行为。起草出台了《衡南县农业水价综合改革的实施方案》，保障了我县农业水价综合改革在我县平稳顺利实施。根据《湖南省机动车停放服务收费管理办法》（湘发改价费规〔2020〕801号），率先在全县制定了半小时停车不收费的政策，维护了消费者、经营者的合法权益，营造了良好的停车秩序。认真落实价格临时补贴政策,有效保障了城乡低收入人群基本生活。</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是强化诚信建设，加大信用宣传力度。加强顶层设计，参照市、兄弟县做法，重新调整了衡南县社会信用体系建设领导小组的成员单位，形成了规范有效的工作机制，加强了诚信建设的组织领导和工作保障。全面落实“双公示”工作，对行政许可和行政处罚事项目录进行全面梳理。四是强化全面排查，安全整治有序开展。严格落实安全生产 “一岗双责”要求，重点对县内长岭—郴州长输油管、潜江—韶关和洪山—炎陵长输天燃气管道开展地毯式摸排，确保安全隐患真正排查到位，实现全年零安全事故。</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6）优化服务改善营商环境。一是推进工程建设项目制度改革。牵头负责工程建设项目立项用地规划许可阶段工作，统筹协调各部门一窗受理、并联审批、限时办结、信息共享，做到“一个窗口、一张表单”全流程办理，在全市工程建设项目审批制度改革督查调研中得到市领导的好评。二是加强招投标监管。我局对依法必须进行招标的工程建设项目的招标范围、招标方式、招标组织形式进行了核准，严格审核招标方案。三是积极落实降费减负政策。按要求及时取消、降低和放开部分经营服务性收费及行政事业性收费项目，先后三批次下调一般工商业电价及非居民用气价格，为企业和社会减负。</w:t>
      </w:r>
    </w:p>
    <w:p>
      <w:pPr>
        <w:spacing w:line="62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7）党建引领锤炼过硬作风。一是党建工作扎实推进。以深化“不忘初心、牢记使命”主题教育成果为载体，强化学习型党组织建设。采取注重“自学”、倡导“领学”、分类“促学”、创新“导学”的方式，创新学习载体，灵活学习方式。严格落实“三会一课”制度，加强党员教育和管理，提高党员素质，增强基层党组织的战斗力。全面发挥党员先锋模范作用，组织党员积极为防疫工作进行捐款。二是党风廉政建设工作成效显著。建立完善领导班子全面从严治党责任清单、问题清单和问责清单“三个清单”，压紧压实管党治党责任，为推进全面从严治党各项工作落实、落细奠定了坚实基础；严格落实单位主要负责人落实党风廉政建设主体责任清单季报告制度，及时查找工作中存在的问题和不足，有效推进党风廉政建设工作。三是扫黑除恶专项斗争深入开展。组织全体干部职工认真学习扫黑除恶专项斗争相关会议和文件精神，进一步统一思想，提高政治站位和对扫黑除恶专项斗争重大意义的认识。积极营造社会参与的扫黑除恶氛围，确保扫黑除恶专项斗争落到实处。四是坚决打好打赢脱贫攻坚战。为确保脱贫攻坚圆满收官，我局组织开展了全县易地扶贫搬迁“回头看”大核查活动，派出干部</w:t>
      </w:r>
      <w:bookmarkStart w:id="0" w:name="_GoBack"/>
      <w:bookmarkEnd w:id="0"/>
      <w:r>
        <w:rPr>
          <w:rFonts w:hint="eastAsia" w:ascii="仿宋_GB2312" w:hAnsi="仿宋_GB2312" w:eastAsia="仿宋_GB2312" w:cs="仿宋_GB2312"/>
          <w:kern w:val="0"/>
          <w:sz w:val="32"/>
          <w:szCs w:val="32"/>
        </w:rPr>
        <w:t>职工30余人对全县所有乡镇的易地搬迁户、搬迁点进行开展了拉网式全覆盖大核查，对自查发现和上级督查发现的问题迅速制定突出问题整改方案，确保将各项问题整改到位。今年，我局被国家发改委评为《全国“十三五”时期易地搬迁工作担当有为集体》。在抓好易地扶贫搬迁工作的同时，按照县委统一安排，我们派出两个工作队分别到车江街道神龙村、高宣村开展驻村帮扶工作，帮助制定脱贫计划、联系产业项目，确保帮扶工作取得实效。</w:t>
      </w:r>
    </w:p>
    <w:p>
      <w:pPr>
        <w:spacing w:line="62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部门整体支出绩效情况如下：</w:t>
      </w:r>
    </w:p>
    <w:p>
      <w:pPr>
        <w:spacing w:line="62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1、重点支出安排率: 100%</w:t>
      </w:r>
    </w:p>
    <w:p>
      <w:pPr>
        <w:spacing w:line="62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2、在职人员控制率：100%</w:t>
      </w:r>
    </w:p>
    <w:p>
      <w:pPr>
        <w:spacing w:line="62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3、“三公经费”控制率：100%，严格控制“三公经费”支出，开源节流。</w:t>
      </w:r>
    </w:p>
    <w:p>
      <w:pPr>
        <w:spacing w:line="62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4、预算完成率：100%</w:t>
      </w:r>
    </w:p>
    <w:p>
      <w:pPr>
        <w:spacing w:line="62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5、预算变动率：29.67%，由于运转经费不足、新增人员未纳入预算等追加预算所致。</w:t>
      </w:r>
    </w:p>
    <w:p>
      <w:pPr>
        <w:spacing w:line="62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6、政府采购执行率：100%</w:t>
      </w:r>
    </w:p>
    <w:p>
      <w:pPr>
        <w:spacing w:line="62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7、在资金管理上，我局制定了一系列的财务管理制度。</w:t>
      </w:r>
    </w:p>
    <w:p>
      <w:pPr>
        <w:spacing w:line="620" w:lineRule="exact"/>
        <w:ind w:firstLine="640" w:firstLineChars="200"/>
        <w:rPr>
          <w:rFonts w:ascii="黑体" w:hAnsi="黑体" w:eastAsia="黑体" w:cs="仿宋_GB2312"/>
          <w:bCs/>
          <w:kern w:val="0"/>
          <w:sz w:val="32"/>
          <w:szCs w:val="32"/>
        </w:rPr>
      </w:pPr>
      <w:r>
        <w:rPr>
          <w:rFonts w:hint="eastAsia" w:ascii="黑体" w:hAnsi="黑体" w:eastAsia="黑体" w:cs="仿宋_GB2312"/>
          <w:bCs/>
          <w:kern w:val="0"/>
          <w:sz w:val="32"/>
          <w:szCs w:val="32"/>
        </w:rPr>
        <w:t>四、存在的主要问题</w:t>
      </w:r>
    </w:p>
    <w:p>
      <w:pPr>
        <w:spacing w:line="62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因财政资金日益紧张，预算资金逐年减少，单位预算管理压力加大。部分开支未纳入预算，资金缺口较大。年中预算追加运转经费、专项工作经费较多。本单位的预算执行能力还有待加强，需要进一步提高资金使用效率。</w:t>
      </w:r>
    </w:p>
    <w:p>
      <w:pPr>
        <w:spacing w:line="620" w:lineRule="exact"/>
        <w:ind w:firstLine="640" w:firstLineChars="200"/>
        <w:rPr>
          <w:rFonts w:ascii="仿宋_GB2312" w:hAnsi="仿宋_GB2312" w:eastAsia="仿宋_GB2312" w:cs="仿宋_GB2312"/>
          <w:b/>
          <w:bCs/>
          <w:kern w:val="0"/>
          <w:sz w:val="32"/>
          <w:szCs w:val="32"/>
        </w:rPr>
      </w:pPr>
      <w:r>
        <w:rPr>
          <w:rFonts w:hint="eastAsia" w:ascii="仿宋_GB2312" w:hAnsi="仿宋_GB2312" w:eastAsia="仿宋_GB2312" w:cs="仿宋_GB2312"/>
          <w:kern w:val="0"/>
          <w:sz w:val="32"/>
          <w:szCs w:val="32"/>
        </w:rPr>
        <w:t>由于年底未及时拨付财政资金，部分开支无法在决算前支付，导致决算数与预算数不能完全匹配。</w:t>
      </w:r>
    </w:p>
    <w:p>
      <w:pPr>
        <w:spacing w:line="620" w:lineRule="exact"/>
        <w:ind w:firstLine="640" w:firstLineChars="200"/>
        <w:rPr>
          <w:rFonts w:ascii="黑体" w:hAnsi="黑体" w:eastAsia="黑体" w:cs="仿宋_GB2312"/>
          <w:bCs/>
          <w:kern w:val="0"/>
          <w:sz w:val="32"/>
          <w:szCs w:val="32"/>
        </w:rPr>
      </w:pPr>
      <w:r>
        <w:rPr>
          <w:rFonts w:hint="eastAsia" w:ascii="黑体" w:hAnsi="黑体" w:eastAsia="黑体" w:cs="仿宋_GB2312"/>
          <w:bCs/>
          <w:kern w:val="0"/>
          <w:sz w:val="32"/>
          <w:szCs w:val="32"/>
        </w:rPr>
        <w:t>五、改进措施及建议</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1、进一步精细测算各项工作年度开支，争取各项工作开展所需经费能够纳入预算，减少预算变动率。</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2、抓好财务预算管理，严格执行财务管理制度，充分发挥监督作用。</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3、严格财务支出审批。抓好审核和审批两个环节，在审核审批中严把支出关，切实维护财务纪律的严肃性。</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4、强化经费管理。重点加强招待费和办公经费的管理，严格控制支出，降低经费支出。</w:t>
      </w:r>
    </w:p>
    <w:p>
      <w:pPr>
        <w:spacing w:line="60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5、及时拨付资金，减少结转下年的资金。  </w:t>
      </w:r>
    </w:p>
    <w:p>
      <w:pPr>
        <w:pStyle w:val="2"/>
        <w:spacing w:line="600" w:lineRule="exact"/>
        <w:rPr>
          <w:rFonts w:ascii="仿宋_GB2312" w:hAnsi="仿宋_GB2312" w:eastAsia="仿宋_GB2312" w:cs="仿宋_GB2312"/>
          <w:kern w:val="0"/>
          <w:sz w:val="32"/>
          <w:szCs w:val="32"/>
        </w:rPr>
      </w:pPr>
    </w:p>
    <w:p>
      <w:pPr>
        <w:ind w:firstLine="640" w:firstLineChars="200"/>
        <w:jc w:val="left"/>
        <w:rPr>
          <w:rFonts w:cs="黑体" w:asciiTheme="minorEastAsia" w:hAnsiTheme="minorEastAsia"/>
          <w:color w:val="000000"/>
          <w:kern w:val="0"/>
          <w:sz w:val="32"/>
          <w:szCs w:val="32"/>
        </w:rPr>
      </w:pPr>
    </w:p>
    <w:sectPr>
      <w:pgSz w:w="11906" w:h="16838"/>
      <w:pgMar w:top="1440" w:right="1803" w:bottom="1440" w:left="1803" w:header="851" w:footer="992" w:gutter="0"/>
      <w:cols w:space="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大标宋简体">
    <w:altName w:val="微软雅黑"/>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AE53886"/>
    <w:multiLevelType w:val="singleLevel"/>
    <w:tmpl w:val="EAE53886"/>
    <w:lvl w:ilvl="0" w:tentative="0">
      <w:start w:val="2"/>
      <w:numFmt w:val="decimal"/>
      <w:lvlText w:val="%1."/>
      <w:lvlJc w:val="left"/>
      <w:pPr>
        <w:tabs>
          <w:tab w:val="left" w:pos="312"/>
        </w:tabs>
      </w:pPr>
    </w:lvl>
  </w:abstractNum>
  <w:abstractNum w:abstractNumId="1">
    <w:nsid w:val="FC7A3DE5"/>
    <w:multiLevelType w:val="singleLevel"/>
    <w:tmpl w:val="FC7A3DE5"/>
    <w:lvl w:ilvl="0" w:tentative="0">
      <w:start w:val="16"/>
      <w:numFmt w:val="decimal"/>
      <w:suff w:val="nothing"/>
      <w:lvlText w:val="%1、"/>
      <w:lvlJc w:val="left"/>
    </w:lvl>
  </w:abstractNum>
  <w:abstractNum w:abstractNumId="2">
    <w:nsid w:val="024C61FB"/>
    <w:multiLevelType w:val="singleLevel"/>
    <w:tmpl w:val="024C61FB"/>
    <w:lvl w:ilvl="0" w:tentative="0">
      <w:start w:val="1"/>
      <w:numFmt w:val="decimal"/>
      <w:suff w:val="nothing"/>
      <w:lvlText w:val="%1、"/>
      <w:lvlJc w:val="left"/>
      <w:pPr>
        <w:ind w:left="-10"/>
      </w:pPr>
    </w:lvl>
  </w:abstractNum>
  <w:abstractNum w:abstractNumId="3">
    <w:nsid w:val="2A97D2FD"/>
    <w:multiLevelType w:val="singleLevel"/>
    <w:tmpl w:val="2A97D2FD"/>
    <w:lvl w:ilvl="0" w:tentative="0">
      <w:start w:val="2"/>
      <w:numFmt w:val="decimal"/>
      <w:lvlText w:val="%1."/>
      <w:lvlJc w:val="left"/>
      <w:pPr>
        <w:tabs>
          <w:tab w:val="left" w:pos="312"/>
        </w:tabs>
      </w:pPr>
    </w:lvl>
  </w:abstractNum>
  <w:abstractNum w:abstractNumId="4">
    <w:nsid w:val="4ABAEA51"/>
    <w:multiLevelType w:val="singleLevel"/>
    <w:tmpl w:val="4ABAEA51"/>
    <w:lvl w:ilvl="0" w:tentative="0">
      <w:start w:val="1"/>
      <w:numFmt w:val="decimal"/>
      <w:suff w:val="nothing"/>
      <w:lvlText w:val="（%1）"/>
      <w:lvlJc w:val="left"/>
      <w:pPr>
        <w:ind w:left="480" w:firstLine="0"/>
      </w:pPr>
    </w:lvl>
  </w:abstractNum>
  <w:abstractNum w:abstractNumId="5">
    <w:nsid w:val="707963E5"/>
    <w:multiLevelType w:val="singleLevel"/>
    <w:tmpl w:val="707963E5"/>
    <w:lvl w:ilvl="0" w:tentative="0">
      <w:start w:val="13"/>
      <w:numFmt w:val="decimal"/>
      <w:suff w:val="nothing"/>
      <w:lvlText w:val="%1、"/>
      <w:lvlJc w:val="left"/>
    </w:lvl>
  </w:abstractNum>
  <w:num w:numId="1">
    <w:abstractNumId w:val="2"/>
  </w:num>
  <w:num w:numId="2">
    <w:abstractNumId w:val="5"/>
  </w:num>
  <w:num w:numId="3">
    <w:abstractNumId w:val="1"/>
  </w:num>
  <w:num w:numId="4">
    <w:abstractNumId w:val="0"/>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210"/>
  <w:drawingGridVerticalSpacing w:val="159"/>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004506F9"/>
    <w:rsid w:val="0002229B"/>
    <w:rsid w:val="000273BD"/>
    <w:rsid w:val="000415B7"/>
    <w:rsid w:val="000658A3"/>
    <w:rsid w:val="00074155"/>
    <w:rsid w:val="000A3F69"/>
    <w:rsid w:val="00152C6D"/>
    <w:rsid w:val="00162D39"/>
    <w:rsid w:val="001A67DB"/>
    <w:rsid w:val="001D51E5"/>
    <w:rsid w:val="001E2F4A"/>
    <w:rsid w:val="001F0C3B"/>
    <w:rsid w:val="001F703B"/>
    <w:rsid w:val="00214427"/>
    <w:rsid w:val="002370C8"/>
    <w:rsid w:val="002602A5"/>
    <w:rsid w:val="00265724"/>
    <w:rsid w:val="0027426B"/>
    <w:rsid w:val="00274467"/>
    <w:rsid w:val="002E4646"/>
    <w:rsid w:val="003479BD"/>
    <w:rsid w:val="003768D5"/>
    <w:rsid w:val="004506F9"/>
    <w:rsid w:val="004717A2"/>
    <w:rsid w:val="00491741"/>
    <w:rsid w:val="0049775B"/>
    <w:rsid w:val="004A4209"/>
    <w:rsid w:val="00500E5F"/>
    <w:rsid w:val="00510C50"/>
    <w:rsid w:val="005122EF"/>
    <w:rsid w:val="005128E9"/>
    <w:rsid w:val="00517C33"/>
    <w:rsid w:val="00523644"/>
    <w:rsid w:val="0054069E"/>
    <w:rsid w:val="005767CC"/>
    <w:rsid w:val="00590D9F"/>
    <w:rsid w:val="00595D26"/>
    <w:rsid w:val="005A74E6"/>
    <w:rsid w:val="005D4D55"/>
    <w:rsid w:val="005E2CFB"/>
    <w:rsid w:val="0062378F"/>
    <w:rsid w:val="00651EEC"/>
    <w:rsid w:val="006947D9"/>
    <w:rsid w:val="006A351B"/>
    <w:rsid w:val="006B0422"/>
    <w:rsid w:val="006B4BAF"/>
    <w:rsid w:val="006C1B53"/>
    <w:rsid w:val="006D7730"/>
    <w:rsid w:val="006E5284"/>
    <w:rsid w:val="006F3EB5"/>
    <w:rsid w:val="00702E34"/>
    <w:rsid w:val="00704395"/>
    <w:rsid w:val="00720FF1"/>
    <w:rsid w:val="007367B7"/>
    <w:rsid w:val="0075349D"/>
    <w:rsid w:val="00783892"/>
    <w:rsid w:val="007A0011"/>
    <w:rsid w:val="007C0B16"/>
    <w:rsid w:val="00812ED5"/>
    <w:rsid w:val="008277D9"/>
    <w:rsid w:val="008A3E8D"/>
    <w:rsid w:val="008F6F3E"/>
    <w:rsid w:val="009237C4"/>
    <w:rsid w:val="00950252"/>
    <w:rsid w:val="00951FD2"/>
    <w:rsid w:val="00967F5D"/>
    <w:rsid w:val="009A0F95"/>
    <w:rsid w:val="009B3ADF"/>
    <w:rsid w:val="009C3B52"/>
    <w:rsid w:val="00A12BD8"/>
    <w:rsid w:val="00A42218"/>
    <w:rsid w:val="00A70249"/>
    <w:rsid w:val="00B33BEA"/>
    <w:rsid w:val="00B34640"/>
    <w:rsid w:val="00B57C9F"/>
    <w:rsid w:val="00B845B3"/>
    <w:rsid w:val="00B85D8B"/>
    <w:rsid w:val="00B90995"/>
    <w:rsid w:val="00BE3674"/>
    <w:rsid w:val="00C3049A"/>
    <w:rsid w:val="00C31B1E"/>
    <w:rsid w:val="00C77645"/>
    <w:rsid w:val="00C902B8"/>
    <w:rsid w:val="00CE04C3"/>
    <w:rsid w:val="00CE76A0"/>
    <w:rsid w:val="00CF35E4"/>
    <w:rsid w:val="00D148C6"/>
    <w:rsid w:val="00D31E89"/>
    <w:rsid w:val="00D508EF"/>
    <w:rsid w:val="00DD06FF"/>
    <w:rsid w:val="00DD5FE9"/>
    <w:rsid w:val="00E00C7A"/>
    <w:rsid w:val="00E55B68"/>
    <w:rsid w:val="00E60A47"/>
    <w:rsid w:val="00F16527"/>
    <w:rsid w:val="00F532E7"/>
    <w:rsid w:val="00F74360"/>
    <w:rsid w:val="00FB462F"/>
    <w:rsid w:val="00FE16FA"/>
    <w:rsid w:val="00FE328A"/>
    <w:rsid w:val="01814A3D"/>
    <w:rsid w:val="01C93F78"/>
    <w:rsid w:val="01F96F5C"/>
    <w:rsid w:val="021C1563"/>
    <w:rsid w:val="02F9588D"/>
    <w:rsid w:val="04553F3B"/>
    <w:rsid w:val="04856889"/>
    <w:rsid w:val="058723DC"/>
    <w:rsid w:val="0598315E"/>
    <w:rsid w:val="05E55998"/>
    <w:rsid w:val="0623127F"/>
    <w:rsid w:val="0664255A"/>
    <w:rsid w:val="071A7DCE"/>
    <w:rsid w:val="077523A5"/>
    <w:rsid w:val="07DB5774"/>
    <w:rsid w:val="085B2415"/>
    <w:rsid w:val="0914070C"/>
    <w:rsid w:val="09BA49F4"/>
    <w:rsid w:val="0A036944"/>
    <w:rsid w:val="0A733E75"/>
    <w:rsid w:val="0AA06206"/>
    <w:rsid w:val="0AD61B81"/>
    <w:rsid w:val="0B6F6EED"/>
    <w:rsid w:val="0B863B68"/>
    <w:rsid w:val="0B8F0940"/>
    <w:rsid w:val="0C145ECD"/>
    <w:rsid w:val="0C270167"/>
    <w:rsid w:val="0C895773"/>
    <w:rsid w:val="0D215D64"/>
    <w:rsid w:val="0D36280E"/>
    <w:rsid w:val="0E246CF6"/>
    <w:rsid w:val="0E4D0B5B"/>
    <w:rsid w:val="0FB00BF3"/>
    <w:rsid w:val="0FDC4D1C"/>
    <w:rsid w:val="0FEB4DB6"/>
    <w:rsid w:val="10D36598"/>
    <w:rsid w:val="11395A62"/>
    <w:rsid w:val="11833721"/>
    <w:rsid w:val="11C601B4"/>
    <w:rsid w:val="120C6F28"/>
    <w:rsid w:val="135C1A46"/>
    <w:rsid w:val="1446379D"/>
    <w:rsid w:val="144B713C"/>
    <w:rsid w:val="14C24C5B"/>
    <w:rsid w:val="15594BC1"/>
    <w:rsid w:val="168E3235"/>
    <w:rsid w:val="168F3444"/>
    <w:rsid w:val="172C4BE3"/>
    <w:rsid w:val="19340E22"/>
    <w:rsid w:val="19376448"/>
    <w:rsid w:val="19CF37DB"/>
    <w:rsid w:val="1A1A45C4"/>
    <w:rsid w:val="1A775ABE"/>
    <w:rsid w:val="1B05625B"/>
    <w:rsid w:val="1B8120CA"/>
    <w:rsid w:val="1BA21FA1"/>
    <w:rsid w:val="1CAF2650"/>
    <w:rsid w:val="1CDB4E55"/>
    <w:rsid w:val="1DEA45AE"/>
    <w:rsid w:val="1E182B30"/>
    <w:rsid w:val="1E3D4ADF"/>
    <w:rsid w:val="1E926325"/>
    <w:rsid w:val="1E9E2E6B"/>
    <w:rsid w:val="1EAB29F2"/>
    <w:rsid w:val="1F001869"/>
    <w:rsid w:val="1F2113A8"/>
    <w:rsid w:val="1F490CD0"/>
    <w:rsid w:val="1F6976E7"/>
    <w:rsid w:val="20343B48"/>
    <w:rsid w:val="20D51545"/>
    <w:rsid w:val="22AD3DD8"/>
    <w:rsid w:val="239A2356"/>
    <w:rsid w:val="243C70DF"/>
    <w:rsid w:val="244968AA"/>
    <w:rsid w:val="25EB5E8C"/>
    <w:rsid w:val="27735B46"/>
    <w:rsid w:val="277C5686"/>
    <w:rsid w:val="27FE3DF5"/>
    <w:rsid w:val="28BD6B9F"/>
    <w:rsid w:val="29126499"/>
    <w:rsid w:val="291D5A7C"/>
    <w:rsid w:val="2A2C24F5"/>
    <w:rsid w:val="2A384132"/>
    <w:rsid w:val="2AA36F32"/>
    <w:rsid w:val="2AE23E35"/>
    <w:rsid w:val="2B46501A"/>
    <w:rsid w:val="2BED4C67"/>
    <w:rsid w:val="2D1B7324"/>
    <w:rsid w:val="2D6C09C7"/>
    <w:rsid w:val="2D8A4A70"/>
    <w:rsid w:val="2DA02BD5"/>
    <w:rsid w:val="2DA2685D"/>
    <w:rsid w:val="2DED3F80"/>
    <w:rsid w:val="2F3A56BE"/>
    <w:rsid w:val="2F487824"/>
    <w:rsid w:val="2FDF3A55"/>
    <w:rsid w:val="309E1EB5"/>
    <w:rsid w:val="3208084F"/>
    <w:rsid w:val="328A2FB4"/>
    <w:rsid w:val="332F2B3B"/>
    <w:rsid w:val="33590E33"/>
    <w:rsid w:val="33E44E6F"/>
    <w:rsid w:val="34065F95"/>
    <w:rsid w:val="341D1E77"/>
    <w:rsid w:val="341D20DB"/>
    <w:rsid w:val="34895540"/>
    <w:rsid w:val="34B21AEE"/>
    <w:rsid w:val="34C91FDE"/>
    <w:rsid w:val="35316982"/>
    <w:rsid w:val="3692133B"/>
    <w:rsid w:val="36F903C0"/>
    <w:rsid w:val="37B629D5"/>
    <w:rsid w:val="37FE018B"/>
    <w:rsid w:val="38DF7CCF"/>
    <w:rsid w:val="398A332E"/>
    <w:rsid w:val="39AA385E"/>
    <w:rsid w:val="3A43733C"/>
    <w:rsid w:val="3ABA397C"/>
    <w:rsid w:val="3B6B3A3F"/>
    <w:rsid w:val="3D9B551F"/>
    <w:rsid w:val="3DB60B8D"/>
    <w:rsid w:val="3EBC3BDD"/>
    <w:rsid w:val="3F335F8B"/>
    <w:rsid w:val="403034D2"/>
    <w:rsid w:val="40767E17"/>
    <w:rsid w:val="40805934"/>
    <w:rsid w:val="40F148A7"/>
    <w:rsid w:val="41234B91"/>
    <w:rsid w:val="42BD4FD5"/>
    <w:rsid w:val="443C79A8"/>
    <w:rsid w:val="44AE3668"/>
    <w:rsid w:val="45720A4E"/>
    <w:rsid w:val="45726B8B"/>
    <w:rsid w:val="45A9466D"/>
    <w:rsid w:val="461814F2"/>
    <w:rsid w:val="469E078C"/>
    <w:rsid w:val="489A0BAB"/>
    <w:rsid w:val="48B12AD4"/>
    <w:rsid w:val="48EB621C"/>
    <w:rsid w:val="498178DE"/>
    <w:rsid w:val="4A101D9C"/>
    <w:rsid w:val="4A105ECB"/>
    <w:rsid w:val="4B9117F6"/>
    <w:rsid w:val="4D3B77A9"/>
    <w:rsid w:val="4D3E1534"/>
    <w:rsid w:val="4D3F218B"/>
    <w:rsid w:val="4DEA4CF4"/>
    <w:rsid w:val="4E287710"/>
    <w:rsid w:val="4EDB050D"/>
    <w:rsid w:val="4F5C39D0"/>
    <w:rsid w:val="4FF813BB"/>
    <w:rsid w:val="50113004"/>
    <w:rsid w:val="503407FA"/>
    <w:rsid w:val="50AC0FF2"/>
    <w:rsid w:val="50CE214D"/>
    <w:rsid w:val="50DC6831"/>
    <w:rsid w:val="51F57A3F"/>
    <w:rsid w:val="5202242B"/>
    <w:rsid w:val="521148EE"/>
    <w:rsid w:val="522C2892"/>
    <w:rsid w:val="52464485"/>
    <w:rsid w:val="530C5751"/>
    <w:rsid w:val="53646DAF"/>
    <w:rsid w:val="53BA5C0C"/>
    <w:rsid w:val="53BD60F5"/>
    <w:rsid w:val="53EC1F53"/>
    <w:rsid w:val="54282B20"/>
    <w:rsid w:val="545F6F85"/>
    <w:rsid w:val="559D646E"/>
    <w:rsid w:val="56082173"/>
    <w:rsid w:val="56FB2FD2"/>
    <w:rsid w:val="597E2EF8"/>
    <w:rsid w:val="5A281D56"/>
    <w:rsid w:val="5B2C369C"/>
    <w:rsid w:val="5B8F1337"/>
    <w:rsid w:val="5DFD1059"/>
    <w:rsid w:val="5E43293D"/>
    <w:rsid w:val="5E5B5FB2"/>
    <w:rsid w:val="5EE65760"/>
    <w:rsid w:val="5FE51093"/>
    <w:rsid w:val="60F43791"/>
    <w:rsid w:val="616427A6"/>
    <w:rsid w:val="622306CB"/>
    <w:rsid w:val="62BF572C"/>
    <w:rsid w:val="6307737F"/>
    <w:rsid w:val="63897969"/>
    <w:rsid w:val="63904594"/>
    <w:rsid w:val="63F4723D"/>
    <w:rsid w:val="64AA0D0C"/>
    <w:rsid w:val="65471055"/>
    <w:rsid w:val="663517A8"/>
    <w:rsid w:val="67413476"/>
    <w:rsid w:val="674C5B3F"/>
    <w:rsid w:val="6806776A"/>
    <w:rsid w:val="684B7CD4"/>
    <w:rsid w:val="69BC0126"/>
    <w:rsid w:val="6A84011D"/>
    <w:rsid w:val="6ACB0477"/>
    <w:rsid w:val="6AD307F4"/>
    <w:rsid w:val="6B2E19DC"/>
    <w:rsid w:val="6B501A23"/>
    <w:rsid w:val="6B9911C6"/>
    <w:rsid w:val="6C0D37A0"/>
    <w:rsid w:val="6C7E720D"/>
    <w:rsid w:val="6E2F77D1"/>
    <w:rsid w:val="6E7E48EA"/>
    <w:rsid w:val="6F561098"/>
    <w:rsid w:val="702E51AA"/>
    <w:rsid w:val="70616B7C"/>
    <w:rsid w:val="70D74F9E"/>
    <w:rsid w:val="71334042"/>
    <w:rsid w:val="71647D04"/>
    <w:rsid w:val="71C83BB6"/>
    <w:rsid w:val="71CF1F4F"/>
    <w:rsid w:val="72307E9D"/>
    <w:rsid w:val="725F21EC"/>
    <w:rsid w:val="72FF5C63"/>
    <w:rsid w:val="73252B3B"/>
    <w:rsid w:val="733111FE"/>
    <w:rsid w:val="73353AD8"/>
    <w:rsid w:val="735158EB"/>
    <w:rsid w:val="73725E1D"/>
    <w:rsid w:val="75FD3651"/>
    <w:rsid w:val="76BB082B"/>
    <w:rsid w:val="76E75E58"/>
    <w:rsid w:val="76FA5B36"/>
    <w:rsid w:val="77435524"/>
    <w:rsid w:val="78EC06A3"/>
    <w:rsid w:val="79F93A5C"/>
    <w:rsid w:val="7A9B79A2"/>
    <w:rsid w:val="7AF01753"/>
    <w:rsid w:val="7BC51C2F"/>
    <w:rsid w:val="7C41539E"/>
    <w:rsid w:val="7CD44318"/>
    <w:rsid w:val="7CEA560C"/>
    <w:rsid w:val="7D793F0A"/>
    <w:rsid w:val="7D8F646F"/>
    <w:rsid w:val="7D9719DB"/>
    <w:rsid w:val="7DDD7D5C"/>
    <w:rsid w:val="7E26030A"/>
    <w:rsid w:val="7E3D2026"/>
    <w:rsid w:val="7EA45AE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Body Text Indent 21"/>
    <w:basedOn w:val="1"/>
    <w:qFormat/>
    <w:uiPriority w:val="0"/>
    <w:pPr>
      <w:spacing w:line="480" w:lineRule="auto"/>
      <w:ind w:left="420" w:leftChars="200"/>
    </w:pPr>
  </w:style>
  <w:style w:type="paragraph" w:styleId="3">
    <w:name w:val="Body Text"/>
    <w:basedOn w:val="1"/>
    <w:qFormat/>
    <w:uiPriority w:val="0"/>
    <w:pPr>
      <w:widowControl/>
      <w:spacing w:after="120"/>
      <w:jc w:val="left"/>
    </w:pPr>
    <w:rPr>
      <w:rFonts w:hint="eastAsia" w:ascii="宋体" w:hAnsi="宋体" w:eastAsia="宋体" w:cs="Times New Roman"/>
      <w:kern w:val="0"/>
      <w:sz w:val="24"/>
      <w:szCs w:val="24"/>
    </w:rPr>
  </w:style>
  <w:style w:type="paragraph" w:styleId="4">
    <w:name w:val="Balloon Text"/>
    <w:basedOn w:val="1"/>
    <w:link w:val="14"/>
    <w:semiHidden/>
    <w:unhideWhenUsed/>
    <w:qFormat/>
    <w:uiPriority w:val="99"/>
    <w:rPr>
      <w:sz w:val="18"/>
      <w:szCs w:val="18"/>
    </w:rPr>
  </w:style>
  <w:style w:type="paragraph" w:styleId="5">
    <w:name w:val="footer"/>
    <w:basedOn w:val="1"/>
    <w:link w:val="11"/>
    <w:unhideWhenUsed/>
    <w:qFormat/>
    <w:uiPriority w:val="99"/>
    <w:pPr>
      <w:tabs>
        <w:tab w:val="center" w:pos="4153"/>
        <w:tab w:val="right" w:pos="8306"/>
      </w:tabs>
      <w:snapToGrid w:val="0"/>
      <w:jc w:val="left"/>
    </w:pPr>
    <w:rPr>
      <w:sz w:val="18"/>
      <w:szCs w:val="18"/>
    </w:rPr>
  </w:style>
  <w:style w:type="paragraph" w:styleId="6">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100" w:beforeAutospacing="1" w:after="100" w:afterAutospacing="1"/>
      <w:jc w:val="left"/>
    </w:pPr>
    <w:rPr>
      <w:rFonts w:cs="Times New Roman"/>
      <w:kern w:val="0"/>
      <w:sz w:val="24"/>
    </w:rPr>
  </w:style>
  <w:style w:type="character" w:customStyle="1" w:styleId="10">
    <w:name w:val="页眉 Char"/>
    <w:basedOn w:val="9"/>
    <w:link w:val="6"/>
    <w:qFormat/>
    <w:uiPriority w:val="99"/>
    <w:rPr>
      <w:sz w:val="18"/>
      <w:szCs w:val="18"/>
    </w:rPr>
  </w:style>
  <w:style w:type="character" w:customStyle="1" w:styleId="11">
    <w:name w:val="页脚 Char"/>
    <w:basedOn w:val="9"/>
    <w:link w:val="5"/>
    <w:qFormat/>
    <w:uiPriority w:val="99"/>
    <w:rPr>
      <w:sz w:val="18"/>
      <w:szCs w:val="18"/>
    </w:rPr>
  </w:style>
  <w:style w:type="paragraph" w:customStyle="1" w:styleId="12">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3">
    <w:name w:val="List Paragraph"/>
    <w:basedOn w:val="1"/>
    <w:qFormat/>
    <w:uiPriority w:val="34"/>
    <w:pPr>
      <w:ind w:firstLine="420" w:firstLineChars="200"/>
    </w:pPr>
  </w:style>
  <w:style w:type="character" w:customStyle="1" w:styleId="14">
    <w:name w:val="批注框文本 Char"/>
    <w:basedOn w:val="9"/>
    <w:link w:val="4"/>
    <w:semiHidden/>
    <w:qFormat/>
    <w:uiPriority w:val="99"/>
    <w:rPr>
      <w:sz w:val="18"/>
      <w:szCs w:val="18"/>
    </w:rPr>
  </w:style>
  <w:style w:type="paragraph" w:customStyle="1" w:styleId="15">
    <w:name w:val="首行缩进"/>
    <w:basedOn w:val="1"/>
    <w:qFormat/>
    <w:uiPriority w:val="0"/>
    <w:pPr>
      <w:widowControl/>
      <w:ind w:firstLine="480" w:firstLineChars="200"/>
      <w:jc w:val="left"/>
    </w:pPr>
    <w:rPr>
      <w:rFonts w:hint="eastAsia" w:ascii="宋体" w:hAnsi="宋体" w:eastAsia="宋体" w:cs="Times New Roman"/>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4C5C26B-C5BF-4C05-9C27-6C4E457ABF6C}">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36</Pages>
  <Words>13126</Words>
  <Characters>1168</Characters>
  <Lines>9</Lines>
  <Paragraphs>28</Paragraphs>
  <TotalTime>0</TotalTime>
  <ScaleCrop>false</ScaleCrop>
  <LinksUpToDate>false</LinksUpToDate>
  <CharactersWithSpaces>14266</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茜茜</cp:lastModifiedBy>
  <cp:lastPrinted>2020-09-28T00:29:00Z</cp:lastPrinted>
  <dcterms:modified xsi:type="dcterms:W3CDTF">2024-01-12T05:01:47Z</dcterms:modified>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EFC6DF6CF0584B539D7243C1973204DA</vt:lpwstr>
  </property>
</Properties>
</file>