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hAnsi="方正小标宋_GBK"/>
          <w:sz w:val="50"/>
          <w:szCs w:val="50"/>
        </w:rPr>
      </w:pPr>
    </w:p>
    <w:p>
      <w:pPr>
        <w:jc w:val="center"/>
        <w:rPr>
          <w:rFonts w:hint="eastAsia" w:ascii="方正小标宋_GBK" w:hAnsi="方正小标宋_GBK"/>
          <w:sz w:val="50"/>
          <w:szCs w:val="50"/>
        </w:rPr>
      </w:pPr>
    </w:p>
    <w:p>
      <w:pPr>
        <w:jc w:val="center"/>
        <w:rPr>
          <w:rFonts w:hint="eastAsia" w:ascii="方正小标宋_GBK" w:hAnsi="方正小标宋_GBK"/>
          <w:sz w:val="50"/>
          <w:szCs w:val="50"/>
        </w:rPr>
      </w:pPr>
    </w:p>
    <w:p>
      <w:pPr>
        <w:jc w:val="center"/>
        <w:rPr>
          <w:rFonts w:ascii="黑体" w:hAnsi="黑体" w:eastAsia="黑体" w:cs="黑体"/>
          <w:sz w:val="84"/>
          <w:szCs w:val="84"/>
        </w:rPr>
      </w:pPr>
    </w:p>
    <w:p>
      <w:pPr>
        <w:jc w:val="center"/>
        <w:rPr>
          <w:rFonts w:ascii="黑体" w:hAnsi="黑体" w:eastAsia="黑体" w:cs="黑体"/>
          <w:sz w:val="84"/>
          <w:szCs w:val="84"/>
        </w:rPr>
      </w:pPr>
    </w:p>
    <w:p>
      <w:pPr>
        <w:jc w:val="center"/>
        <w:rPr>
          <w:rFonts w:hint="eastAsia" w:ascii="方正小标宋_GBK" w:hAnsi="方正小标宋_GBK"/>
          <w:sz w:val="50"/>
          <w:szCs w:val="50"/>
        </w:rPr>
      </w:pPr>
      <w:r>
        <w:rPr>
          <w:rFonts w:hint="eastAsia" w:ascii="黑体" w:hAnsi="黑体" w:eastAsia="黑体" w:cs="黑体"/>
          <w:sz w:val="84"/>
          <w:szCs w:val="84"/>
        </w:rPr>
        <w:t>202</w:t>
      </w:r>
      <w:bookmarkStart w:id="0" w:name="_GoBack"/>
      <w:bookmarkEnd w:id="0"/>
      <w:r>
        <w:rPr>
          <w:rFonts w:hint="eastAsia" w:ascii="黑体" w:hAnsi="黑体" w:eastAsia="黑体" w:cs="黑体"/>
          <w:sz w:val="84"/>
          <w:szCs w:val="84"/>
        </w:rPr>
        <w:t>0年度</w:t>
      </w:r>
    </w:p>
    <w:p>
      <w:pPr>
        <w:jc w:val="center"/>
        <w:rPr>
          <w:rFonts w:ascii="黑体" w:hAnsi="黑体" w:eastAsia="黑体" w:cs="黑体"/>
          <w:sz w:val="84"/>
          <w:szCs w:val="84"/>
        </w:rPr>
      </w:pPr>
      <w:r>
        <w:rPr>
          <w:rFonts w:hint="eastAsia" w:ascii="黑体" w:hAnsi="黑体" w:eastAsia="黑体" w:cs="黑体"/>
          <w:sz w:val="84"/>
          <w:szCs w:val="84"/>
        </w:rPr>
        <w:t xml:space="preserve">中共衡南县委办公室 </w:t>
      </w:r>
    </w:p>
    <w:p>
      <w:pPr>
        <w:jc w:val="center"/>
        <w:rPr>
          <w:rFonts w:ascii="Times New Roman" w:hAnsi="Times New Roman"/>
          <w:b/>
          <w:bCs/>
          <w:sz w:val="44"/>
          <w:szCs w:val="44"/>
        </w:rPr>
      </w:pPr>
      <w:r>
        <w:rPr>
          <w:rFonts w:hint="eastAsia" w:ascii="黑体" w:hAnsi="黑体" w:eastAsia="黑体" w:cs="黑体"/>
          <w:sz w:val="84"/>
          <w:szCs w:val="84"/>
        </w:rPr>
        <w:t>部门决算</w:t>
      </w:r>
      <w:r>
        <w:rPr>
          <w:rFonts w:ascii="Times New Roman" w:hAnsi="Times New Roman"/>
          <w:b/>
          <w:bCs/>
          <w:sz w:val="44"/>
          <w:szCs w:val="44"/>
        </w:rPr>
        <w:t xml:space="preserve"> </w:t>
      </w:r>
    </w:p>
    <w:p>
      <w:pPr>
        <w:pStyle w:val="15"/>
        <w:spacing w:before="0" w:beforeAutospacing="0"/>
        <w:jc w:val="center"/>
        <w:rPr>
          <w:shd w:val="clear" w:color="auto" w:fill="FFFFFF"/>
        </w:rPr>
      </w:pPr>
      <w:r>
        <w:rPr>
          <w:rFonts w:hint="eastAsia"/>
          <w:shd w:val="clear" w:color="auto" w:fill="FFFFFF"/>
        </w:rPr>
        <w:t xml:space="preserve"> </w:t>
      </w:r>
    </w:p>
    <w:p>
      <w:pPr>
        <w:pStyle w:val="15"/>
        <w:spacing w:before="0" w:beforeAutospacing="0"/>
        <w:jc w:val="center"/>
        <w:rPr>
          <w:shd w:val="clear" w:color="auto" w:fill="FFFFFF"/>
        </w:rPr>
      </w:pPr>
      <w:r>
        <w:rPr>
          <w:rFonts w:hint="eastAsia"/>
          <w:shd w:val="clear" w:color="auto" w:fill="FFFFFF"/>
        </w:rPr>
        <w:t xml:space="preserve"> </w:t>
      </w:r>
    </w:p>
    <w:p>
      <w:pPr>
        <w:pStyle w:val="15"/>
        <w:spacing w:before="0" w:beforeAutospacing="0"/>
        <w:jc w:val="both"/>
        <w:rPr>
          <w:shd w:val="clear" w:color="auto" w:fill="FFFFFF"/>
        </w:rPr>
      </w:pPr>
      <w:r>
        <w:rPr>
          <w:rFonts w:hint="eastAsia"/>
          <w:shd w:val="clear" w:color="auto" w:fill="FFFFFF"/>
        </w:rPr>
        <w:t xml:space="preserve"> </w:t>
      </w:r>
    </w:p>
    <w:p>
      <w:pPr>
        <w:widowControl/>
        <w:rPr>
          <w:sz w:val="24"/>
          <w:szCs w:val="24"/>
          <w:shd w:val="clear" w:color="auto" w:fill="FFFFFF"/>
        </w:rPr>
      </w:pPr>
      <w:r>
        <w:rPr>
          <w:shd w:val="clear" w:color="auto" w:fill="FFFFFF"/>
        </w:rPr>
        <w:br w:type="page"/>
      </w:r>
    </w:p>
    <w:p>
      <w:pPr>
        <w:pStyle w:val="18"/>
        <w:snapToGrid w:val="0"/>
        <w:spacing w:line="360" w:lineRule="auto"/>
        <w:ind w:firstLine="1074" w:firstLineChars="200"/>
        <w:jc w:val="center"/>
        <w:rPr>
          <w:rFonts w:ascii="宋体" w:hAnsi="宋体" w:eastAsia="宋体"/>
          <w:w w:val="96"/>
          <w:sz w:val="56"/>
          <w:szCs w:val="56"/>
        </w:rPr>
      </w:pPr>
      <w:r>
        <w:rPr>
          <w:rFonts w:hint="eastAsia" w:hAnsi="黑体" w:cs="黑体"/>
          <w:w w:val="96"/>
          <w:sz w:val="56"/>
          <w:szCs w:val="56"/>
        </w:rPr>
        <w:t>目录</w:t>
      </w:r>
    </w:p>
    <w:p>
      <w:pPr>
        <w:pStyle w:val="18"/>
        <w:snapToGrid w:val="0"/>
        <w:spacing w:line="360" w:lineRule="auto"/>
        <w:ind w:firstLine="536" w:firstLineChars="200"/>
        <w:rPr>
          <w:rFonts w:ascii="宋体" w:hAnsi="宋体" w:eastAsia="宋体"/>
          <w:b/>
          <w:w w:val="96"/>
          <w:sz w:val="28"/>
          <w:szCs w:val="28"/>
        </w:rPr>
      </w:pPr>
      <w:r>
        <w:rPr>
          <w:rFonts w:hint="eastAsia" w:hAnsi="黑体" w:cs="黑体"/>
          <w:bCs/>
          <w:w w:val="96"/>
          <w:sz w:val="28"/>
          <w:szCs w:val="28"/>
        </w:rPr>
        <w:t>第一部分 中共衡南县委办公室概况</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一、部门职责</w:t>
      </w:r>
    </w:p>
    <w:p>
      <w:pPr>
        <w:pStyle w:val="18"/>
        <w:autoSpaceDE/>
        <w:autoSpaceDN/>
        <w:snapToGrid w:val="0"/>
        <w:spacing w:line="360" w:lineRule="auto"/>
        <w:ind w:firstLine="1072" w:firstLineChars="400"/>
        <w:rPr>
          <w:rFonts w:ascii="宋体" w:hAnsi="宋体" w:eastAsia="宋体"/>
          <w:w w:val="96"/>
          <w:sz w:val="32"/>
          <w:szCs w:val="32"/>
        </w:rPr>
      </w:pPr>
      <w:r>
        <w:rPr>
          <w:rFonts w:hint="eastAsia" w:ascii="宋体" w:hAnsi="宋体" w:eastAsia="宋体"/>
          <w:w w:val="96"/>
          <w:sz w:val="28"/>
          <w:szCs w:val="28"/>
        </w:rPr>
        <w:t>二、机构设置</w:t>
      </w:r>
    </w:p>
    <w:p>
      <w:pPr>
        <w:pStyle w:val="18"/>
        <w:snapToGrid w:val="0"/>
        <w:spacing w:line="360" w:lineRule="auto"/>
        <w:ind w:firstLine="536" w:firstLineChars="200"/>
        <w:rPr>
          <w:rFonts w:hAnsi="黑体" w:cs="黑体"/>
          <w:bCs/>
          <w:w w:val="96"/>
          <w:sz w:val="28"/>
          <w:szCs w:val="28"/>
        </w:rPr>
      </w:pPr>
      <w:r>
        <w:rPr>
          <w:rFonts w:hint="eastAsia" w:hAnsi="黑体" w:cs="黑体"/>
          <w:bCs/>
          <w:w w:val="96"/>
          <w:sz w:val="28"/>
          <w:szCs w:val="28"/>
        </w:rPr>
        <w:t>第二部分2020年度部门决算表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一、收入支出决算总表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二、收入决算表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三、支出决算表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四、财政拨款收入支出决算总表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五、一般公共预算财政拨款支出决算表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六、一般公共预算财政拨款基本支出决算表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七、一般公共预算财政拨款“三公”经费支出决算表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八、政府性基金预算财政拨款收入支出决算表</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九、国有资本经营预算财政拨款支出决算表</w:t>
      </w:r>
    </w:p>
    <w:p>
      <w:pPr>
        <w:pStyle w:val="18"/>
        <w:snapToGrid w:val="0"/>
        <w:spacing w:line="360" w:lineRule="auto"/>
        <w:ind w:firstLine="536" w:firstLineChars="200"/>
        <w:rPr>
          <w:rFonts w:hAnsi="黑体" w:cs="黑体"/>
          <w:bCs/>
          <w:w w:val="96"/>
          <w:sz w:val="28"/>
          <w:szCs w:val="28"/>
        </w:rPr>
      </w:pPr>
      <w:r>
        <w:rPr>
          <w:rFonts w:hint="eastAsia" w:hAnsi="黑体" w:cs="黑体"/>
          <w:bCs/>
          <w:w w:val="96"/>
          <w:sz w:val="28"/>
          <w:szCs w:val="28"/>
        </w:rPr>
        <w:t>第三部分2020年度部门决算情况说明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一、收入支出决算总体情况说明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二、收入决算情况说明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三、支出决算情况说明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四、财政拨款收入支出决算总体情况说明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五、一般公共预算财政拨款支出决算情况说明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六、一般公共预算财政拨款基本支出决算情况说明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七、一般公共预算财政拨款三公经费支出决算情况说明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八、政府性基金预算收入支出决算情况说明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九、国有资本经营预算财政拨款支出决算情况</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十、关于机关运行经费支出说明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十一、一般性支出情况说明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十二、关于政府采购支出说明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十三、关于国有资产占用情况说明</w:t>
      </w:r>
    </w:p>
    <w:p>
      <w:pPr>
        <w:pStyle w:val="18"/>
        <w:autoSpaceDE/>
        <w:autoSpaceDN/>
        <w:snapToGrid w:val="0"/>
        <w:spacing w:line="360" w:lineRule="auto"/>
        <w:ind w:firstLine="1072" w:firstLineChars="400"/>
        <w:rPr>
          <w:rFonts w:ascii="宋体" w:hAnsi="宋体" w:eastAsia="宋体"/>
          <w:w w:val="96"/>
          <w:sz w:val="28"/>
          <w:szCs w:val="28"/>
        </w:rPr>
      </w:pPr>
      <w:r>
        <w:rPr>
          <w:rFonts w:hint="eastAsia" w:ascii="宋体" w:hAnsi="宋体" w:eastAsia="宋体"/>
          <w:w w:val="96"/>
          <w:sz w:val="28"/>
          <w:szCs w:val="28"/>
        </w:rPr>
        <w:t>十四、关于2020年度预算绩效情况说明</w:t>
      </w:r>
    </w:p>
    <w:p>
      <w:pPr>
        <w:adjustRightInd w:val="0"/>
        <w:snapToGrid w:val="0"/>
        <w:spacing w:line="360" w:lineRule="auto"/>
        <w:ind w:firstLine="536" w:firstLineChars="200"/>
        <w:rPr>
          <w:rFonts w:ascii="黑体" w:hAnsi="黑体" w:eastAsia="黑体" w:cs="黑体"/>
          <w:bCs/>
          <w:color w:val="000000"/>
          <w:w w:val="96"/>
          <w:sz w:val="28"/>
          <w:szCs w:val="28"/>
        </w:rPr>
      </w:pPr>
      <w:r>
        <w:rPr>
          <w:rFonts w:hint="eastAsia" w:ascii="黑体" w:hAnsi="黑体" w:eastAsia="黑体" w:cs="黑体"/>
          <w:bCs/>
          <w:color w:val="000000"/>
          <w:w w:val="96"/>
          <w:sz w:val="28"/>
          <w:szCs w:val="28"/>
        </w:rPr>
        <w:t>第四部分名词解释</w:t>
      </w:r>
    </w:p>
    <w:p>
      <w:pPr>
        <w:adjustRightInd w:val="0"/>
        <w:snapToGrid w:val="0"/>
        <w:spacing w:line="360" w:lineRule="auto"/>
        <w:ind w:firstLine="536" w:firstLineChars="200"/>
        <w:rPr>
          <w:rFonts w:ascii="黑体" w:hAnsi="黑体" w:eastAsia="黑体" w:cs="黑体"/>
          <w:bCs/>
          <w:color w:val="000000"/>
          <w:w w:val="96"/>
          <w:sz w:val="28"/>
          <w:szCs w:val="28"/>
        </w:rPr>
      </w:pPr>
      <w:r>
        <w:rPr>
          <w:rFonts w:hint="eastAsia" w:ascii="黑体" w:hAnsi="黑体" w:eastAsia="黑体" w:cs="黑体"/>
          <w:bCs/>
          <w:color w:val="000000"/>
          <w:w w:val="96"/>
          <w:sz w:val="28"/>
          <w:szCs w:val="28"/>
        </w:rPr>
        <w:t>第五部分附件</w:t>
      </w: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pStyle w:val="18"/>
        <w:snapToGrid w:val="0"/>
        <w:spacing w:line="360" w:lineRule="auto"/>
        <w:ind w:firstLine="1074" w:firstLineChars="200"/>
        <w:jc w:val="center"/>
        <w:rPr>
          <w:rFonts w:ascii="宋体" w:hAnsi="宋体" w:eastAsia="宋体"/>
          <w:w w:val="96"/>
          <w:sz w:val="56"/>
          <w:szCs w:val="56"/>
        </w:rPr>
      </w:pPr>
      <w:r>
        <w:rPr>
          <w:rFonts w:hint="eastAsia" w:ascii="宋体" w:hAnsi="宋体" w:eastAsia="宋体"/>
          <w:w w:val="96"/>
          <w:sz w:val="56"/>
          <w:szCs w:val="56"/>
        </w:rPr>
        <w:t xml:space="preserve"> </w:t>
      </w:r>
    </w:p>
    <w:p>
      <w:pPr>
        <w:pStyle w:val="18"/>
        <w:snapToGrid w:val="0"/>
        <w:spacing w:line="360" w:lineRule="auto"/>
        <w:ind w:firstLine="1074" w:firstLineChars="200"/>
        <w:jc w:val="center"/>
        <w:rPr>
          <w:rFonts w:ascii="宋体" w:hAnsi="宋体" w:eastAsia="宋体"/>
          <w:w w:val="96"/>
          <w:sz w:val="56"/>
          <w:szCs w:val="56"/>
        </w:rPr>
      </w:pPr>
    </w:p>
    <w:p>
      <w:pPr>
        <w:pStyle w:val="18"/>
        <w:snapToGrid w:val="0"/>
        <w:spacing w:line="360" w:lineRule="auto"/>
        <w:ind w:firstLine="1074" w:firstLineChars="200"/>
        <w:jc w:val="center"/>
        <w:rPr>
          <w:rFonts w:ascii="宋体" w:hAnsi="宋体" w:eastAsia="宋体"/>
          <w:w w:val="96"/>
          <w:sz w:val="56"/>
          <w:szCs w:val="56"/>
        </w:rPr>
      </w:pPr>
    </w:p>
    <w:p>
      <w:pPr>
        <w:pStyle w:val="18"/>
        <w:snapToGrid w:val="0"/>
        <w:spacing w:line="360" w:lineRule="auto"/>
        <w:ind w:firstLine="1074" w:firstLineChars="200"/>
        <w:jc w:val="center"/>
        <w:rPr>
          <w:rFonts w:ascii="宋体" w:hAnsi="宋体" w:eastAsia="宋体"/>
          <w:w w:val="96"/>
          <w:sz w:val="56"/>
          <w:szCs w:val="56"/>
        </w:rPr>
      </w:pPr>
    </w:p>
    <w:p>
      <w:pPr>
        <w:pStyle w:val="18"/>
        <w:snapToGrid w:val="0"/>
        <w:spacing w:line="360" w:lineRule="auto"/>
        <w:ind w:firstLine="1344" w:firstLineChars="200"/>
        <w:jc w:val="center"/>
        <w:rPr>
          <w:rFonts w:hAnsi="黑体" w:cs="黑体"/>
          <w:w w:val="96"/>
          <w:sz w:val="70"/>
          <w:szCs w:val="70"/>
        </w:rPr>
      </w:pPr>
      <w:r>
        <w:rPr>
          <w:rFonts w:hint="eastAsia" w:hAnsi="黑体" w:cs="黑体"/>
          <w:w w:val="96"/>
          <w:sz w:val="70"/>
          <w:szCs w:val="70"/>
        </w:rPr>
        <w:t>第一部分</w:t>
      </w:r>
    </w:p>
    <w:p>
      <w:pPr>
        <w:pStyle w:val="18"/>
        <w:snapToGrid w:val="0"/>
        <w:spacing w:line="360" w:lineRule="auto"/>
        <w:ind w:firstLine="1344" w:firstLineChars="200"/>
        <w:jc w:val="center"/>
        <w:rPr>
          <w:rFonts w:hAnsi="黑体" w:cs="黑体"/>
          <w:w w:val="96"/>
          <w:sz w:val="70"/>
          <w:szCs w:val="70"/>
        </w:rPr>
      </w:pPr>
      <w:r>
        <w:rPr>
          <w:rFonts w:hint="eastAsia" w:hAnsi="黑体" w:cs="黑体"/>
          <w:w w:val="96"/>
          <w:sz w:val="70"/>
          <w:szCs w:val="70"/>
        </w:rPr>
        <w:t>衡南县委办公室</w:t>
      </w:r>
    </w:p>
    <w:p>
      <w:pPr>
        <w:pStyle w:val="18"/>
        <w:snapToGrid w:val="0"/>
        <w:spacing w:line="360" w:lineRule="auto"/>
        <w:ind w:firstLine="1344" w:firstLineChars="200"/>
        <w:jc w:val="center"/>
        <w:rPr>
          <w:rFonts w:ascii="宋体" w:hAnsi="宋体" w:eastAsia="宋体"/>
          <w:w w:val="96"/>
          <w:sz w:val="56"/>
          <w:szCs w:val="56"/>
        </w:rPr>
      </w:pPr>
      <w:r>
        <w:rPr>
          <w:rFonts w:hint="eastAsia" w:hAnsi="黑体" w:cs="黑体"/>
          <w:w w:val="96"/>
          <w:sz w:val="70"/>
          <w:szCs w:val="70"/>
        </w:rPr>
        <w:t>概 况</w:t>
      </w:r>
    </w:p>
    <w:p>
      <w:pPr>
        <w:spacing w:line="560" w:lineRule="exact"/>
        <w:rPr>
          <w:rFonts w:ascii="仿宋_GB2312"/>
          <w:sz w:val="30"/>
          <w:szCs w:val="30"/>
        </w:rPr>
      </w:pPr>
    </w:p>
    <w:p>
      <w:pPr>
        <w:spacing w:before="2400" w:beforeLines="1000" w:after="1440" w:afterLines="600" w:line="400" w:lineRule="exact"/>
        <w:jc w:val="center"/>
        <w:rPr>
          <w:rFonts w:ascii="黑体" w:hAnsi="黑体" w:eastAsia="黑体"/>
          <w:sz w:val="70"/>
          <w:szCs w:val="70"/>
        </w:rPr>
      </w:pPr>
      <w:r>
        <w:rPr>
          <w:rFonts w:hint="eastAsia" w:ascii="黑体" w:hAnsi="黑体" w:eastAsia="黑体"/>
          <w:sz w:val="70"/>
          <w:szCs w:val="70"/>
        </w:rPr>
        <w:t xml:space="preserve"> </w:t>
      </w:r>
    </w:p>
    <w:p>
      <w:pPr>
        <w:spacing w:line="570" w:lineRule="exact"/>
        <w:ind w:firstLine="640"/>
        <w:rPr>
          <w:rFonts w:ascii="Calibri" w:hAnsi="Calibri" w:eastAsia="Times New Roman"/>
          <w:sz w:val="32"/>
          <w:szCs w:val="32"/>
        </w:rPr>
      </w:pPr>
      <w:r>
        <w:rPr>
          <w:rFonts w:hint="eastAsia" w:ascii="黑体" w:hAnsi="黑体" w:eastAsia="黑体"/>
          <w:sz w:val="32"/>
          <w:szCs w:val="32"/>
        </w:rPr>
        <w:t>一、部门基本情况</w:t>
      </w:r>
    </w:p>
    <w:p>
      <w:pPr>
        <w:spacing w:line="570" w:lineRule="exact"/>
        <w:ind w:firstLine="643"/>
        <w:rPr>
          <w:rFonts w:eastAsia="Times New Roman"/>
          <w:b/>
          <w:bCs/>
          <w:sz w:val="32"/>
          <w:szCs w:val="32"/>
        </w:rPr>
      </w:pPr>
      <w:r>
        <w:rPr>
          <w:rFonts w:ascii="楷体_GB2312" w:hAnsi="楷体_GB2312"/>
          <w:b/>
          <w:bCs/>
          <w:sz w:val="32"/>
          <w:szCs w:val="32"/>
        </w:rPr>
        <w:t>（一）主要职责。</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1.负责县委会议的准备和组织协调工作，统筹协调县委领导同志公务活动，办理县委领导同志交办的事项。</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2.围绕县委工作部署，对涉及全县经济建设、社会发展、党的自身建设等全局性的重大问题进行调查研究，为县委科学决策提出建议、预案和依据。</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3.负责县委文件和县委领导同志文稿的起草、校核、印发工作，负责文书处理工作；负责中央文件和党政军领导机关机要件的传递工作。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4.负责党内规范性文件的审核、报送、备案、清理，协调县委法律顾问服务相关工作。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5.研究、审核县委各部门、县直单位、乡镇党委（党组）向县委的请示、报告，提出处理意见报县委领导同志审批。</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6.负责以县委名义向市委请示报告工作的归口和把关，负责统筹、指导、督促全县党组织重大事项报告工作。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7.负责向中央、省委、市委、县委报送信息，反映有关动态；负责全县办公室系统的业务指导。</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8.负责中央、省委、市委、县委重大方针政策、重要工作部署和领导同志重要批示、批件（含重点交办事项）贯彻落实情况的督促检查工作；组织督办人大代表有关建议、政协委员有关提案；负责县委领导民情调查的服务和全县民情调查工作的组织指导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9.负责县委及县委各部门、县直单位年度督查检查考核划的归口审核和全县性年度督查检查考核计划的统一报批、监督实施。</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10.承担县绩效评估委员会办公室的日常工作，组织、协调、指导全县绩效评估工作。</w:t>
      </w:r>
    </w:p>
    <w:p>
      <w:pPr>
        <w:spacing w:line="570" w:lineRule="exact"/>
        <w:ind w:firstLine="640" w:firstLineChars="200"/>
        <w:rPr>
          <w:rFonts w:ascii="仿宋" w:hAnsi="仿宋" w:eastAsia="仿宋"/>
          <w:spacing w:val="-11"/>
          <w:sz w:val="32"/>
          <w:szCs w:val="32"/>
        </w:rPr>
      </w:pPr>
      <w:r>
        <w:rPr>
          <w:rFonts w:hint="eastAsia" w:ascii="仿宋" w:hAnsi="仿宋" w:eastAsia="仿宋"/>
          <w:sz w:val="32"/>
          <w:szCs w:val="32"/>
        </w:rPr>
        <w:t>11.负责编制、实施全县外事、港澳工作发展规划;负责重要外宾、重要港澳同胞的来访接待;负责全县涉外涉港澳活动的组织管理、联络协调，涉外涉港澳事件的处理工作;负责县级领导因公</w:t>
      </w:r>
      <w:r>
        <w:rPr>
          <w:rFonts w:hint="eastAsia" w:ascii="仿宋" w:hAnsi="仿宋" w:eastAsia="仿宋"/>
          <w:spacing w:val="-11"/>
          <w:sz w:val="32"/>
          <w:szCs w:val="32"/>
        </w:rPr>
        <w:t>组团出访、外事接待相关事项:审核全县因公出国、赴港澳等有关工作。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12.负责全县对台联络、经贸、交流、重宾接待、宣传教育的组织、指导、协调、检查、督促，审核全县因公赴台事项、负责涉台事件处理等工作。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13.负责中央、省委省政府、市委市政府等领导同志来衡南县视察期间的政务活动统筹安排与协调。</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14.负责全县档案事业的发展规划、组织协调；负责全县档案工作的监督和指导；负责全县档案法规的宣传教育以及依法查处档案违法行为。</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15.负责县委值班工作，及时向县委领导同志报告重要情况，协助处理县直机关单位和乡镇向县委反映的重要问题。</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16.负责贯彻执行保密工作的方针政策和法律法规，指导、协调党、政、军、人民团体机关、大中专院校及企事业单位的保密工作，负责监督、检查《</w:t>
      </w:r>
      <w:r>
        <w:rPr>
          <w:rFonts w:hint="eastAsia" w:ascii="仿宋" w:hAnsi="仿宋" w:eastAsia="仿宋"/>
          <w:sz w:val="32"/>
          <w:szCs w:val="32"/>
          <w:lang w:eastAsia="zh-CN"/>
        </w:rPr>
        <w:t>中华人民共和国保守国家秘密法</w:t>
      </w:r>
      <w:r>
        <w:rPr>
          <w:rFonts w:hint="eastAsia" w:ascii="仿宋" w:hAnsi="仿宋" w:eastAsia="仿宋"/>
          <w:sz w:val="32"/>
          <w:szCs w:val="32"/>
        </w:rPr>
        <w:t>》及其他</w:t>
      </w:r>
      <w:r>
        <w:rPr>
          <w:rFonts w:hint="eastAsia" w:ascii="仿宋" w:hAnsi="仿宋" w:eastAsia="仿宋"/>
          <w:sz w:val="32"/>
          <w:szCs w:val="32"/>
          <w:lang w:eastAsia="zh-CN"/>
        </w:rPr>
        <w:t>中华人民共和国保守国家秘密法</w:t>
      </w:r>
      <w:r>
        <w:rPr>
          <w:rFonts w:hint="eastAsia" w:ascii="仿宋" w:hAnsi="仿宋" w:eastAsia="仿宋"/>
          <w:sz w:val="32"/>
          <w:szCs w:val="32"/>
        </w:rPr>
        <w:t>律法规、规章制度在全县的贯彻实施、宣传教育、指导协调、监督管理和失泄密案件查处工作；制订全县保密工作年度计划，并负责督促落实；向县委、县政府和上级保密工作部门报告全县保密工作情况，提出改进和加强保密工作的意见建议；依法履行保密行政管理职能；负责组织、指导经常性的保密宣传教育工作；组织全县保密干部业务培训，开展保密工作调查研究；参与制订全县重大活动、重要会议、重要项目的保密工作预案，协同有关部门做好专项保密工作；组织、参与泄密事件的查处工作，督促有关单位对泄露和可能泄露的国家秘密事项采取补教措施；依法开展保密检查，加强对全县党政机关保密要害部门部位的管理；办理县委、县政府交办的保密工作事项，处理县委保密委员会的日常工作。</w:t>
      </w:r>
    </w:p>
    <w:p>
      <w:pPr>
        <w:spacing w:line="570" w:lineRule="exact"/>
        <w:ind w:firstLine="640" w:firstLineChars="200"/>
        <w:rPr>
          <w:rFonts w:ascii="仿宋" w:hAnsi="仿宋" w:eastAsia="仿宋"/>
          <w:sz w:val="32"/>
          <w:szCs w:val="32"/>
        </w:rPr>
      </w:pPr>
      <w:r>
        <w:rPr>
          <w:rFonts w:hint="eastAsia" w:ascii="仿宋" w:hAnsi="仿宋" w:eastAsia="仿宋"/>
          <w:sz w:val="32"/>
          <w:szCs w:val="32"/>
        </w:rPr>
        <w:t>17.完成县委和县委领导同志交办的其他任务。</w:t>
      </w:r>
    </w:p>
    <w:p>
      <w:pPr>
        <w:snapToGrid w:val="0"/>
        <w:spacing w:line="600" w:lineRule="exact"/>
        <w:ind w:firstLine="600" w:firstLineChars="200"/>
        <w:rPr>
          <w:rFonts w:hint="eastAsia" w:ascii="方正黑体_GBK" w:hAnsi="方正黑体_GBK"/>
          <w:sz w:val="34"/>
          <w:szCs w:val="34"/>
        </w:rPr>
      </w:pPr>
      <w:r>
        <w:rPr>
          <w:rFonts w:hint="eastAsia" w:ascii="黑体" w:hAnsi="黑体" w:eastAsia="黑体"/>
          <w:sz w:val="30"/>
          <w:szCs w:val="30"/>
        </w:rPr>
        <w:t>二、机构设置及决算单位构成</w:t>
      </w:r>
    </w:p>
    <w:p>
      <w:pPr>
        <w:snapToGrid w:val="0"/>
        <w:spacing w:line="600" w:lineRule="exact"/>
        <w:ind w:firstLine="600" w:firstLineChars="200"/>
        <w:rPr>
          <w:rFonts w:ascii="黑体" w:hAnsi="黑体" w:eastAsia="黑体"/>
          <w:sz w:val="30"/>
          <w:szCs w:val="30"/>
        </w:rPr>
      </w:pPr>
      <w:r>
        <w:rPr>
          <w:rFonts w:hint="eastAsia" w:ascii="黑体" w:hAnsi="黑体" w:eastAsia="黑体"/>
          <w:sz w:val="30"/>
          <w:szCs w:val="30"/>
        </w:rPr>
        <w:t>（一）内设机构设置</w:t>
      </w:r>
    </w:p>
    <w:p>
      <w:pPr>
        <w:spacing w:line="570" w:lineRule="exact"/>
        <w:ind w:firstLine="640" w:firstLineChars="200"/>
        <w:rPr>
          <w:rFonts w:ascii="仿宋" w:hAnsi="仿宋" w:eastAsia="仿宋"/>
          <w:spacing w:val="-6"/>
          <w:sz w:val="32"/>
          <w:szCs w:val="32"/>
        </w:rPr>
      </w:pPr>
      <w:r>
        <w:rPr>
          <w:rFonts w:hint="eastAsia" w:ascii="仿宋" w:hAnsi="仿宋" w:eastAsia="仿宋"/>
          <w:sz w:val="32"/>
          <w:szCs w:val="32"/>
        </w:rPr>
        <w:t>2020年县委办公室</w:t>
      </w:r>
      <w:r>
        <w:rPr>
          <w:rFonts w:hint="eastAsia" w:ascii="仿宋" w:hAnsi="仿宋" w:eastAsia="仿宋"/>
          <w:sz w:val="30"/>
          <w:szCs w:val="30"/>
        </w:rPr>
        <w:t>设内设组室11个：</w:t>
      </w:r>
      <w:r>
        <w:rPr>
          <w:rFonts w:hint="eastAsia" w:ascii="仿宋" w:hAnsi="仿宋" w:eastAsia="仿宋"/>
          <w:sz w:val="32"/>
          <w:szCs w:val="32"/>
        </w:rPr>
        <w:t>秘书组、常委办、综合信息组、督查室（对外称中共衡南县委督查室）、机要保密室、组织人事组、行政后勤组、</w:t>
      </w:r>
      <w:r>
        <w:rPr>
          <w:rFonts w:hint="eastAsia" w:ascii="仿宋" w:hAnsi="仿宋" w:eastAsia="仿宋"/>
          <w:spacing w:val="-6"/>
          <w:sz w:val="32"/>
          <w:szCs w:val="32"/>
        </w:rPr>
        <w:t>机关党建指导组、港澳台事务组、外事组、</w:t>
      </w:r>
      <w:r>
        <w:rPr>
          <w:rFonts w:hint="eastAsia" w:ascii="仿宋" w:hAnsi="仿宋" w:eastAsia="仿宋"/>
          <w:sz w:val="32"/>
          <w:szCs w:val="32"/>
        </w:rPr>
        <w:t>档</w:t>
      </w:r>
      <w:r>
        <w:rPr>
          <w:rFonts w:hint="eastAsia" w:ascii="仿宋" w:hAnsi="仿宋" w:eastAsia="仿宋"/>
          <w:spacing w:val="-6"/>
          <w:sz w:val="32"/>
          <w:szCs w:val="32"/>
        </w:rPr>
        <w:t>案行政管理室。</w:t>
      </w:r>
    </w:p>
    <w:p>
      <w:pPr>
        <w:snapToGrid w:val="0"/>
        <w:spacing w:line="600" w:lineRule="exact"/>
        <w:ind w:firstLine="600" w:firstLineChars="200"/>
        <w:rPr>
          <w:rFonts w:ascii="黑体" w:hAnsi="黑体" w:eastAsia="黑体"/>
          <w:sz w:val="30"/>
          <w:szCs w:val="30"/>
        </w:rPr>
      </w:pPr>
      <w:r>
        <w:rPr>
          <w:rFonts w:hint="eastAsia" w:ascii="黑体" w:hAnsi="黑体" w:eastAsia="黑体"/>
          <w:sz w:val="30"/>
          <w:szCs w:val="30"/>
        </w:rPr>
        <w:t>（二）决算单位构成</w:t>
      </w:r>
    </w:p>
    <w:p>
      <w:pPr>
        <w:spacing w:line="580" w:lineRule="exact"/>
        <w:ind w:firstLine="616" w:firstLineChars="200"/>
        <w:rPr>
          <w:rFonts w:ascii="仿宋" w:hAnsi="仿宋" w:eastAsia="仿宋"/>
          <w:spacing w:val="-6"/>
          <w:sz w:val="32"/>
          <w:szCs w:val="32"/>
        </w:rPr>
      </w:pPr>
      <w:r>
        <w:rPr>
          <w:rFonts w:hint="eastAsia" w:ascii="仿宋" w:hAnsi="仿宋" w:eastAsia="仿宋"/>
          <w:spacing w:val="-6"/>
          <w:sz w:val="32"/>
          <w:szCs w:val="32"/>
        </w:rPr>
        <w:t>2020年部门决算汇总公开单位构成包括：县委办公室本级、</w:t>
      </w:r>
      <w:r>
        <w:rPr>
          <w:rFonts w:hint="eastAsia" w:ascii="仿宋" w:hAnsi="仿宋" w:eastAsia="仿宋"/>
          <w:sz w:val="30"/>
          <w:szCs w:val="30"/>
        </w:rPr>
        <w:t>县委研究中心</w:t>
      </w:r>
    </w:p>
    <w:p>
      <w:pPr>
        <w:spacing w:line="580" w:lineRule="exact"/>
        <w:ind w:firstLine="600" w:firstLineChars="200"/>
        <w:rPr>
          <w:rFonts w:ascii="仿宋" w:hAnsi="仿宋" w:eastAsia="仿宋"/>
          <w:sz w:val="30"/>
          <w:szCs w:val="30"/>
        </w:rPr>
      </w:pPr>
      <w:r>
        <w:rPr>
          <w:rFonts w:hint="eastAsia" w:ascii="仿宋" w:hAnsi="仿宋" w:eastAsia="仿宋"/>
          <w:sz w:val="30"/>
          <w:szCs w:val="30"/>
        </w:rPr>
        <w:t xml:space="preserve"> </w:t>
      </w:r>
    </w:p>
    <w:p>
      <w:pPr>
        <w:widowControl/>
        <w:autoSpaceDE/>
        <w:autoSpaceDN/>
        <w:rPr>
          <w:rFonts w:ascii="仿宋" w:hAnsi="仿宋" w:eastAsia="仿宋"/>
          <w:sz w:val="30"/>
          <w:szCs w:val="30"/>
        </w:rPr>
      </w:pPr>
    </w:p>
    <w:p>
      <w:pPr>
        <w:spacing w:line="580" w:lineRule="exact"/>
        <w:ind w:firstLine="600" w:firstLineChars="200"/>
        <w:rPr>
          <w:rFonts w:ascii="仿宋" w:hAnsi="仿宋" w:eastAsia="仿宋"/>
          <w:sz w:val="30"/>
          <w:szCs w:val="30"/>
        </w:rPr>
      </w:pPr>
    </w:p>
    <w:p>
      <w:pPr>
        <w:spacing w:line="580" w:lineRule="exact"/>
        <w:ind w:firstLine="600" w:firstLineChars="200"/>
        <w:rPr>
          <w:rFonts w:ascii="仿宋" w:hAnsi="仿宋" w:eastAsia="仿宋"/>
          <w:sz w:val="30"/>
          <w:szCs w:val="30"/>
        </w:rPr>
      </w:pPr>
    </w:p>
    <w:p>
      <w:pPr>
        <w:adjustRightInd w:val="0"/>
        <w:snapToGrid w:val="0"/>
        <w:spacing w:line="360" w:lineRule="auto"/>
        <w:ind w:firstLine="1344" w:firstLineChars="200"/>
        <w:jc w:val="center"/>
        <w:rPr>
          <w:rFonts w:ascii="黑体" w:hAnsi="黑体" w:eastAsia="黑体" w:cs="黑体"/>
          <w:w w:val="96"/>
          <w:sz w:val="70"/>
          <w:szCs w:val="70"/>
        </w:rPr>
      </w:pPr>
    </w:p>
    <w:p>
      <w:pPr>
        <w:adjustRightInd w:val="0"/>
        <w:snapToGrid w:val="0"/>
        <w:spacing w:line="360" w:lineRule="auto"/>
        <w:ind w:firstLine="1344" w:firstLineChars="200"/>
        <w:jc w:val="center"/>
        <w:rPr>
          <w:rFonts w:ascii="黑体" w:hAnsi="黑体" w:eastAsia="黑体" w:cs="黑体"/>
          <w:w w:val="96"/>
          <w:sz w:val="70"/>
          <w:szCs w:val="70"/>
        </w:rPr>
      </w:pPr>
    </w:p>
    <w:p>
      <w:pPr>
        <w:adjustRightInd w:val="0"/>
        <w:snapToGrid w:val="0"/>
        <w:spacing w:line="360" w:lineRule="auto"/>
        <w:ind w:firstLine="1344" w:firstLineChars="200"/>
        <w:jc w:val="center"/>
        <w:rPr>
          <w:rFonts w:ascii="黑体" w:hAnsi="黑体" w:eastAsia="黑体" w:cs="黑体"/>
          <w:w w:val="96"/>
          <w:sz w:val="70"/>
          <w:szCs w:val="70"/>
        </w:rPr>
      </w:pPr>
    </w:p>
    <w:p>
      <w:pPr>
        <w:adjustRightInd w:val="0"/>
        <w:snapToGrid w:val="0"/>
        <w:spacing w:line="360" w:lineRule="auto"/>
        <w:ind w:firstLine="1344" w:firstLineChars="200"/>
        <w:jc w:val="center"/>
        <w:rPr>
          <w:rFonts w:ascii="黑体" w:hAnsi="黑体" w:eastAsia="黑体" w:cs="黑体"/>
          <w:w w:val="96"/>
          <w:sz w:val="70"/>
          <w:szCs w:val="70"/>
        </w:rPr>
      </w:pPr>
      <w:r>
        <w:rPr>
          <w:rFonts w:hint="eastAsia" w:ascii="黑体" w:hAnsi="黑体" w:eastAsia="黑体" w:cs="黑体"/>
          <w:w w:val="96"/>
          <w:sz w:val="70"/>
          <w:szCs w:val="70"/>
        </w:rPr>
        <w:t>第二部分</w:t>
      </w:r>
    </w:p>
    <w:p>
      <w:pPr>
        <w:adjustRightInd w:val="0"/>
        <w:snapToGrid w:val="0"/>
        <w:spacing w:line="360" w:lineRule="auto"/>
        <w:ind w:firstLine="1344" w:firstLineChars="200"/>
        <w:jc w:val="center"/>
        <w:rPr>
          <w:rFonts w:ascii="黑体" w:hAnsi="黑体" w:eastAsia="黑体" w:cs="黑体"/>
          <w:w w:val="96"/>
          <w:sz w:val="70"/>
          <w:szCs w:val="70"/>
        </w:rPr>
      </w:pPr>
      <w:r>
        <w:rPr>
          <w:rFonts w:hint="eastAsia" w:ascii="黑体" w:hAnsi="黑体" w:eastAsia="黑体" w:cs="黑体"/>
          <w:w w:val="96"/>
          <w:sz w:val="70"/>
          <w:szCs w:val="70"/>
        </w:rPr>
        <w:t>部门决算表</w:t>
      </w:r>
    </w:p>
    <w:p>
      <w:pPr>
        <w:adjustRightInd w:val="0"/>
        <w:snapToGrid w:val="0"/>
        <w:spacing w:line="360" w:lineRule="auto"/>
        <w:ind w:firstLine="690" w:firstLineChars="200"/>
        <w:jc w:val="center"/>
        <w:rPr>
          <w:w w:val="96"/>
          <w:sz w:val="36"/>
          <w:szCs w:val="36"/>
        </w:rPr>
      </w:pPr>
      <w:r>
        <w:rPr>
          <w:rFonts w:hint="eastAsia"/>
          <w:w w:val="96"/>
          <w:sz w:val="36"/>
          <w:szCs w:val="36"/>
          <w:lang w:val="en-US"/>
        </w:rPr>
        <w:t xml:space="preserve">      </w:t>
      </w:r>
      <w:r>
        <w:rPr>
          <w:rFonts w:hint="eastAsia"/>
          <w:w w:val="96"/>
          <w:sz w:val="36"/>
          <w:szCs w:val="36"/>
        </w:rPr>
        <w:t>(部门决算公示表附后)</w:t>
      </w:r>
    </w:p>
    <w:p>
      <w:pPr>
        <w:spacing w:line="580" w:lineRule="exact"/>
        <w:ind w:firstLine="600" w:firstLineChars="200"/>
        <w:rPr>
          <w:rFonts w:ascii="仿宋" w:hAnsi="仿宋" w:eastAsia="仿宋"/>
          <w:sz w:val="30"/>
          <w:szCs w:val="30"/>
        </w:rPr>
      </w:pPr>
    </w:p>
    <w:p>
      <w:pPr>
        <w:spacing w:line="560" w:lineRule="exact"/>
        <w:jc w:val="both"/>
        <w:rPr>
          <w:rFonts w:ascii="黑体" w:hAnsi="黑体" w:eastAsia="黑体" w:cs="黑体"/>
          <w:sz w:val="70"/>
          <w:szCs w:val="70"/>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pStyle w:val="18"/>
        <w:snapToGrid w:val="0"/>
        <w:spacing w:line="360" w:lineRule="auto"/>
        <w:jc w:val="center"/>
        <w:rPr>
          <w:rFonts w:hAnsi="黑体" w:cs="黑体"/>
          <w:w w:val="96"/>
          <w:sz w:val="70"/>
          <w:szCs w:val="70"/>
        </w:rPr>
      </w:pPr>
    </w:p>
    <w:p>
      <w:pPr>
        <w:pStyle w:val="18"/>
        <w:snapToGrid w:val="0"/>
        <w:spacing w:line="360" w:lineRule="auto"/>
        <w:jc w:val="center"/>
        <w:rPr>
          <w:rFonts w:hAnsi="黑体" w:cs="黑体"/>
          <w:w w:val="96"/>
          <w:sz w:val="70"/>
          <w:szCs w:val="70"/>
        </w:rPr>
      </w:pPr>
    </w:p>
    <w:p>
      <w:pPr>
        <w:pStyle w:val="18"/>
        <w:snapToGrid w:val="0"/>
        <w:spacing w:line="360" w:lineRule="auto"/>
        <w:jc w:val="center"/>
        <w:rPr>
          <w:rFonts w:hAnsi="黑体" w:cs="黑体"/>
          <w:w w:val="96"/>
          <w:sz w:val="70"/>
          <w:szCs w:val="70"/>
        </w:rPr>
      </w:pPr>
    </w:p>
    <w:p>
      <w:pPr>
        <w:pStyle w:val="18"/>
        <w:snapToGrid w:val="0"/>
        <w:spacing w:line="360" w:lineRule="auto"/>
        <w:jc w:val="center"/>
        <w:rPr>
          <w:rFonts w:hAnsi="黑体" w:cs="黑体"/>
          <w:w w:val="96"/>
          <w:sz w:val="70"/>
          <w:szCs w:val="70"/>
        </w:rPr>
      </w:pPr>
      <w:r>
        <w:rPr>
          <w:rFonts w:hint="eastAsia" w:hAnsi="黑体" w:cs="黑体"/>
          <w:w w:val="96"/>
          <w:sz w:val="70"/>
          <w:szCs w:val="70"/>
        </w:rPr>
        <w:t>第三部分</w:t>
      </w:r>
    </w:p>
    <w:p>
      <w:pPr>
        <w:pStyle w:val="18"/>
        <w:snapToGrid w:val="0"/>
        <w:spacing w:line="360" w:lineRule="auto"/>
        <w:jc w:val="center"/>
        <w:rPr>
          <w:rFonts w:hAnsi="黑体" w:cs="黑体"/>
          <w:w w:val="96"/>
          <w:sz w:val="70"/>
          <w:szCs w:val="70"/>
        </w:rPr>
      </w:pPr>
      <w:r>
        <w:rPr>
          <w:rFonts w:hint="eastAsia" w:hAnsi="黑体" w:cs="黑体"/>
          <w:w w:val="96"/>
          <w:sz w:val="70"/>
          <w:szCs w:val="70"/>
        </w:rPr>
        <w:t>2020年度部门决算情况说明</w:t>
      </w: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6"/>
          <w:szCs w:val="36"/>
        </w:rPr>
      </w:pPr>
    </w:p>
    <w:p>
      <w:pPr>
        <w:spacing w:line="560" w:lineRule="exact"/>
        <w:jc w:val="center"/>
        <w:rPr>
          <w:rFonts w:ascii="黑体" w:hAnsi="黑体" w:eastAsia="黑体"/>
          <w:sz w:val="32"/>
          <w:szCs w:val="32"/>
        </w:rPr>
      </w:pPr>
      <w:r>
        <w:rPr>
          <w:rFonts w:hint="eastAsia" w:ascii="黑体" w:hAnsi="黑体" w:eastAsia="黑体"/>
          <w:sz w:val="32"/>
          <w:szCs w:val="32"/>
        </w:rPr>
        <w:t xml:space="preserve"> </w:t>
      </w:r>
    </w:p>
    <w:p>
      <w:pPr>
        <w:spacing w:line="580" w:lineRule="exact"/>
        <w:ind w:left="600"/>
        <w:jc w:val="both"/>
        <w:rPr>
          <w:rFonts w:ascii="黑体" w:hAnsi="黑体" w:eastAsia="黑体"/>
          <w:sz w:val="32"/>
          <w:szCs w:val="32"/>
        </w:rPr>
      </w:pPr>
    </w:p>
    <w:p>
      <w:pPr>
        <w:spacing w:line="580" w:lineRule="exact"/>
        <w:ind w:left="600"/>
        <w:jc w:val="both"/>
        <w:rPr>
          <w:rFonts w:ascii="黑体" w:hAnsi="黑体" w:eastAsia="黑体"/>
          <w:sz w:val="32"/>
          <w:szCs w:val="32"/>
        </w:rPr>
      </w:pPr>
    </w:p>
    <w:p>
      <w:pPr>
        <w:spacing w:line="580" w:lineRule="exact"/>
        <w:ind w:left="600"/>
        <w:jc w:val="both"/>
        <w:rPr>
          <w:rFonts w:ascii="黑体" w:hAnsi="黑体" w:eastAsia="黑体"/>
          <w:sz w:val="32"/>
          <w:szCs w:val="32"/>
        </w:rPr>
      </w:pPr>
      <w:r>
        <w:rPr>
          <w:rFonts w:hint="eastAsia" w:ascii="黑体" w:hAnsi="黑体" w:eastAsia="黑体"/>
          <w:sz w:val="32"/>
          <w:szCs w:val="32"/>
        </w:rPr>
        <w:t>一、收入支出决算总体情况说明</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度收入总计1835.05万元，较上年决算数增加247.66万元，增长15.6 %。主要原因为：其中：一般公共预算财政拨款收入完成1829.05万元，比上年增长241.66万元，增长13.18%，变化的主要原因是增加了小康社会进步推进考核工作奖励经费、绩效评估先进乡镇奖金及考核工作奖金等；政府性基金财政拨款收入完成6万元，比上年增长6万元，变化的主要原因是增加了疫情防控资金，保障应急物资；上级补助收入完成0万元，事业收入完成0万元，经营收入完成0万元，附属单位上缴收入完成0万元，其他收入完成0万元。</w:t>
      </w:r>
    </w:p>
    <w:p>
      <w:pPr>
        <w:spacing w:line="580" w:lineRule="exact"/>
        <w:ind w:firstLine="640" w:firstLineChars="200"/>
        <w:jc w:val="both"/>
        <w:rPr>
          <w:rFonts w:hint="eastAsia" w:ascii="仿宋" w:hAnsi="仿宋" w:eastAsia="仿宋"/>
          <w:sz w:val="32"/>
          <w:szCs w:val="32"/>
        </w:rPr>
      </w:pPr>
      <w:r>
        <w:rPr>
          <w:rFonts w:hint="eastAsia" w:ascii="仿宋" w:hAnsi="仿宋" w:eastAsia="仿宋"/>
          <w:sz w:val="32"/>
          <w:szCs w:val="32"/>
        </w:rPr>
        <w:t>2020年，本部门支出1861.16万元，比上年增加290.05万元，增长18.46%；其中：一般公共服务支出1695.43万元，社会保障就业支出113.62万元，卫生健康支出22.18万元，住房保障支出23.93万元，抗疫特别国债安排支出6万。增长主要原因是：1、县台办机构改革，并入我单位下属单位，人员增加，经费增加。2、庆祝新中国成立7</w:t>
      </w:r>
      <w:r>
        <w:rPr>
          <w:rFonts w:ascii="仿宋" w:hAnsi="仿宋" w:eastAsia="仿宋"/>
          <w:sz w:val="32"/>
          <w:szCs w:val="32"/>
        </w:rPr>
        <w:t>0周年增加项目经费</w:t>
      </w:r>
      <w:r>
        <w:rPr>
          <w:rFonts w:hint="eastAsia" w:ascii="仿宋" w:hAnsi="仿宋" w:eastAsia="仿宋"/>
          <w:sz w:val="32"/>
          <w:szCs w:val="32"/>
        </w:rPr>
        <w:t>。</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rPr>
        <w:t>二、收入决算情况说明</w:t>
      </w:r>
    </w:p>
    <w:p>
      <w:pPr>
        <w:spacing w:line="580" w:lineRule="exact"/>
        <w:ind w:firstLine="616" w:firstLineChars="200"/>
        <w:jc w:val="both"/>
        <w:rPr>
          <w:rFonts w:ascii="仿宋" w:hAnsi="仿宋" w:eastAsia="仿宋"/>
          <w:spacing w:val="-6"/>
          <w:sz w:val="32"/>
          <w:szCs w:val="32"/>
        </w:rPr>
      </w:pPr>
      <w:r>
        <w:rPr>
          <w:rFonts w:hint="eastAsia" w:ascii="仿宋" w:hAnsi="仿宋" w:eastAsia="仿宋"/>
          <w:spacing w:val="-6"/>
          <w:sz w:val="32"/>
          <w:szCs w:val="32"/>
        </w:rPr>
        <w:t>2020年收入合计1835.05万元，较上年决算数增加247.66万元，增长13.49%，本年收入决算全部为财政拨款收入1835.05万元。</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rPr>
        <w:t>三、支出决算情况说明</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支出合计1861.16万元，较上年决算数增加290.05万元，增长18.46%。本年支出按支出性质和经济分类基本支出874.33万元，占总支出的46.98%，项目支出986.83万元，占总支出的53.02%。本年支出按功能分类各项构成及占比情况如下：</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（一）一般公共服务支出1695.43万元，占本年总支出的91.09%。</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（二）社会保障和就业支出113.62万元，占本年总支出的 6.1%。</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（三）卫生健康支出22.18万元，占本年支出合计的1.19%。</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（四）住房保障支出23.93万元，占本年总支出的1.29%。</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（五）抗疫特别国债安排支出6万元，占本年总支出的0.33%。</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rPr>
        <w:t>四、财政拨款收入支出决算总体情况说明</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度财政拨款收入、支出总计3696.21万元。较上年决算数3158.5增加537.71万元，增长17.02%。主要是因为增加了小康社会进步推进考核工作奖励经费、市目标管理绩效考核奖励经费，2018年县内绩效评估先进乡镇奖金及考核工作奖金；疫情防控资金和新中国成立70周年活动经费等。</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rPr>
        <w:t>五、一般公共预算财政拨款支出决算情况说明</w:t>
      </w:r>
    </w:p>
    <w:p>
      <w:pPr>
        <w:spacing w:line="580" w:lineRule="exact"/>
        <w:ind w:firstLine="643" w:firstLineChars="200"/>
        <w:jc w:val="both"/>
        <w:rPr>
          <w:rFonts w:ascii="楷体" w:hAnsi="楷体" w:eastAsia="楷体"/>
          <w:b/>
          <w:color w:val="000000"/>
          <w:sz w:val="32"/>
          <w:szCs w:val="32"/>
          <w:lang w:val="en-US" w:bidi="ar-SA"/>
        </w:rPr>
      </w:pPr>
      <w:r>
        <w:rPr>
          <w:rFonts w:hint="eastAsia" w:ascii="楷体" w:hAnsi="楷体" w:eastAsia="楷体"/>
          <w:b/>
          <w:color w:val="000000"/>
          <w:sz w:val="32"/>
          <w:szCs w:val="32"/>
          <w:lang w:val="en-US" w:bidi="ar-SA"/>
        </w:rPr>
        <w:t>（一）财政拨款支出决算总体情况。</w:t>
      </w:r>
    </w:p>
    <w:p>
      <w:pPr>
        <w:spacing w:line="580" w:lineRule="exact"/>
        <w:ind w:firstLine="640" w:firstLineChars="200"/>
        <w:jc w:val="both"/>
        <w:rPr>
          <w:rFonts w:ascii="仿宋" w:hAnsi="仿宋" w:eastAsia="仿宋" w:cs="Times New Roman"/>
          <w:kern w:val="2"/>
          <w:sz w:val="32"/>
          <w:szCs w:val="32"/>
        </w:rPr>
      </w:pPr>
      <w:r>
        <w:rPr>
          <w:rFonts w:hint="eastAsia" w:ascii="仿宋" w:hAnsi="仿宋" w:eastAsia="仿宋"/>
          <w:sz w:val="32"/>
          <w:szCs w:val="32"/>
        </w:rPr>
        <w:t>2020年度财政拨款支出1855.16万元，全部是财政拨款支出，较上年决算数1571.11万元增加284.05万元，增长18.07%。主要是因为增加了小康社会进步推进考核工作奖励经费、绩效评估先进乡镇奖金及考核工作奖金以及新中国成立70周年活动经费。</w:t>
      </w:r>
    </w:p>
    <w:p>
      <w:pPr>
        <w:spacing w:line="580" w:lineRule="exact"/>
        <w:ind w:firstLine="643" w:firstLineChars="200"/>
        <w:jc w:val="both"/>
        <w:rPr>
          <w:rFonts w:ascii="楷体" w:hAnsi="楷体" w:eastAsia="楷体"/>
          <w:b/>
          <w:color w:val="000000"/>
          <w:sz w:val="32"/>
          <w:szCs w:val="32"/>
          <w:lang w:val="en-US" w:bidi="ar-SA"/>
        </w:rPr>
      </w:pPr>
      <w:r>
        <w:rPr>
          <w:rFonts w:hint="eastAsia" w:ascii="楷体" w:hAnsi="楷体" w:eastAsia="楷体"/>
          <w:b/>
          <w:color w:val="000000"/>
          <w:sz w:val="32"/>
          <w:szCs w:val="32"/>
          <w:lang w:val="en-US" w:bidi="ar-SA"/>
        </w:rPr>
        <w:t>（二）财政拨款支出决算结构情况。</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2020年度财政拨款支出1855.16万元，均为一般公共预算财政拨款支出，其中，基本支出874.32万元，占47.12%；项目支出980.84万元，占比52.88%。</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按功能分类各项构成及占比情况如下：</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（一）一般公共服务支出1695.43万元，占财政拨款本年支出合计的91.38%。</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（二）社会保障和就业支出113.62万元，占财政拨款本年支出合计的6.12%。</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（三）卫生健康支出22.18万元，占财政拨款本年支出合计的1.19%。</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（四）住房保障支出23.93万元，占财政拨款本年支出合计的1.31%。</w:t>
      </w:r>
    </w:p>
    <w:p>
      <w:pPr>
        <w:spacing w:line="580" w:lineRule="exact"/>
        <w:ind w:firstLine="643" w:firstLineChars="200"/>
        <w:jc w:val="both"/>
        <w:rPr>
          <w:rFonts w:ascii="楷体" w:hAnsi="楷体" w:eastAsia="楷体"/>
          <w:b/>
          <w:color w:val="000000"/>
          <w:sz w:val="32"/>
          <w:szCs w:val="32"/>
          <w:lang w:val="en-US" w:bidi="ar-SA"/>
        </w:rPr>
      </w:pPr>
      <w:r>
        <w:rPr>
          <w:rFonts w:hint="eastAsia" w:ascii="楷体" w:hAnsi="楷体" w:eastAsia="楷体"/>
          <w:b/>
          <w:color w:val="000000"/>
          <w:sz w:val="32"/>
          <w:szCs w:val="32"/>
          <w:lang w:val="en-US" w:bidi="ar-SA"/>
        </w:rPr>
        <w:t>（三）财政拨款支出决算具体情况。</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度财政拨款支出年初预算为1194.58万元，支出决算为1855.16万元。预决算差额原因主要是：一是本年度人员正常异动，增加了部分人员经费；二是主要是因为小康社会进步推进考核工作奖励经费、市目标管理绩效考核奖励经费，2018年县内绩效评估先进乡镇奖金及考核工作奖金；疫情防控资金和新中国成立70周年活动经费等项目经费进行了追加。</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1.一般公共服务（类）。年初预算为1034.85万元，支出决算为1695.43万元，完成年初预算的163.83%。决算数大于预算数的主要原因是一是本年度人员正常异动，增加了部分人员经费；二是主要是因为小康社会进步推进考核工作奖励经费、市目标管理绩效考核奖励经费，2018年县内绩效评估先进乡镇奖金及考核工作奖金；疫情防控资金和新中国成立70周年活动经费等项目经费进行了追加。</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2.社会保障和就业。年初预算为113.62万元，支出决算为113.62万元，完成年初预算的100%。</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 xml:space="preserve">  3.卫生健康支出。年初预算为22.18万元，支出决算为22.18万元，完成年初预算的100%。</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 xml:space="preserve">  4.住房保障支出。年初预算为23.93万元，支出决算为23.93万元，完成年初预算的100%。</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rPr>
        <w:t>六、一般公共预算财政拨款基本支出决算情况说明</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度一般公共预算财政拨款基本支出决算合计812.6万元，主要包括：基本工资、津贴补贴、奖金、机关事业单位基本养老保险缴费、职工基本医疗保险缴费、其他社会保障缴费、住房公积金、其他工资福利支出、抚恤金、生活补助；公用经费51.96万元，主要包括：办公费、印刷费、差旅费、维修（护）费、公务接待费、劳务费、公务用车运行维护费、其他交通费。</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rPr>
        <w:t>七、一般公共预算财政拨款“三公”经费支出决算情况说明</w:t>
      </w:r>
    </w:p>
    <w:p>
      <w:pPr>
        <w:spacing w:line="580" w:lineRule="exact"/>
        <w:ind w:firstLine="643" w:firstLineChars="200"/>
        <w:jc w:val="both"/>
        <w:rPr>
          <w:rFonts w:ascii="楷体" w:hAnsi="楷体" w:eastAsia="楷体"/>
          <w:b/>
          <w:color w:val="000000"/>
          <w:sz w:val="32"/>
          <w:szCs w:val="32"/>
          <w:lang w:val="en-US" w:bidi="ar-SA"/>
        </w:rPr>
      </w:pPr>
      <w:r>
        <w:rPr>
          <w:rFonts w:hint="eastAsia" w:ascii="楷体" w:hAnsi="楷体" w:eastAsia="楷体"/>
          <w:b/>
          <w:color w:val="000000"/>
          <w:sz w:val="32"/>
          <w:szCs w:val="32"/>
          <w:lang w:val="en-US" w:bidi="ar-SA"/>
        </w:rPr>
        <w:t>（一）“三公”经费财政拨款支出决算总体情况说明。</w:t>
      </w:r>
    </w:p>
    <w:p>
      <w:pPr>
        <w:spacing w:line="580" w:lineRule="exact"/>
        <w:ind w:firstLine="640" w:firstLineChars="200"/>
        <w:jc w:val="both"/>
        <w:rPr>
          <w:rFonts w:ascii="仿宋" w:hAnsi="仿宋" w:eastAsia="仿宋"/>
          <w:sz w:val="32"/>
          <w:szCs w:val="32"/>
          <w:lang w:val="en-US"/>
        </w:rPr>
      </w:pPr>
      <w:r>
        <w:rPr>
          <w:rFonts w:hint="eastAsia" w:ascii="仿宋" w:hAnsi="仿宋" w:eastAsia="仿宋"/>
          <w:sz w:val="32"/>
          <w:szCs w:val="32"/>
        </w:rPr>
        <w:t>“三公”经费开支总额15.42万元，年初预算数30.07万元，预算执行率51.28%。</w:t>
      </w:r>
      <w:r>
        <w:rPr>
          <w:rFonts w:hint="eastAsia" w:ascii="仿宋" w:hAnsi="仿宋" w:eastAsia="仿宋"/>
          <w:sz w:val="32"/>
          <w:szCs w:val="32"/>
          <w:lang w:val="en-US"/>
        </w:rPr>
        <w:t>其中：</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1.公务接待费3.43万元，年初预算数12万元，预算执行率28.58%，与上年相比减少9.84万元，</w:t>
      </w:r>
      <w:r>
        <w:rPr>
          <w:rFonts w:hint="eastAsia" w:ascii="仿宋" w:hAnsi="仿宋" w:eastAsia="仿宋"/>
          <w:sz w:val="32"/>
          <w:szCs w:val="32"/>
          <w:lang w:val="en-US"/>
        </w:rPr>
        <w:t>减少74.15%，主要原因是</w:t>
      </w:r>
      <w:r>
        <w:rPr>
          <w:rFonts w:hint="eastAsia" w:ascii="仿宋" w:hAnsi="仿宋" w:eastAsia="仿宋"/>
          <w:sz w:val="32"/>
          <w:szCs w:val="32"/>
        </w:rPr>
        <w:t>受疫情影响，本年度公务接待活动批次较上年减少。</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2.公务用车购置及运行维护费11.98万元，年初预算数18.07万元，预算执行率66.30%，与上年相比减少1.09万元，主要原因是厉行节约，严格控制公务用车费用。</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3.因公出国（境）费0万元，年初无预算数，本年度没有发生因公出国（境）费用。</w:t>
      </w:r>
    </w:p>
    <w:p>
      <w:pPr>
        <w:spacing w:line="580" w:lineRule="exact"/>
        <w:ind w:firstLine="643" w:firstLineChars="200"/>
        <w:jc w:val="both"/>
        <w:rPr>
          <w:rFonts w:ascii="楷体" w:hAnsi="楷体" w:eastAsia="楷体"/>
          <w:b/>
          <w:color w:val="000000"/>
          <w:sz w:val="32"/>
          <w:szCs w:val="32"/>
          <w:lang w:val="en-US" w:bidi="ar-SA"/>
        </w:rPr>
      </w:pPr>
      <w:r>
        <w:rPr>
          <w:rFonts w:hint="eastAsia" w:ascii="楷体" w:hAnsi="楷体" w:eastAsia="楷体"/>
          <w:b/>
          <w:color w:val="000000"/>
          <w:sz w:val="32"/>
          <w:szCs w:val="32"/>
          <w:lang w:val="en-US" w:bidi="ar-SA"/>
        </w:rPr>
        <w:t>（二）“三公”经费财政拨款支出决算具体情况说明。</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2020年度一般公共预算财政拨款“三公”经费决算支出15.42万元，公务接待费3.43万元，占比22.24%；公务用车购置及运行费11.98万元，占比77.76%；因公出国（境）费 0万元，占比为0。具体情况如下：</w:t>
      </w:r>
    </w:p>
    <w:p>
      <w:pPr>
        <w:spacing w:line="580" w:lineRule="exact"/>
        <w:ind w:firstLine="640" w:firstLineChars="200"/>
        <w:jc w:val="both"/>
        <w:rPr>
          <w:rFonts w:ascii="仿宋" w:hAnsi="仿宋" w:eastAsia="仿宋"/>
          <w:sz w:val="32"/>
          <w:szCs w:val="32"/>
        </w:rPr>
      </w:pPr>
      <w:r>
        <w:rPr>
          <w:rFonts w:ascii="仿宋" w:hAnsi="仿宋" w:eastAsia="仿宋"/>
          <w:sz w:val="32"/>
          <w:szCs w:val="32"/>
        </w:rPr>
        <w:t>1.公务接待费3.43万元。</w:t>
      </w:r>
      <w:r>
        <w:rPr>
          <w:rFonts w:hint="eastAsia" w:ascii="仿宋" w:hAnsi="仿宋" w:eastAsia="仿宋"/>
          <w:sz w:val="32"/>
          <w:szCs w:val="32"/>
        </w:rPr>
        <w:t>主要用于国内相关单位交流工作情况及接受相关部门检查指导工作发生的接待支出。2020年共接待国内来访团组18批次、来宾188人次（不包括陪同人员）。</w:t>
      </w:r>
    </w:p>
    <w:p>
      <w:pPr>
        <w:spacing w:line="580" w:lineRule="exact"/>
        <w:ind w:firstLine="640" w:firstLineChars="200"/>
        <w:jc w:val="both"/>
        <w:rPr>
          <w:rFonts w:ascii="仿宋" w:hAnsi="仿宋" w:eastAsia="仿宋"/>
          <w:sz w:val="32"/>
          <w:szCs w:val="32"/>
        </w:rPr>
      </w:pPr>
      <w:r>
        <w:rPr>
          <w:rFonts w:ascii="仿宋" w:hAnsi="仿宋" w:eastAsia="仿宋"/>
          <w:sz w:val="32"/>
          <w:szCs w:val="32"/>
        </w:rPr>
        <w:t>2.公务用车购置及运行费11.98万元。</w:t>
      </w:r>
      <w:r>
        <w:rPr>
          <w:rFonts w:hint="eastAsia" w:ascii="仿宋" w:hAnsi="仿宋" w:eastAsia="仿宋"/>
          <w:sz w:val="32"/>
          <w:szCs w:val="32"/>
        </w:rPr>
        <w:t>其中，公务用车购置费0万元；公务用车运行费11.98万元，主要用于机要文件交换、市内因公出行以及开展省内跨市（县、区）检查、督查业务所需车辆燃料费、维修费、过桥过路费、保险费等。2020年开支财政拨款的公务用车保有量为2辆。</w:t>
      </w:r>
    </w:p>
    <w:p>
      <w:pPr>
        <w:spacing w:line="580" w:lineRule="exact"/>
        <w:ind w:firstLine="640" w:firstLineChars="200"/>
        <w:jc w:val="both"/>
        <w:rPr>
          <w:rFonts w:ascii="仿宋" w:hAnsi="仿宋" w:eastAsia="仿宋"/>
          <w:color w:val="000000"/>
          <w:sz w:val="32"/>
          <w:szCs w:val="32"/>
        </w:rPr>
      </w:pPr>
      <w:r>
        <w:rPr>
          <w:rFonts w:ascii="仿宋" w:hAnsi="仿宋" w:eastAsia="仿宋"/>
          <w:sz w:val="32"/>
          <w:szCs w:val="32"/>
        </w:rPr>
        <w:t>3.因公出国（境）费0万元。</w:t>
      </w:r>
      <w:r>
        <w:rPr>
          <w:rFonts w:hint="eastAsia" w:ascii="仿宋" w:hAnsi="仿宋" w:eastAsia="仿宋"/>
          <w:sz w:val="32"/>
          <w:szCs w:val="32"/>
        </w:rPr>
        <w:t>年初无预算数，本年度没有发生因公出国（境）费用。</w:t>
      </w:r>
    </w:p>
    <w:p>
      <w:pPr>
        <w:spacing w:line="580" w:lineRule="exact"/>
        <w:ind w:firstLine="640" w:firstLineChars="200"/>
        <w:jc w:val="both"/>
        <w:rPr>
          <w:rFonts w:ascii="黑体" w:hAnsi="黑体" w:eastAsia="黑体"/>
          <w:sz w:val="32"/>
          <w:szCs w:val="32"/>
          <w:lang w:val="en-US"/>
        </w:rPr>
      </w:pPr>
      <w:r>
        <w:rPr>
          <w:rFonts w:hint="eastAsia" w:ascii="黑体" w:hAnsi="黑体" w:eastAsia="黑体"/>
          <w:sz w:val="32"/>
          <w:szCs w:val="32"/>
          <w:lang w:val="en-US"/>
        </w:rPr>
        <w:t>八、政府性基金预算收入支出决算情况</w:t>
      </w:r>
    </w:p>
    <w:p>
      <w:pPr>
        <w:spacing w:line="580" w:lineRule="exact"/>
        <w:ind w:firstLine="640" w:firstLineChars="200"/>
        <w:jc w:val="both"/>
        <w:rPr>
          <w:rFonts w:ascii="仿宋" w:hAnsi="仿宋" w:eastAsia="仿宋"/>
          <w:sz w:val="32"/>
          <w:szCs w:val="32"/>
          <w:lang w:val="en-US"/>
        </w:rPr>
      </w:pPr>
      <w:r>
        <w:rPr>
          <w:rFonts w:hint="eastAsia" w:ascii="仿宋" w:hAnsi="仿宋" w:eastAsia="仿宋"/>
          <w:sz w:val="32"/>
          <w:szCs w:val="32"/>
          <w:lang w:val="en-US"/>
        </w:rPr>
        <w:t>2020年度疫情防控特别国债支出6万元，用于应急物资保障。</w:t>
      </w:r>
    </w:p>
    <w:p>
      <w:pPr>
        <w:spacing w:line="580" w:lineRule="exact"/>
        <w:ind w:firstLine="640" w:firstLineChars="200"/>
        <w:jc w:val="both"/>
        <w:rPr>
          <w:rFonts w:ascii="黑体" w:hAnsi="黑体" w:eastAsia="黑体"/>
          <w:sz w:val="32"/>
          <w:szCs w:val="32"/>
          <w:lang w:val="en-US"/>
        </w:rPr>
      </w:pPr>
      <w:r>
        <w:rPr>
          <w:rFonts w:hint="eastAsia" w:ascii="黑体" w:hAnsi="黑体" w:eastAsia="黑体"/>
          <w:sz w:val="32"/>
          <w:szCs w:val="32"/>
          <w:lang w:val="en-US"/>
        </w:rPr>
        <w:t>九、国有资本经营预算财政拨款支出决算情况</w:t>
      </w:r>
    </w:p>
    <w:p>
      <w:pPr>
        <w:spacing w:line="580" w:lineRule="exact"/>
        <w:ind w:firstLine="640" w:firstLineChars="200"/>
        <w:jc w:val="both"/>
        <w:rPr>
          <w:rFonts w:ascii="黑体" w:hAnsi="黑体" w:eastAsia="黑体"/>
          <w:sz w:val="32"/>
          <w:szCs w:val="32"/>
          <w:lang w:val="en-US"/>
        </w:rPr>
      </w:pPr>
      <w:r>
        <w:rPr>
          <w:rFonts w:hint="eastAsia" w:ascii="仿宋" w:hAnsi="仿宋" w:eastAsia="仿宋"/>
          <w:sz w:val="32"/>
          <w:szCs w:val="32"/>
          <w:lang w:val="en-US"/>
        </w:rPr>
        <w:t>本单位2020年没有国有资本经营预算财政拨款支出。</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lang w:val="en-US"/>
        </w:rPr>
        <w:t>十</w:t>
      </w:r>
      <w:r>
        <w:rPr>
          <w:rFonts w:hint="eastAsia" w:ascii="黑体" w:hAnsi="黑体" w:eastAsia="黑体"/>
          <w:sz w:val="32"/>
          <w:szCs w:val="32"/>
        </w:rPr>
        <w:t>、机关运行经费执行情况</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机关运行经费执行为</w:t>
      </w:r>
      <w:r>
        <w:rPr>
          <w:rFonts w:hint="eastAsia" w:ascii="仿宋" w:hAnsi="仿宋" w:eastAsia="仿宋"/>
          <w:sz w:val="32"/>
          <w:szCs w:val="32"/>
          <w:lang w:val="en-US"/>
        </w:rPr>
        <w:t>52</w:t>
      </w:r>
      <w:r>
        <w:rPr>
          <w:rFonts w:hint="eastAsia" w:ascii="仿宋" w:hAnsi="仿宋" w:eastAsia="仿宋"/>
          <w:sz w:val="32"/>
          <w:szCs w:val="32"/>
        </w:rPr>
        <w:t>万元，比上年</w:t>
      </w:r>
      <w:r>
        <w:rPr>
          <w:rFonts w:hint="eastAsia" w:ascii="仿宋" w:hAnsi="仿宋" w:eastAsia="仿宋"/>
          <w:sz w:val="32"/>
          <w:szCs w:val="32"/>
          <w:lang w:val="en-US"/>
        </w:rPr>
        <w:t>55</w:t>
      </w:r>
      <w:r>
        <w:rPr>
          <w:rFonts w:hint="eastAsia" w:ascii="仿宋" w:hAnsi="仿宋" w:eastAsia="仿宋"/>
          <w:sz w:val="32"/>
          <w:szCs w:val="32"/>
        </w:rPr>
        <w:t>万元减少</w:t>
      </w:r>
      <w:r>
        <w:rPr>
          <w:rFonts w:hint="eastAsia" w:ascii="仿宋" w:hAnsi="仿宋" w:eastAsia="仿宋"/>
          <w:sz w:val="32"/>
          <w:szCs w:val="32"/>
          <w:lang w:val="en-US"/>
        </w:rPr>
        <w:t>3</w:t>
      </w:r>
      <w:r>
        <w:rPr>
          <w:rFonts w:hint="eastAsia" w:ascii="仿宋" w:hAnsi="仿宋" w:eastAsia="仿宋"/>
          <w:sz w:val="32"/>
          <w:szCs w:val="32"/>
        </w:rPr>
        <w:t>万元，</w:t>
      </w:r>
      <w:r>
        <w:rPr>
          <w:rFonts w:ascii="仿宋" w:hAnsi="仿宋" w:eastAsia="仿宋"/>
          <w:color w:val="000000"/>
          <w:sz w:val="32"/>
          <w:szCs w:val="32"/>
        </w:rPr>
        <w:t>主要原因是：认真贯彻落实 中央八项规定及其实施细则精神，厉行节约，进一步从严控制机关运行经费开支；受疫情影响，出差次数、公用用车使用次数等都有所减少，相关费用支出减少。</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rPr>
        <w:t>十</w:t>
      </w:r>
      <w:r>
        <w:rPr>
          <w:rFonts w:hint="eastAsia" w:ascii="黑体" w:hAnsi="黑体" w:eastAsia="黑体"/>
          <w:sz w:val="32"/>
          <w:szCs w:val="32"/>
          <w:lang w:val="en-US"/>
        </w:rPr>
        <w:t>一</w:t>
      </w:r>
      <w:r>
        <w:rPr>
          <w:rFonts w:hint="eastAsia" w:ascii="黑体" w:hAnsi="黑体" w:eastAsia="黑体"/>
          <w:sz w:val="32"/>
          <w:szCs w:val="32"/>
        </w:rPr>
        <w:t>、一般性支出情况</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2020年本部门发生人员经费822.36万元，发生商品和服务支出51.96万元。其中大部分经费用于日常人员经费开支，由于单位严控支出，其它支出金额较少。</w:t>
      </w:r>
    </w:p>
    <w:p>
      <w:pPr>
        <w:spacing w:line="580" w:lineRule="exact"/>
        <w:ind w:firstLine="640" w:firstLineChars="200"/>
        <w:jc w:val="both"/>
        <w:rPr>
          <w:rFonts w:ascii="仿宋" w:hAnsi="仿宋" w:eastAsia="仿宋"/>
          <w:sz w:val="32"/>
          <w:szCs w:val="32"/>
        </w:rPr>
      </w:pPr>
      <w:r>
        <w:rPr>
          <w:rFonts w:hint="eastAsia" w:ascii="黑体" w:hAnsi="黑体" w:eastAsia="黑体"/>
          <w:sz w:val="32"/>
          <w:szCs w:val="32"/>
          <w:lang w:val="en-US"/>
        </w:rPr>
        <w:t>十二、</w:t>
      </w:r>
      <w:r>
        <w:rPr>
          <w:rFonts w:hint="eastAsia" w:ascii="黑体" w:hAnsi="黑体" w:eastAsia="黑体"/>
          <w:sz w:val="32"/>
          <w:szCs w:val="32"/>
        </w:rPr>
        <w:t>政府采购支出情况</w:t>
      </w:r>
    </w:p>
    <w:p>
      <w:pPr>
        <w:spacing w:line="580" w:lineRule="exact"/>
        <w:ind w:firstLine="640" w:firstLineChars="200"/>
        <w:jc w:val="both"/>
        <w:rPr>
          <w:rFonts w:ascii="仿宋" w:hAnsi="仿宋" w:eastAsia="仿宋"/>
          <w:sz w:val="32"/>
          <w:szCs w:val="32"/>
        </w:rPr>
      </w:pPr>
      <w:r>
        <w:rPr>
          <w:rFonts w:hint="eastAsia" w:ascii="仿宋" w:hAnsi="仿宋" w:eastAsia="仿宋"/>
          <w:sz w:val="32"/>
          <w:szCs w:val="32"/>
        </w:rPr>
        <w:t>本单位2020 年度政府采购总支出81.42万元，均为政府采购货物支出。</w:t>
      </w:r>
    </w:p>
    <w:p>
      <w:pPr>
        <w:pStyle w:val="18"/>
        <w:numPr>
          <w:ilvl w:val="0"/>
          <w:numId w:val="1"/>
        </w:numPr>
        <w:spacing w:line="580" w:lineRule="exact"/>
        <w:ind w:firstLine="640" w:firstLineChars="200"/>
        <w:jc w:val="both"/>
        <w:rPr>
          <w:rFonts w:hAnsi="黑体"/>
          <w:color w:val="auto"/>
          <w:sz w:val="32"/>
          <w:szCs w:val="32"/>
          <w:lang w:val="zh-CN" w:bidi="zh-CN"/>
        </w:rPr>
      </w:pPr>
      <w:r>
        <w:rPr>
          <w:rFonts w:hint="eastAsia" w:hAnsi="黑体"/>
          <w:color w:val="auto"/>
          <w:sz w:val="32"/>
          <w:szCs w:val="32"/>
          <w:lang w:val="zh-CN" w:bidi="zh-CN"/>
        </w:rPr>
        <w:t>国有资产占用情况</w:t>
      </w:r>
    </w:p>
    <w:p>
      <w:pPr>
        <w:pStyle w:val="18"/>
        <w:spacing w:line="580" w:lineRule="exact"/>
        <w:ind w:firstLine="640" w:firstLineChars="200"/>
        <w:jc w:val="both"/>
        <w:rPr>
          <w:rFonts w:ascii="仿宋" w:hAnsi="仿宋" w:eastAsia="仿宋"/>
          <w:sz w:val="32"/>
          <w:szCs w:val="32"/>
        </w:rPr>
      </w:pPr>
      <w:r>
        <w:rPr>
          <w:rFonts w:hint="eastAsia" w:ascii="仿宋" w:hAnsi="仿宋" w:eastAsia="仿宋"/>
          <w:sz w:val="32"/>
          <w:szCs w:val="32"/>
        </w:rPr>
        <w:t>截至2020年12 月31 日，本单位共有车辆2辆，其中，主要领导干部用车1辆、机要通信用车1辆，特种专业技术用车0辆。单位价值50万元以上通用设备0台（套）；单位价值100万元以上专用设备0台（套）。</w:t>
      </w:r>
    </w:p>
    <w:p>
      <w:pPr>
        <w:spacing w:line="580" w:lineRule="exact"/>
        <w:ind w:firstLine="640" w:firstLineChars="200"/>
        <w:jc w:val="both"/>
        <w:rPr>
          <w:rFonts w:ascii="黑体" w:hAnsi="黑体" w:eastAsia="黑体"/>
          <w:sz w:val="32"/>
          <w:szCs w:val="32"/>
        </w:rPr>
      </w:pPr>
      <w:r>
        <w:rPr>
          <w:rFonts w:hint="eastAsia" w:ascii="黑体" w:hAnsi="黑体" w:eastAsia="黑体"/>
          <w:sz w:val="32"/>
          <w:szCs w:val="32"/>
        </w:rPr>
        <w:t>十</w:t>
      </w:r>
      <w:r>
        <w:rPr>
          <w:rFonts w:hint="eastAsia" w:ascii="黑体" w:hAnsi="黑体" w:eastAsia="黑体"/>
          <w:sz w:val="32"/>
          <w:szCs w:val="32"/>
          <w:lang w:val="en-US"/>
        </w:rPr>
        <w:t>四</w:t>
      </w:r>
      <w:r>
        <w:rPr>
          <w:rFonts w:hint="eastAsia" w:ascii="黑体" w:hAnsi="黑体" w:eastAsia="黑体"/>
          <w:sz w:val="32"/>
          <w:szCs w:val="32"/>
        </w:rPr>
        <w:t>、关于2020年度预算绩效情况说明</w:t>
      </w:r>
    </w:p>
    <w:p>
      <w:pPr>
        <w:pStyle w:val="18"/>
        <w:spacing w:line="580" w:lineRule="exact"/>
        <w:ind w:firstLine="643" w:firstLineChars="200"/>
        <w:jc w:val="both"/>
        <w:rPr>
          <w:rFonts w:ascii="楷体" w:hAnsi="楷体" w:eastAsia="楷体"/>
          <w:b/>
          <w:sz w:val="32"/>
          <w:szCs w:val="32"/>
        </w:rPr>
      </w:pPr>
      <w:r>
        <w:rPr>
          <w:rFonts w:ascii="楷体" w:hAnsi="楷体" w:eastAsia="楷体"/>
          <w:b/>
          <w:sz w:val="32"/>
          <w:szCs w:val="32"/>
        </w:rPr>
        <w:t>（一）预算绩效管理工作开展情况</w:t>
      </w:r>
    </w:p>
    <w:p>
      <w:pPr>
        <w:pStyle w:val="18"/>
        <w:spacing w:line="580" w:lineRule="exact"/>
        <w:ind w:firstLine="640" w:firstLineChars="200"/>
        <w:jc w:val="both"/>
        <w:rPr>
          <w:rFonts w:ascii="仿宋" w:hAnsi="仿宋" w:eastAsia="仿宋"/>
          <w:sz w:val="32"/>
          <w:szCs w:val="32"/>
        </w:rPr>
      </w:pPr>
      <w:r>
        <w:rPr>
          <w:rFonts w:hint="eastAsia" w:ascii="仿宋" w:hAnsi="仿宋" w:eastAsia="仿宋"/>
          <w:sz w:val="32"/>
          <w:szCs w:val="32"/>
        </w:rPr>
        <w:t>为进一步规范财政资金管理、强化绩效和责任意识，切实提高财政资金使用效益，根据财政预算管理要求及县财政局的统一部署，我办对2020年度部门整体支出认真开展绩效自评，按财政要求及时报送了《县委办2020年度部门整体支出绩效评价报告》、《部门整体支出绩效自评考核评分表》等表格及佐证资料，并在县政府门户网站上进行了公开。</w:t>
      </w:r>
    </w:p>
    <w:p>
      <w:pPr>
        <w:pStyle w:val="18"/>
        <w:spacing w:line="580" w:lineRule="exact"/>
        <w:ind w:firstLine="643" w:firstLineChars="200"/>
        <w:jc w:val="both"/>
        <w:rPr>
          <w:rFonts w:ascii="楷体" w:hAnsi="楷体" w:eastAsia="楷体"/>
          <w:b/>
          <w:sz w:val="32"/>
          <w:szCs w:val="32"/>
        </w:rPr>
      </w:pPr>
      <w:r>
        <w:rPr>
          <w:rFonts w:hint="eastAsia" w:ascii="楷体" w:hAnsi="楷体" w:eastAsia="楷体"/>
          <w:b/>
          <w:sz w:val="32"/>
          <w:szCs w:val="32"/>
        </w:rPr>
        <w:t>（二）</w:t>
      </w:r>
      <w:r>
        <w:rPr>
          <w:rFonts w:ascii="楷体" w:hAnsi="楷体" w:eastAsia="楷体"/>
          <w:b/>
          <w:sz w:val="32"/>
          <w:szCs w:val="32"/>
        </w:rPr>
        <w:t>部门整体支出绩效自评结果</w:t>
      </w:r>
    </w:p>
    <w:p>
      <w:pPr>
        <w:pStyle w:val="18"/>
        <w:spacing w:line="580" w:lineRule="exact"/>
        <w:ind w:firstLine="640" w:firstLineChars="200"/>
        <w:jc w:val="both"/>
        <w:rPr>
          <w:rFonts w:ascii="仿宋" w:hAnsi="仿宋" w:eastAsia="仿宋"/>
          <w:sz w:val="32"/>
          <w:szCs w:val="32"/>
        </w:rPr>
      </w:pPr>
      <w:r>
        <w:rPr>
          <w:rFonts w:hint="eastAsia" w:ascii="仿宋" w:hAnsi="仿宋" w:eastAsia="仿宋"/>
          <w:sz w:val="32"/>
          <w:szCs w:val="32"/>
        </w:rPr>
        <w:t>2020年，我办严格贯彻落实县委、县政府关于党政机关厉行节约的有关要求，牢固树立“过紧日子”思想，坚持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w:t>
      </w:r>
      <w:r>
        <w:rPr>
          <w:rFonts w:ascii="仿宋" w:hAnsi="仿宋" w:eastAsia="仿宋"/>
          <w:sz w:val="32"/>
          <w:szCs w:val="32"/>
        </w:rPr>
        <w:t xml:space="preserve">根据部门整体支出绩效评价指标，部门整体支出绩效得分 </w:t>
      </w:r>
      <w:r>
        <w:rPr>
          <w:rFonts w:hint="eastAsia" w:ascii="仿宋" w:hAnsi="仿宋" w:eastAsia="仿宋" w:cs="Times New Roman"/>
          <w:sz w:val="32"/>
          <w:szCs w:val="32"/>
        </w:rPr>
        <w:t>96.4</w:t>
      </w:r>
      <w:r>
        <w:rPr>
          <w:rFonts w:ascii="仿宋" w:hAnsi="仿宋" w:eastAsia="仿宋"/>
          <w:sz w:val="32"/>
          <w:szCs w:val="32"/>
        </w:rPr>
        <w:t>分。从评价情况来看，预算执行有效，完成情况较好，基本达到预算绩效目标。</w:t>
      </w:r>
    </w:p>
    <w:p>
      <w:pPr>
        <w:spacing w:line="560" w:lineRule="exact"/>
        <w:ind w:firstLine="640" w:firstLineChars="200"/>
        <w:jc w:val="both"/>
        <w:rPr>
          <w:rFonts w:ascii="仿宋" w:hAnsi="仿宋" w:eastAsia="仿宋"/>
          <w:sz w:val="32"/>
          <w:szCs w:val="32"/>
        </w:rPr>
      </w:pPr>
      <w:r>
        <w:rPr>
          <w:rFonts w:hint="eastAsia" w:ascii="仿宋" w:hAnsi="仿宋" w:eastAsia="仿宋"/>
          <w:sz w:val="32"/>
          <w:szCs w:val="32"/>
        </w:rPr>
        <w:t xml:space="preserve"> </w:t>
      </w:r>
    </w:p>
    <w:p>
      <w:pPr>
        <w:spacing w:line="560" w:lineRule="exact"/>
        <w:jc w:val="both"/>
        <w:rPr>
          <w:rFonts w:ascii="黑体" w:hAnsi="黑体" w:eastAsia="黑体" w:cs="Times New Roman"/>
          <w:kern w:val="2"/>
          <w:sz w:val="30"/>
          <w:szCs w:val="30"/>
        </w:rPr>
      </w:pPr>
      <w:r>
        <w:rPr>
          <w:rFonts w:hint="eastAsia" w:ascii="黑体" w:hAnsi="黑体" w:eastAsia="黑体"/>
          <w:sz w:val="30"/>
          <w:szCs w:val="30"/>
        </w:rPr>
        <w:t xml:space="preserve"> </w:t>
      </w:r>
    </w:p>
    <w:p>
      <w:pPr>
        <w:pStyle w:val="8"/>
        <w:spacing w:line="560" w:lineRule="exact"/>
        <w:jc w:val="both"/>
        <w:rPr>
          <w:rFonts w:ascii="黑体" w:hAnsi="黑体" w:eastAsia="黑体"/>
          <w:sz w:val="30"/>
          <w:szCs w:val="30"/>
        </w:rPr>
      </w:pPr>
      <w:r>
        <w:rPr>
          <w:rFonts w:hint="eastAsia" w:ascii="黑体" w:hAnsi="黑体" w:eastAsia="黑体"/>
          <w:sz w:val="30"/>
          <w:szCs w:val="30"/>
        </w:rPr>
        <w:t xml:space="preserve"> </w:t>
      </w:r>
    </w:p>
    <w:p>
      <w:pPr>
        <w:pStyle w:val="8"/>
        <w:rPr>
          <w:rFonts w:ascii="黑体" w:hAnsi="黑体" w:eastAsia="黑体"/>
          <w:sz w:val="30"/>
          <w:szCs w:val="30"/>
        </w:rPr>
      </w:pPr>
      <w:r>
        <w:rPr>
          <w:rFonts w:hint="eastAsia" w:ascii="黑体" w:hAnsi="黑体" w:eastAsia="黑体"/>
          <w:sz w:val="30"/>
          <w:szCs w:val="30"/>
        </w:rPr>
        <w:t xml:space="preserve"> </w:t>
      </w:r>
    </w:p>
    <w:p>
      <w:pPr>
        <w:pStyle w:val="8"/>
        <w:rPr>
          <w:rFonts w:ascii="黑体" w:hAnsi="黑体" w:eastAsia="黑体"/>
          <w:sz w:val="30"/>
          <w:szCs w:val="30"/>
        </w:rPr>
      </w:pPr>
      <w:r>
        <w:rPr>
          <w:rFonts w:hint="eastAsia" w:ascii="黑体" w:hAnsi="黑体" w:eastAsia="黑体"/>
          <w:sz w:val="30"/>
          <w:szCs w:val="30"/>
        </w:rPr>
        <w:t xml:space="preserve"> </w:t>
      </w:r>
    </w:p>
    <w:p>
      <w:pPr>
        <w:pStyle w:val="8"/>
        <w:rPr>
          <w:rFonts w:ascii="黑体" w:hAnsi="黑体" w:eastAsia="黑体"/>
          <w:sz w:val="30"/>
          <w:szCs w:val="30"/>
        </w:rPr>
      </w:pPr>
      <w:r>
        <w:rPr>
          <w:rFonts w:hint="eastAsia" w:ascii="黑体" w:hAnsi="黑体" w:eastAsia="黑体"/>
          <w:sz w:val="30"/>
          <w:szCs w:val="30"/>
        </w:rPr>
        <w:t xml:space="preserve"> </w:t>
      </w: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r>
        <w:rPr>
          <w:rFonts w:hint="eastAsia" w:ascii="黑体" w:hAnsi="黑体" w:eastAsia="黑体"/>
          <w:sz w:val="30"/>
          <w:szCs w:val="30"/>
        </w:rPr>
        <w:t xml:space="preserve"> </w:t>
      </w:r>
    </w:p>
    <w:p>
      <w:pPr>
        <w:pStyle w:val="8"/>
        <w:rPr>
          <w:rFonts w:ascii="黑体" w:hAnsi="黑体" w:eastAsia="黑体"/>
          <w:sz w:val="30"/>
          <w:szCs w:val="30"/>
        </w:rPr>
      </w:pPr>
      <w:r>
        <w:rPr>
          <w:rFonts w:hint="eastAsia" w:ascii="黑体" w:hAnsi="黑体" w:eastAsia="黑体"/>
          <w:sz w:val="30"/>
          <w:szCs w:val="30"/>
        </w:rPr>
        <w:t xml:space="preserve"> </w:t>
      </w:r>
    </w:p>
    <w:p>
      <w:pPr>
        <w:pStyle w:val="8"/>
        <w:rPr>
          <w:rFonts w:ascii="黑体" w:hAnsi="黑体" w:eastAsia="黑体"/>
          <w:sz w:val="30"/>
          <w:szCs w:val="30"/>
        </w:rPr>
      </w:pPr>
      <w:r>
        <w:rPr>
          <w:rFonts w:hint="eastAsia" w:ascii="黑体" w:hAnsi="黑体" w:eastAsia="黑体"/>
          <w:sz w:val="30"/>
          <w:szCs w:val="30"/>
        </w:rPr>
        <w:t xml:space="preserve"> </w:t>
      </w: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18"/>
        <w:autoSpaceDE/>
        <w:autoSpaceDN/>
        <w:snapToGrid w:val="0"/>
        <w:spacing w:line="360" w:lineRule="auto"/>
        <w:rPr>
          <w:rFonts w:hAnsi="黑体" w:cs="黑体"/>
          <w:w w:val="96"/>
          <w:sz w:val="70"/>
          <w:szCs w:val="70"/>
        </w:rPr>
      </w:pPr>
    </w:p>
    <w:p>
      <w:pPr>
        <w:pStyle w:val="18"/>
        <w:autoSpaceDE/>
        <w:autoSpaceDN/>
        <w:snapToGrid w:val="0"/>
        <w:spacing w:line="360" w:lineRule="auto"/>
        <w:jc w:val="center"/>
        <w:rPr>
          <w:rFonts w:hAnsi="黑体" w:cs="黑体"/>
          <w:w w:val="96"/>
          <w:sz w:val="70"/>
          <w:szCs w:val="70"/>
        </w:rPr>
      </w:pPr>
    </w:p>
    <w:p>
      <w:pPr>
        <w:pStyle w:val="18"/>
        <w:autoSpaceDE/>
        <w:autoSpaceDN/>
        <w:snapToGrid w:val="0"/>
        <w:spacing w:line="360" w:lineRule="auto"/>
        <w:jc w:val="center"/>
        <w:rPr>
          <w:rFonts w:hAnsi="黑体" w:cs="黑体"/>
          <w:w w:val="96"/>
          <w:sz w:val="70"/>
          <w:szCs w:val="70"/>
        </w:rPr>
      </w:pPr>
      <w:r>
        <w:rPr>
          <w:rFonts w:hint="eastAsia" w:hAnsi="黑体" w:cs="黑体"/>
          <w:w w:val="96"/>
          <w:sz w:val="70"/>
          <w:szCs w:val="70"/>
        </w:rPr>
        <w:t>第四部分</w:t>
      </w:r>
    </w:p>
    <w:p>
      <w:pPr>
        <w:pStyle w:val="18"/>
        <w:autoSpaceDE/>
        <w:autoSpaceDN/>
        <w:snapToGrid w:val="0"/>
        <w:spacing w:line="360" w:lineRule="auto"/>
        <w:jc w:val="center"/>
        <w:rPr>
          <w:rFonts w:hAnsi="黑体" w:cs="黑体"/>
          <w:w w:val="96"/>
          <w:sz w:val="70"/>
          <w:szCs w:val="70"/>
        </w:rPr>
      </w:pPr>
      <w:r>
        <w:rPr>
          <w:rFonts w:hint="eastAsia" w:hAnsi="黑体" w:cs="黑体"/>
          <w:spacing w:val="20"/>
          <w:w w:val="120"/>
          <w:sz w:val="70"/>
          <w:szCs w:val="70"/>
        </w:rPr>
        <w:t>名词解释</w:t>
      </w:r>
    </w:p>
    <w:p>
      <w:pPr>
        <w:widowControl/>
        <w:adjustRightInd w:val="0"/>
        <w:snapToGrid w:val="0"/>
        <w:spacing w:line="360" w:lineRule="auto"/>
        <w:rPr>
          <w:b/>
          <w:w w:val="96"/>
          <w:sz w:val="32"/>
          <w:szCs w:val="32"/>
        </w:rPr>
      </w:pPr>
    </w:p>
    <w:p>
      <w:pPr>
        <w:widowControl/>
        <w:adjustRightInd w:val="0"/>
        <w:snapToGrid w:val="0"/>
        <w:spacing w:line="360" w:lineRule="auto"/>
        <w:rPr>
          <w:b/>
          <w:w w:val="96"/>
          <w:sz w:val="32"/>
          <w:szCs w:val="32"/>
        </w:rPr>
      </w:pPr>
    </w:p>
    <w:p>
      <w:pPr>
        <w:widowControl/>
        <w:adjustRightInd w:val="0"/>
        <w:snapToGrid w:val="0"/>
        <w:spacing w:line="360" w:lineRule="auto"/>
        <w:rPr>
          <w:b/>
          <w:w w:val="96"/>
          <w:sz w:val="32"/>
          <w:szCs w:val="32"/>
        </w:rPr>
      </w:pPr>
    </w:p>
    <w:p>
      <w:pPr>
        <w:widowControl/>
        <w:adjustRightInd w:val="0"/>
        <w:snapToGrid w:val="0"/>
        <w:spacing w:line="360" w:lineRule="auto"/>
        <w:rPr>
          <w:b/>
          <w:w w:val="96"/>
          <w:sz w:val="32"/>
          <w:szCs w:val="32"/>
        </w:rPr>
      </w:pPr>
    </w:p>
    <w:p>
      <w:pPr>
        <w:widowControl/>
        <w:adjustRightInd w:val="0"/>
        <w:snapToGrid w:val="0"/>
        <w:spacing w:line="360" w:lineRule="auto"/>
        <w:rPr>
          <w:b/>
          <w:w w:val="96"/>
          <w:sz w:val="32"/>
          <w:szCs w:val="32"/>
        </w:rPr>
      </w:pPr>
    </w:p>
    <w:p>
      <w:pPr>
        <w:widowControl/>
        <w:adjustRightInd w:val="0"/>
        <w:snapToGrid w:val="0"/>
        <w:spacing w:line="360" w:lineRule="auto"/>
        <w:rPr>
          <w:b/>
          <w:w w:val="96"/>
          <w:sz w:val="32"/>
          <w:szCs w:val="32"/>
        </w:rPr>
      </w:pPr>
    </w:p>
    <w:p>
      <w:pPr>
        <w:widowControl/>
        <w:adjustRightInd w:val="0"/>
        <w:snapToGrid w:val="0"/>
        <w:spacing w:line="360" w:lineRule="auto"/>
        <w:rPr>
          <w:b/>
          <w:w w:val="96"/>
          <w:sz w:val="32"/>
          <w:szCs w:val="32"/>
        </w:rPr>
      </w:pPr>
    </w:p>
    <w:p>
      <w:pPr>
        <w:widowControl/>
        <w:adjustRightInd w:val="0"/>
        <w:snapToGrid w:val="0"/>
        <w:spacing w:line="360" w:lineRule="auto"/>
        <w:rPr>
          <w:b/>
          <w:w w:val="96"/>
          <w:sz w:val="32"/>
          <w:szCs w:val="32"/>
        </w:rPr>
      </w:pPr>
    </w:p>
    <w:p>
      <w:pPr>
        <w:widowControl/>
        <w:adjustRightInd w:val="0"/>
        <w:snapToGrid w:val="0"/>
        <w:spacing w:line="360" w:lineRule="auto"/>
        <w:ind w:firstLine="617" w:firstLineChars="200"/>
        <w:rPr>
          <w:b/>
          <w:w w:val="96"/>
          <w:sz w:val="32"/>
          <w:szCs w:val="32"/>
        </w:rPr>
      </w:pPr>
    </w:p>
    <w:p>
      <w:pPr>
        <w:widowControl/>
        <w:adjustRightInd w:val="0"/>
        <w:snapToGrid w:val="0"/>
        <w:spacing w:line="360" w:lineRule="auto"/>
        <w:rPr>
          <w:b/>
          <w:w w:val="96"/>
          <w:sz w:val="32"/>
          <w:szCs w:val="32"/>
        </w:rPr>
      </w:pPr>
    </w:p>
    <w:p>
      <w:pPr>
        <w:widowControl/>
        <w:adjustRightInd w:val="0"/>
        <w:snapToGrid w:val="0"/>
        <w:spacing w:line="360" w:lineRule="auto"/>
        <w:ind w:firstLine="617" w:firstLineChars="200"/>
        <w:rPr>
          <w:w w:val="96"/>
          <w:sz w:val="32"/>
          <w:szCs w:val="32"/>
        </w:rPr>
      </w:pPr>
      <w:r>
        <w:rPr>
          <w:rFonts w:hint="eastAsia"/>
          <w:b/>
          <w:w w:val="96"/>
          <w:sz w:val="32"/>
          <w:szCs w:val="32"/>
        </w:rPr>
        <w:t>一、财政拨款收入：</w:t>
      </w:r>
      <w:r>
        <w:rPr>
          <w:rFonts w:hint="eastAsia"/>
          <w:w w:val="96"/>
          <w:sz w:val="32"/>
          <w:szCs w:val="32"/>
        </w:rPr>
        <w:t>指财政部门核拨给单位的财政预算资金。</w:t>
      </w:r>
    </w:p>
    <w:p>
      <w:pPr>
        <w:widowControl/>
        <w:adjustRightInd w:val="0"/>
        <w:snapToGrid w:val="0"/>
        <w:spacing w:line="360" w:lineRule="auto"/>
        <w:ind w:firstLine="617" w:firstLineChars="200"/>
        <w:rPr>
          <w:w w:val="96"/>
          <w:sz w:val="32"/>
          <w:szCs w:val="32"/>
        </w:rPr>
      </w:pPr>
      <w:r>
        <w:rPr>
          <w:rFonts w:hint="eastAsia"/>
          <w:b/>
          <w:w w:val="96"/>
          <w:sz w:val="32"/>
          <w:szCs w:val="32"/>
        </w:rPr>
        <w:t>二、事业收入：</w:t>
      </w:r>
      <w:r>
        <w:rPr>
          <w:rFonts w:hint="eastAsia"/>
          <w:w w:val="96"/>
          <w:sz w:val="32"/>
          <w:szCs w:val="32"/>
        </w:rPr>
        <w:t>指事业单位开展专业业务活动及辅助活动所取得的收入。</w:t>
      </w:r>
    </w:p>
    <w:p>
      <w:pPr>
        <w:widowControl/>
        <w:adjustRightInd w:val="0"/>
        <w:snapToGrid w:val="0"/>
        <w:spacing w:line="360" w:lineRule="auto"/>
        <w:ind w:firstLine="617" w:firstLineChars="200"/>
        <w:rPr>
          <w:w w:val="96"/>
          <w:sz w:val="32"/>
          <w:szCs w:val="32"/>
        </w:rPr>
      </w:pPr>
      <w:r>
        <w:rPr>
          <w:rFonts w:hint="eastAsia"/>
          <w:b/>
          <w:w w:val="96"/>
          <w:sz w:val="32"/>
          <w:szCs w:val="32"/>
        </w:rPr>
        <w:t>三、附属单位上缴收入：</w:t>
      </w:r>
      <w:r>
        <w:rPr>
          <w:rFonts w:hint="eastAsia"/>
          <w:w w:val="96"/>
          <w:sz w:val="32"/>
          <w:szCs w:val="32"/>
        </w:rPr>
        <w:t>指事业单位附属独立核算单位按有关规定上缴的收入。</w:t>
      </w:r>
    </w:p>
    <w:p>
      <w:pPr>
        <w:widowControl/>
        <w:adjustRightInd w:val="0"/>
        <w:snapToGrid w:val="0"/>
        <w:spacing w:line="360" w:lineRule="auto"/>
        <w:ind w:firstLine="617" w:firstLineChars="200"/>
        <w:rPr>
          <w:w w:val="96"/>
          <w:sz w:val="32"/>
          <w:szCs w:val="32"/>
        </w:rPr>
      </w:pPr>
      <w:r>
        <w:rPr>
          <w:rFonts w:hint="eastAsia"/>
          <w:b/>
          <w:w w:val="96"/>
          <w:sz w:val="32"/>
          <w:szCs w:val="32"/>
        </w:rPr>
        <w:t>四、其他收入：</w:t>
      </w:r>
      <w:r>
        <w:rPr>
          <w:rFonts w:hint="eastAsia"/>
          <w:w w:val="96"/>
          <w:sz w:val="32"/>
          <w:szCs w:val="32"/>
        </w:rPr>
        <w:t>指单位取得的除上述“财政拨款收入”、“事业收入”、“附属单位上缴收入”等以外的收入。</w:t>
      </w:r>
    </w:p>
    <w:p>
      <w:pPr>
        <w:widowControl/>
        <w:adjustRightInd w:val="0"/>
        <w:snapToGrid w:val="0"/>
        <w:spacing w:line="360" w:lineRule="auto"/>
        <w:ind w:firstLine="617" w:firstLineChars="200"/>
        <w:rPr>
          <w:w w:val="96"/>
          <w:sz w:val="32"/>
          <w:szCs w:val="32"/>
        </w:rPr>
      </w:pPr>
      <w:r>
        <w:rPr>
          <w:rFonts w:hint="eastAsia"/>
          <w:b/>
          <w:w w:val="96"/>
          <w:sz w:val="32"/>
          <w:szCs w:val="32"/>
        </w:rPr>
        <w:t>五、年初结转和结余：</w:t>
      </w:r>
      <w:r>
        <w:rPr>
          <w:rFonts w:hint="eastAsia"/>
          <w:w w:val="96"/>
          <w:sz w:val="32"/>
          <w:szCs w:val="32"/>
        </w:rPr>
        <w:t>指以前年度尚未完成、结转到本年仍按有关规定继续使用的资金。</w:t>
      </w:r>
    </w:p>
    <w:p>
      <w:pPr>
        <w:widowControl/>
        <w:tabs>
          <w:tab w:val="left" w:pos="2635"/>
        </w:tabs>
        <w:adjustRightInd w:val="0"/>
        <w:snapToGrid w:val="0"/>
        <w:spacing w:line="360" w:lineRule="auto"/>
        <w:ind w:firstLine="617" w:firstLineChars="200"/>
        <w:rPr>
          <w:w w:val="96"/>
          <w:sz w:val="32"/>
          <w:szCs w:val="32"/>
        </w:rPr>
      </w:pPr>
      <w:r>
        <w:rPr>
          <w:rFonts w:hint="eastAsia"/>
          <w:b/>
          <w:w w:val="96"/>
          <w:sz w:val="32"/>
          <w:szCs w:val="32"/>
        </w:rPr>
        <w:t>六、用事业基金弥补收支差额：</w:t>
      </w:r>
      <w:r>
        <w:rPr>
          <w:rFonts w:hint="eastAsia"/>
          <w:w w:val="96"/>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pPr>
        <w:widowControl/>
        <w:adjustRightInd w:val="0"/>
        <w:snapToGrid w:val="0"/>
        <w:spacing w:line="360" w:lineRule="auto"/>
        <w:ind w:firstLine="617" w:firstLineChars="200"/>
        <w:rPr>
          <w:bCs/>
          <w:w w:val="96"/>
          <w:sz w:val="32"/>
          <w:szCs w:val="32"/>
        </w:rPr>
      </w:pPr>
      <w:r>
        <w:rPr>
          <w:rFonts w:hint="eastAsia"/>
          <w:b/>
          <w:w w:val="96"/>
          <w:sz w:val="32"/>
          <w:szCs w:val="32"/>
        </w:rPr>
        <w:t>七、卫生健康支出（类）行政事业单位医疗（款）其他行政事业单位医疗支出（项）：</w:t>
      </w:r>
      <w:r>
        <w:rPr>
          <w:rFonts w:hint="eastAsia"/>
          <w:bCs/>
          <w:w w:val="96"/>
          <w:sz w:val="32"/>
          <w:szCs w:val="32"/>
        </w:rPr>
        <w:t>指单位医疗保障经费。</w:t>
      </w:r>
    </w:p>
    <w:p>
      <w:pPr>
        <w:widowControl/>
        <w:adjustRightInd w:val="0"/>
        <w:snapToGrid w:val="0"/>
        <w:spacing w:line="360" w:lineRule="auto"/>
        <w:ind w:firstLine="617" w:firstLineChars="200"/>
        <w:rPr>
          <w:w w:val="96"/>
          <w:sz w:val="32"/>
          <w:szCs w:val="32"/>
        </w:rPr>
      </w:pPr>
      <w:r>
        <w:rPr>
          <w:rFonts w:hint="eastAsia"/>
          <w:b/>
          <w:w w:val="96"/>
          <w:sz w:val="32"/>
          <w:szCs w:val="32"/>
        </w:rPr>
        <w:t>八、住房保障支出（类）住房改革支出（款）住房公积金（项）：</w:t>
      </w:r>
      <w:r>
        <w:rPr>
          <w:rFonts w:hint="eastAsia"/>
          <w:w w:val="96"/>
          <w:sz w:val="32"/>
          <w:szCs w:val="32"/>
        </w:rPr>
        <w:t>指住房公积金。</w:t>
      </w:r>
    </w:p>
    <w:p>
      <w:pPr>
        <w:widowControl/>
        <w:adjustRightInd w:val="0"/>
        <w:snapToGrid w:val="0"/>
        <w:spacing w:line="360" w:lineRule="auto"/>
        <w:ind w:firstLine="617" w:firstLineChars="200"/>
        <w:rPr>
          <w:w w:val="96"/>
          <w:sz w:val="32"/>
          <w:szCs w:val="32"/>
        </w:rPr>
      </w:pPr>
      <w:r>
        <w:rPr>
          <w:rFonts w:hint="eastAsia"/>
          <w:b/>
          <w:w w:val="96"/>
          <w:sz w:val="32"/>
          <w:szCs w:val="32"/>
        </w:rPr>
        <w:t>九、结余分配：</w:t>
      </w:r>
      <w:r>
        <w:rPr>
          <w:rFonts w:hint="eastAsia"/>
          <w:w w:val="96"/>
          <w:sz w:val="32"/>
          <w:szCs w:val="32"/>
        </w:rPr>
        <w:t>指事业单位按规定提取的职工福利基金、事业基金和缴纳的所得税，以及建设单位按规定应交回的基本建设竣工项目结余资金。</w:t>
      </w:r>
    </w:p>
    <w:p>
      <w:pPr>
        <w:widowControl/>
        <w:adjustRightInd w:val="0"/>
        <w:snapToGrid w:val="0"/>
        <w:spacing w:line="360" w:lineRule="auto"/>
        <w:ind w:firstLine="617" w:firstLineChars="200"/>
        <w:rPr>
          <w:w w:val="96"/>
          <w:sz w:val="32"/>
          <w:szCs w:val="32"/>
        </w:rPr>
      </w:pPr>
      <w:r>
        <w:rPr>
          <w:rFonts w:hint="eastAsia"/>
          <w:b/>
          <w:w w:val="96"/>
          <w:sz w:val="32"/>
          <w:szCs w:val="32"/>
        </w:rPr>
        <w:t>十、年末结转和结余：</w:t>
      </w:r>
      <w:r>
        <w:rPr>
          <w:rFonts w:hint="eastAsia"/>
          <w:w w:val="96"/>
          <w:sz w:val="32"/>
          <w:szCs w:val="32"/>
        </w:rPr>
        <w:t>指本年度或以前年度预算安排、因客观条件发生变化无法按原计划实施，需延迟到以后年度按有关规定继续使用的资金。</w:t>
      </w:r>
    </w:p>
    <w:p>
      <w:pPr>
        <w:widowControl/>
        <w:adjustRightInd w:val="0"/>
        <w:snapToGrid w:val="0"/>
        <w:spacing w:line="360" w:lineRule="auto"/>
        <w:ind w:firstLine="617" w:firstLineChars="200"/>
        <w:rPr>
          <w:w w:val="96"/>
          <w:sz w:val="32"/>
          <w:szCs w:val="32"/>
        </w:rPr>
      </w:pPr>
      <w:r>
        <w:rPr>
          <w:rFonts w:hint="eastAsia"/>
          <w:b/>
          <w:w w:val="96"/>
          <w:sz w:val="32"/>
          <w:szCs w:val="32"/>
        </w:rPr>
        <w:t>十一、基本支出：</w:t>
      </w:r>
      <w:r>
        <w:rPr>
          <w:rFonts w:hint="eastAsia"/>
          <w:w w:val="96"/>
          <w:sz w:val="32"/>
          <w:szCs w:val="32"/>
        </w:rPr>
        <w:t>指为保障机构正常运转、完成日常工作任务而发生的人员支出和公用支出。</w:t>
      </w:r>
    </w:p>
    <w:p>
      <w:pPr>
        <w:widowControl/>
        <w:adjustRightInd w:val="0"/>
        <w:snapToGrid w:val="0"/>
        <w:spacing w:line="360" w:lineRule="auto"/>
        <w:ind w:firstLine="617" w:firstLineChars="200"/>
        <w:rPr>
          <w:w w:val="96"/>
          <w:sz w:val="32"/>
          <w:szCs w:val="32"/>
        </w:rPr>
      </w:pPr>
      <w:r>
        <w:rPr>
          <w:rFonts w:hint="eastAsia"/>
          <w:b/>
          <w:w w:val="96"/>
          <w:sz w:val="32"/>
          <w:szCs w:val="32"/>
        </w:rPr>
        <w:t>十二、项目支出：</w:t>
      </w:r>
      <w:r>
        <w:rPr>
          <w:rFonts w:hint="eastAsia"/>
          <w:w w:val="96"/>
          <w:sz w:val="32"/>
          <w:szCs w:val="32"/>
        </w:rPr>
        <w:t>指在基本支出之外，为完成特定行政任务和事业发展目标所发生的支出。</w:t>
      </w:r>
    </w:p>
    <w:p>
      <w:pPr>
        <w:widowControl/>
        <w:adjustRightInd w:val="0"/>
        <w:snapToGrid w:val="0"/>
        <w:spacing w:line="360" w:lineRule="auto"/>
        <w:ind w:firstLine="617" w:firstLineChars="200"/>
        <w:rPr>
          <w:w w:val="96"/>
          <w:sz w:val="32"/>
          <w:szCs w:val="32"/>
        </w:rPr>
      </w:pPr>
      <w:r>
        <w:rPr>
          <w:rFonts w:hint="eastAsia"/>
          <w:b/>
          <w:w w:val="96"/>
          <w:sz w:val="32"/>
          <w:szCs w:val="32"/>
        </w:rPr>
        <w:t>十三、“三公”经费：</w:t>
      </w:r>
      <w:r>
        <w:rPr>
          <w:rFonts w:hint="eastAsia"/>
          <w:w w:val="96"/>
          <w:sz w:val="32"/>
          <w:szCs w:val="32"/>
        </w:rPr>
        <w:t>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widowControl/>
        <w:adjustRightInd w:val="0"/>
        <w:snapToGrid w:val="0"/>
        <w:spacing w:line="360" w:lineRule="auto"/>
        <w:ind w:firstLine="617" w:firstLineChars="200"/>
        <w:rPr>
          <w:w w:val="96"/>
          <w:sz w:val="32"/>
          <w:szCs w:val="32"/>
        </w:rPr>
      </w:pPr>
      <w:r>
        <w:rPr>
          <w:rFonts w:hint="eastAsia"/>
          <w:b/>
          <w:w w:val="96"/>
          <w:sz w:val="32"/>
          <w:szCs w:val="32"/>
        </w:rPr>
        <w:t>十四、机关运行经费：</w:t>
      </w:r>
      <w:r>
        <w:rPr>
          <w:rFonts w:hint="eastAsia"/>
          <w:w w:val="96"/>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adjustRightInd w:val="0"/>
        <w:snapToGrid w:val="0"/>
        <w:spacing w:line="360" w:lineRule="auto"/>
        <w:ind w:firstLine="614" w:firstLineChars="200"/>
        <w:rPr>
          <w:color w:val="FF0000"/>
          <w:w w:val="96"/>
          <w:sz w:val="32"/>
          <w:szCs w:val="32"/>
          <w:shd w:val="clear" w:color="auto" w:fill="FFFFFF"/>
        </w:rPr>
      </w:pPr>
      <w:r>
        <w:rPr>
          <w:rFonts w:hint="eastAsia"/>
          <w:color w:val="FF0000"/>
          <w:w w:val="96"/>
          <w:sz w:val="32"/>
          <w:szCs w:val="32"/>
          <w:shd w:val="clear" w:color="auto" w:fill="FFFFFF"/>
        </w:rPr>
        <w:t xml:space="preserve"> </w:t>
      </w:r>
    </w:p>
    <w:p>
      <w:pPr>
        <w:widowControl/>
        <w:adjustRightInd w:val="0"/>
        <w:snapToGrid w:val="0"/>
        <w:spacing w:line="360" w:lineRule="auto"/>
        <w:ind w:firstLine="614" w:firstLineChars="200"/>
        <w:rPr>
          <w:color w:val="FF0000"/>
          <w:w w:val="96"/>
          <w:sz w:val="32"/>
          <w:szCs w:val="32"/>
          <w:shd w:val="clear" w:color="auto" w:fill="FFFFFF"/>
        </w:rPr>
      </w:pPr>
    </w:p>
    <w:p>
      <w:pPr>
        <w:widowControl/>
        <w:adjustRightInd w:val="0"/>
        <w:snapToGrid w:val="0"/>
        <w:spacing w:line="360" w:lineRule="auto"/>
        <w:ind w:firstLine="614" w:firstLineChars="200"/>
        <w:rPr>
          <w:color w:val="FF0000"/>
          <w:w w:val="96"/>
          <w:sz w:val="32"/>
          <w:szCs w:val="32"/>
          <w:shd w:val="clear" w:color="auto" w:fill="FFFFFF"/>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pStyle w:val="8"/>
        <w:rPr>
          <w:rFonts w:ascii="黑体" w:hAnsi="黑体" w:eastAsia="黑体"/>
          <w:sz w:val="30"/>
          <w:szCs w:val="30"/>
        </w:rPr>
      </w:pPr>
    </w:p>
    <w:p>
      <w:pPr>
        <w:spacing w:line="560" w:lineRule="exact"/>
        <w:rPr>
          <w:rFonts w:ascii="仿宋" w:hAnsi="仿宋" w:eastAsia="仿宋"/>
          <w:sz w:val="30"/>
          <w:szCs w:val="30"/>
        </w:rPr>
      </w:pPr>
    </w:p>
    <w:p>
      <w:pPr>
        <w:spacing w:line="560" w:lineRule="exact"/>
        <w:rPr>
          <w:rFonts w:ascii="仿宋" w:hAnsi="仿宋" w:eastAsia="仿宋"/>
          <w:sz w:val="30"/>
          <w:szCs w:val="30"/>
        </w:rPr>
      </w:pPr>
    </w:p>
    <w:p>
      <w:pPr>
        <w:spacing w:line="560" w:lineRule="exact"/>
        <w:rPr>
          <w:rFonts w:ascii="仿宋" w:hAnsi="仿宋" w:eastAsia="仿宋"/>
          <w:sz w:val="30"/>
          <w:szCs w:val="30"/>
        </w:rPr>
      </w:pPr>
    </w:p>
    <w:p>
      <w:pPr>
        <w:spacing w:line="560" w:lineRule="exact"/>
        <w:rPr>
          <w:rFonts w:ascii="仿宋" w:hAnsi="仿宋" w:eastAsia="仿宋"/>
          <w:sz w:val="30"/>
          <w:szCs w:val="30"/>
        </w:rPr>
      </w:pPr>
    </w:p>
    <w:p>
      <w:pPr>
        <w:spacing w:line="560" w:lineRule="exact"/>
        <w:rPr>
          <w:rFonts w:ascii="仿宋" w:hAnsi="仿宋" w:eastAsia="仿宋"/>
          <w:sz w:val="30"/>
          <w:szCs w:val="30"/>
        </w:rPr>
      </w:pPr>
    </w:p>
    <w:p>
      <w:pPr>
        <w:pStyle w:val="15"/>
        <w:numPr>
          <w:ilvl w:val="0"/>
          <w:numId w:val="2"/>
        </w:numPr>
        <w:spacing w:before="0" w:beforeAutospacing="0"/>
        <w:jc w:val="center"/>
        <w:rPr>
          <w:rFonts w:ascii="黑体" w:hAnsi="黑体" w:eastAsia="黑体" w:cs="方正小标宋_GBK"/>
          <w:sz w:val="70"/>
          <w:szCs w:val="70"/>
          <w:shd w:val="clear" w:color="auto" w:fill="FFFFFF"/>
        </w:rPr>
      </w:pPr>
      <w:r>
        <w:rPr>
          <w:rFonts w:hint="eastAsia" w:ascii="黑体" w:hAnsi="黑体" w:eastAsia="黑体" w:cs="方正小标宋_GBK"/>
          <w:sz w:val="70"/>
          <w:szCs w:val="70"/>
          <w:shd w:val="clear" w:color="auto" w:fill="FFFFFF"/>
        </w:rPr>
        <w:t xml:space="preserve"> </w:t>
      </w:r>
    </w:p>
    <w:p>
      <w:pPr>
        <w:pStyle w:val="15"/>
        <w:spacing w:before="0" w:beforeAutospacing="0"/>
        <w:jc w:val="center"/>
        <w:rPr>
          <w:rFonts w:ascii="黑体" w:hAnsi="黑体" w:eastAsia="黑体" w:cs="方正小标宋_GBK"/>
          <w:spacing w:val="20"/>
          <w:sz w:val="70"/>
          <w:szCs w:val="70"/>
        </w:rPr>
      </w:pPr>
      <w:r>
        <w:rPr>
          <w:rFonts w:hint="eastAsia" w:ascii="黑体" w:hAnsi="黑体" w:eastAsia="黑体" w:cs="方正小标宋_GBK"/>
          <w:spacing w:val="20"/>
          <w:sz w:val="70"/>
          <w:szCs w:val="70"/>
          <w:shd w:val="clear" w:color="auto" w:fill="FFFFFF"/>
        </w:rPr>
        <w:t>附件</w:t>
      </w:r>
    </w:p>
    <w:p>
      <w:pPr>
        <w:spacing w:line="600" w:lineRule="exact"/>
        <w:jc w:val="center"/>
        <w:rPr>
          <w:rFonts w:ascii="方正仿宋_GBK" w:hAnsi="方正仿宋_GBK" w:cs="Times New Roman"/>
          <w:b/>
          <w:bCs/>
          <w:sz w:val="34"/>
          <w:szCs w:val="34"/>
        </w:rPr>
      </w:pPr>
      <w:r>
        <w:rPr>
          <w:rFonts w:ascii="方正仿宋_GBK" w:hAnsi="方正仿宋_GBK"/>
          <w:b/>
          <w:bCs/>
          <w:sz w:val="34"/>
          <w:szCs w:val="34"/>
        </w:rPr>
        <w:t xml:space="preserve"> </w:t>
      </w:r>
    </w:p>
    <w:p>
      <w:pPr>
        <w:spacing w:line="600" w:lineRule="exact"/>
        <w:jc w:val="center"/>
        <w:rPr>
          <w:rFonts w:ascii="方正仿宋_GBK" w:hAnsi="方正仿宋_GBK"/>
          <w:sz w:val="38"/>
          <w:szCs w:val="38"/>
        </w:rPr>
      </w:pPr>
    </w:p>
    <w:p>
      <w:pPr>
        <w:spacing w:line="600" w:lineRule="exact"/>
        <w:jc w:val="center"/>
        <w:rPr>
          <w:rFonts w:ascii="方正仿宋_GBK" w:hAnsi="方正仿宋_GBK"/>
          <w:sz w:val="38"/>
          <w:szCs w:val="38"/>
        </w:rPr>
      </w:pPr>
    </w:p>
    <w:p>
      <w:pPr>
        <w:spacing w:line="600" w:lineRule="exact"/>
        <w:jc w:val="center"/>
        <w:rPr>
          <w:rFonts w:ascii="方正仿宋_GBK" w:hAnsi="方正仿宋_GBK"/>
          <w:sz w:val="38"/>
          <w:szCs w:val="38"/>
        </w:rPr>
      </w:pPr>
    </w:p>
    <w:p>
      <w:pPr>
        <w:spacing w:line="600" w:lineRule="exact"/>
        <w:jc w:val="center"/>
        <w:rPr>
          <w:rFonts w:ascii="方正仿宋_GBK" w:hAnsi="方正仿宋_GBK"/>
          <w:sz w:val="38"/>
          <w:szCs w:val="38"/>
        </w:rPr>
      </w:pPr>
    </w:p>
    <w:p>
      <w:pPr>
        <w:spacing w:line="600" w:lineRule="exact"/>
        <w:jc w:val="center"/>
        <w:rPr>
          <w:rFonts w:ascii="方正仿宋_GBK" w:hAnsi="方正仿宋_GBK"/>
          <w:sz w:val="38"/>
          <w:szCs w:val="38"/>
        </w:rPr>
      </w:pPr>
    </w:p>
    <w:p>
      <w:pPr>
        <w:spacing w:line="600" w:lineRule="exact"/>
        <w:jc w:val="center"/>
        <w:rPr>
          <w:rFonts w:ascii="方正仿宋_GBK" w:hAnsi="方正仿宋_GBK"/>
          <w:sz w:val="38"/>
          <w:szCs w:val="38"/>
        </w:rPr>
      </w:pPr>
    </w:p>
    <w:p>
      <w:pPr>
        <w:spacing w:line="600" w:lineRule="exact"/>
        <w:jc w:val="center"/>
        <w:rPr>
          <w:rFonts w:ascii="方正仿宋_GBK" w:hAnsi="方正仿宋_GBK"/>
          <w:sz w:val="38"/>
          <w:szCs w:val="38"/>
        </w:rPr>
      </w:pPr>
    </w:p>
    <w:p>
      <w:pPr>
        <w:spacing w:line="600" w:lineRule="exact"/>
        <w:rPr>
          <w:rFonts w:ascii="方正仿宋_GBK" w:hAnsi="方正仿宋_GBK"/>
          <w:sz w:val="38"/>
          <w:szCs w:val="38"/>
        </w:rPr>
      </w:pPr>
    </w:p>
    <w:p>
      <w:pPr>
        <w:spacing w:line="560" w:lineRule="exact"/>
        <w:jc w:val="center"/>
        <w:rPr>
          <w:rFonts w:ascii="黑体" w:hAnsi="黑体" w:eastAsia="黑体"/>
          <w:sz w:val="44"/>
          <w:szCs w:val="44"/>
        </w:rPr>
      </w:pPr>
      <w:r>
        <w:rPr>
          <w:rFonts w:hint="eastAsia" w:ascii="黑体" w:hAnsi="黑体" w:eastAsia="黑体"/>
          <w:sz w:val="44"/>
          <w:szCs w:val="44"/>
        </w:rPr>
        <w:t>2020年县委办整体支出</w:t>
      </w:r>
    </w:p>
    <w:p>
      <w:pPr>
        <w:spacing w:line="560" w:lineRule="exact"/>
        <w:jc w:val="center"/>
        <w:rPr>
          <w:rFonts w:ascii="黑体" w:hAnsi="黑体" w:eastAsia="黑体"/>
          <w:sz w:val="44"/>
          <w:szCs w:val="44"/>
        </w:rPr>
      </w:pPr>
      <w:r>
        <w:rPr>
          <w:rFonts w:hint="eastAsia" w:ascii="黑体" w:hAnsi="黑体" w:eastAsia="黑体"/>
          <w:sz w:val="44"/>
          <w:szCs w:val="44"/>
        </w:rPr>
        <w:t>绩效评价报告</w:t>
      </w:r>
    </w:p>
    <w:p>
      <w:pPr>
        <w:spacing w:line="560" w:lineRule="exact"/>
        <w:ind w:firstLine="640" w:firstLineChars="200"/>
        <w:rPr>
          <w:rFonts w:ascii="仿宋_GB2312" w:eastAsia="仿宋_GB2312"/>
          <w:sz w:val="32"/>
          <w:szCs w:val="32"/>
        </w:rPr>
      </w:pPr>
    </w:p>
    <w:p>
      <w:pPr>
        <w:spacing w:line="560" w:lineRule="exact"/>
        <w:ind w:firstLine="640" w:firstLineChars="200"/>
        <w:jc w:val="both"/>
        <w:rPr>
          <w:rFonts w:ascii="仿宋" w:hAnsi="仿宋" w:eastAsia="仿宋"/>
          <w:sz w:val="32"/>
          <w:szCs w:val="32"/>
        </w:rPr>
      </w:pPr>
      <w:r>
        <w:rPr>
          <w:rFonts w:hint="eastAsia" w:ascii="仿宋" w:hAnsi="仿宋" w:eastAsia="仿宋"/>
          <w:sz w:val="32"/>
          <w:szCs w:val="32"/>
        </w:rPr>
        <w:t>为加强财政预算资金管理，进一步规范预算资金使用，提高财政资金使用效益，根据《衡南县财政局关于开展2020年度县级财政资金绩效自评工作的通知》要求，我办对2020年度本单位整体支出进行了绩效自评，现将具体绩效评价情况报告如下：</w:t>
      </w:r>
      <w:r>
        <w:rPr>
          <w:rFonts w:hint="eastAsia" w:eastAsia="仿宋"/>
          <w:sz w:val="32"/>
          <w:szCs w:val="32"/>
        </w:rPr>
        <w:t>   </w:t>
      </w:r>
    </w:p>
    <w:p>
      <w:pPr>
        <w:spacing w:line="560" w:lineRule="exact"/>
        <w:ind w:firstLine="640" w:firstLineChars="200"/>
        <w:rPr>
          <w:rFonts w:ascii="黑体" w:hAnsi="黑体" w:eastAsia="黑体" w:cs="迷你简黑体"/>
          <w:sz w:val="32"/>
          <w:szCs w:val="32"/>
        </w:rPr>
      </w:pPr>
      <w:r>
        <w:rPr>
          <w:rFonts w:hint="eastAsia" w:eastAsia="黑体"/>
          <w:sz w:val="32"/>
          <w:szCs w:val="32"/>
        </w:rPr>
        <w:t> </w:t>
      </w:r>
      <w:r>
        <w:rPr>
          <w:rFonts w:hint="eastAsia" w:ascii="黑体" w:hAnsi="黑体" w:eastAsia="黑体" w:cs="迷你简黑体"/>
          <w:sz w:val="32"/>
          <w:szCs w:val="32"/>
        </w:rPr>
        <w:t>一、基本情况</w:t>
      </w:r>
    </w:p>
    <w:p>
      <w:pPr>
        <w:spacing w:line="560" w:lineRule="exact"/>
        <w:rPr>
          <w:rFonts w:ascii="仿宋" w:hAnsi="仿宋" w:eastAsia="仿宋" w:cs="迷你简黑体"/>
          <w:sz w:val="32"/>
          <w:szCs w:val="32"/>
        </w:rPr>
      </w:pPr>
      <w:r>
        <w:rPr>
          <w:rFonts w:hint="eastAsia" w:ascii="仿宋" w:hAnsi="仿宋" w:eastAsia="仿宋"/>
          <w:sz w:val="32"/>
          <w:szCs w:val="32"/>
        </w:rPr>
        <w:t xml:space="preserve">    衡南县委办为全额财政拨款单位，纳入财政会计集中核算和国库集中支付体系，财务制度执行《预算法》、《行政单位会计制度》。</w:t>
      </w:r>
      <w:r>
        <w:rPr>
          <w:rFonts w:hint="eastAsia" w:ascii="仿宋" w:hAnsi="仿宋" w:eastAsia="仿宋" w:cs="迷你简黑体"/>
          <w:sz w:val="32"/>
          <w:szCs w:val="32"/>
        </w:rPr>
        <w:t xml:space="preserve"> </w:t>
      </w:r>
    </w:p>
    <w:p>
      <w:pPr>
        <w:spacing w:line="560" w:lineRule="exact"/>
        <w:ind w:firstLine="643" w:firstLineChars="200"/>
        <w:rPr>
          <w:rFonts w:ascii="仿宋" w:hAnsi="仿宋" w:eastAsia="仿宋"/>
          <w:b/>
          <w:sz w:val="32"/>
          <w:szCs w:val="32"/>
        </w:rPr>
      </w:pPr>
      <w:r>
        <w:rPr>
          <w:rFonts w:hint="eastAsia" w:ascii="仿宋" w:hAnsi="仿宋" w:eastAsia="仿宋"/>
          <w:b/>
          <w:sz w:val="32"/>
          <w:szCs w:val="32"/>
        </w:rPr>
        <w:t>（一）机构设置情况</w:t>
      </w:r>
    </w:p>
    <w:p>
      <w:pPr>
        <w:spacing w:line="560" w:lineRule="exact"/>
        <w:ind w:firstLine="640" w:firstLineChars="200"/>
        <w:rPr>
          <w:rFonts w:ascii="仿宋" w:hAnsi="仿宋" w:eastAsia="仿宋"/>
          <w:sz w:val="32"/>
          <w:szCs w:val="32"/>
        </w:rPr>
      </w:pPr>
      <w:r>
        <w:rPr>
          <w:rFonts w:hint="eastAsia" w:ascii="仿宋" w:hAnsi="仿宋" w:eastAsia="仿宋" w:cs="仿宋_GB2312"/>
          <w:sz w:val="32"/>
          <w:szCs w:val="32"/>
        </w:rPr>
        <w:t>衡南县委办</w:t>
      </w:r>
      <w:r>
        <w:rPr>
          <w:rFonts w:hint="eastAsia" w:ascii="仿宋" w:hAnsi="仿宋" w:eastAsia="仿宋"/>
          <w:sz w:val="32"/>
          <w:szCs w:val="32"/>
        </w:rPr>
        <w:t>设11个组室机构：为秘书组、常委办、综合信息组、督查室（对外称中共衡南县委督查室）、机要保密室、组织人事组、行政后勤组、</w:t>
      </w:r>
      <w:r>
        <w:rPr>
          <w:rFonts w:hint="eastAsia" w:ascii="仿宋" w:hAnsi="仿宋" w:eastAsia="仿宋"/>
          <w:spacing w:val="-6"/>
          <w:sz w:val="32"/>
          <w:szCs w:val="32"/>
        </w:rPr>
        <w:t>机关党建指导组、港澳台事务组、外事组、</w:t>
      </w:r>
      <w:r>
        <w:rPr>
          <w:rFonts w:hint="eastAsia" w:ascii="仿宋" w:hAnsi="仿宋" w:eastAsia="仿宋"/>
          <w:sz w:val="32"/>
          <w:szCs w:val="32"/>
        </w:rPr>
        <w:t>档</w:t>
      </w:r>
      <w:r>
        <w:rPr>
          <w:rFonts w:hint="eastAsia" w:ascii="仿宋" w:hAnsi="仿宋" w:eastAsia="仿宋"/>
          <w:spacing w:val="-6"/>
          <w:sz w:val="32"/>
          <w:szCs w:val="32"/>
        </w:rPr>
        <w:t>案行政管理组。</w:t>
      </w:r>
      <w:r>
        <w:rPr>
          <w:rFonts w:hint="eastAsia" w:ascii="仿宋" w:hAnsi="仿宋" w:eastAsia="仿宋" w:cs="仿宋_GB2312"/>
          <w:sz w:val="32"/>
          <w:szCs w:val="32"/>
        </w:rPr>
        <w:t>截止2020年底全部实有人员共计55人，其中在职行政编44人，全额事业编11人，离退休33人。</w:t>
      </w:r>
      <w:r>
        <w:rPr>
          <w:rFonts w:hint="eastAsia" w:ascii="仿宋" w:hAnsi="仿宋" w:eastAsia="仿宋"/>
          <w:sz w:val="32"/>
          <w:szCs w:val="32"/>
        </w:rPr>
        <w:t xml:space="preserve"> </w:t>
      </w:r>
    </w:p>
    <w:p>
      <w:pPr>
        <w:spacing w:line="560" w:lineRule="exact"/>
        <w:ind w:firstLine="643" w:firstLineChars="200"/>
        <w:rPr>
          <w:rFonts w:ascii="仿宋" w:hAnsi="仿宋" w:eastAsia="仿宋"/>
          <w:b/>
          <w:sz w:val="32"/>
          <w:szCs w:val="32"/>
        </w:rPr>
      </w:pPr>
      <w:r>
        <w:rPr>
          <w:rFonts w:hint="eastAsia" w:ascii="仿宋" w:hAnsi="仿宋" w:eastAsia="仿宋"/>
          <w:b/>
          <w:sz w:val="32"/>
          <w:szCs w:val="32"/>
        </w:rPr>
        <w:t>（二）主要工作职责</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1.负责县委会议的准备和组织协调工作，统筹协调县委领导同志公务活动，办理县委领导同志交办的事项。</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2.围绕县委工作部署，对涉及全县经济建设、社会发展、党的自身建设等全局性的重大问题进行调查研究，为县委科学决策提出建议、预案和依据。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3.负责县委文件和县委领导同志文稿的起草、校核、印发工作，负责文书处理工作；负责中央文件和党政军领导机关机要件的传递工作。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4.负责党内规范性文件的审核、报送、备案、清理，协调县委法律顾问服务相关工作。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5.研究、审核县委各部门、县直单位、乡镇党委（党组）向县委的请示、报告，提出处理意见报县委领导同志审批。</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6.负责以县委名义向市委请示报告工作的归口和把关，负责统筹、指导、督促全县党组织重大事项报告工作。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7.负责向中央、省委、市委、县委报送信息，反映有关动态；负责全县办公室系统的业务指导。</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8.负责中央、省委、市委、县委重大方针政策、重要工作部署和领导同志重要批示、批件（含重点交办事项）贯彻落实情况的督促检查工作；组织督办人大代表有关建议、政协委员有关提案；负责县委领导民情调查的服务和全县民情调查工作的组织指导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9.负责县委及县委各部门、县直单位年度督查检查考核划的归口审核和全县性年度督查检查考核计划的统一报批、监督实施。</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10.承担县绩效评估委员会办公室的日常工作，组织、协调、指导全县绩效评估工作。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11.负责编制、实施全县外事、港澳工作发展规划;负责重要外宾、重要港澳同胞的来访接待;负责全县涉外涉港澳活动的组织管理、联络协调，涉外涉港澳事件的处理工作;负责县级领导因公组团出访、外事接待相关事项:审核全县因公出国、赴港澳等有关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12.负责全县对台联络、经贸、交流、重宾接待、宣传教育的组织、指导、协调、检查、督促，审核全县因公赴台事项、负责涉台事件处理等工作。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13.负责中央、省委省政府、市委市政府等领导同志来衡南县视察期间的政务活动统筹安排与协调。</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14.负责全县档案事业的发展规划、组织协调；负责全县档案工作的监督和指导；负责全县档案法规的宣传教育以及依法查处档案违法行为。</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15.负责县委值班工作，及时向县委领导同志报告重要情况，协助处理县直机关单位和乡镇向县委反映的重要问题。</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16.负责贯彻执行保密工作的方针政策和法律法规，指导、协调党、政、军、人民团体机关、大中专院校及企事业单位的保密工作，负责监督、检查《</w:t>
      </w:r>
      <w:r>
        <w:rPr>
          <w:rFonts w:hint="eastAsia" w:ascii="仿宋" w:hAnsi="仿宋" w:eastAsia="仿宋"/>
          <w:sz w:val="32"/>
          <w:szCs w:val="32"/>
          <w:lang w:eastAsia="zh-CN"/>
        </w:rPr>
        <w:t>中华人民共和国保守国家秘密法</w:t>
      </w:r>
      <w:r>
        <w:rPr>
          <w:rFonts w:hint="eastAsia" w:ascii="仿宋" w:hAnsi="仿宋" w:eastAsia="仿宋"/>
          <w:sz w:val="32"/>
          <w:szCs w:val="32"/>
        </w:rPr>
        <w:t>》及其他</w:t>
      </w:r>
      <w:r>
        <w:rPr>
          <w:rFonts w:hint="eastAsia" w:ascii="仿宋" w:hAnsi="仿宋" w:eastAsia="仿宋"/>
          <w:sz w:val="32"/>
          <w:szCs w:val="32"/>
          <w:lang w:eastAsia="zh-CN"/>
        </w:rPr>
        <w:t>中华人民共和国保守国家秘密法</w:t>
      </w:r>
      <w:r>
        <w:rPr>
          <w:rFonts w:hint="eastAsia" w:ascii="仿宋" w:hAnsi="仿宋" w:eastAsia="仿宋"/>
          <w:sz w:val="32"/>
          <w:szCs w:val="32"/>
        </w:rPr>
        <w:t>律法规、规章制度在全县的贯彻实施、宣传教育、指导协调、监督管理和失泄密案件查处工作；制订全县保密工作年度计划，并负责督促落实；向县委、县政府和上级保密工作部门报告全县保密工作情况，提出改进和加强保密工作的意见建议；依法履行保密行政管理职能；负责组织、指导经常性的保密宣传教育工作；组织全县保密干部业务培训，开展保密工作调查研究；参与制订全县重大活动、重要会议、重要项目的保密工作预案，协同有关部门做好专项保密工作；组织、参与泄密事件的查处工作，督促有关单位对泄露和可能泄露的国家秘密事项采取补教措施；依法开展保密检查，加强对全县党政机关保密要害部门部位的管理；办理县委、县政府交办的保密工作事项，处理县委保密委员会的日常工作。</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17.完成县委和县委领导同志交办的其他任务。</w:t>
      </w:r>
    </w:p>
    <w:p>
      <w:pPr>
        <w:spacing w:line="560" w:lineRule="exact"/>
        <w:rPr>
          <w:rFonts w:ascii="黑体" w:hAnsi="黑体" w:eastAsia="黑体" w:cs="迷你简黑体"/>
          <w:bCs/>
          <w:sz w:val="32"/>
          <w:szCs w:val="32"/>
        </w:rPr>
      </w:pPr>
      <w:r>
        <w:rPr>
          <w:rFonts w:hint="eastAsia" w:ascii="仿宋" w:hAnsi="仿宋" w:eastAsia="仿宋" w:cs="迷你简黑体"/>
          <w:b/>
          <w:bCs/>
          <w:sz w:val="32"/>
          <w:szCs w:val="32"/>
        </w:rPr>
        <w:t xml:space="preserve">  </w:t>
      </w:r>
      <w:r>
        <w:rPr>
          <w:rFonts w:hint="eastAsia" w:ascii="仿宋" w:hAnsi="仿宋" w:eastAsia="仿宋" w:cs="迷你简黑体"/>
          <w:bCs/>
          <w:sz w:val="32"/>
          <w:szCs w:val="32"/>
        </w:rPr>
        <w:t xml:space="preserve">  </w:t>
      </w:r>
      <w:r>
        <w:rPr>
          <w:rFonts w:hint="eastAsia" w:ascii="黑体" w:hAnsi="黑体" w:eastAsia="黑体" w:cs="迷你简黑体"/>
          <w:bCs/>
          <w:sz w:val="32"/>
          <w:szCs w:val="32"/>
        </w:rPr>
        <w:t>二、部门整体支出管理及使用情况</w:t>
      </w:r>
    </w:p>
    <w:p>
      <w:pPr>
        <w:spacing w:line="560" w:lineRule="exact"/>
        <w:ind w:firstLine="643" w:firstLineChars="200"/>
        <w:rPr>
          <w:rFonts w:ascii="仿宋" w:hAnsi="仿宋" w:eastAsia="仿宋"/>
          <w:b/>
          <w:sz w:val="32"/>
          <w:szCs w:val="32"/>
        </w:rPr>
      </w:pPr>
      <w:r>
        <w:rPr>
          <w:rFonts w:hint="eastAsia" w:ascii="仿宋" w:hAnsi="仿宋" w:eastAsia="仿宋"/>
          <w:b/>
          <w:sz w:val="32"/>
          <w:szCs w:val="32"/>
        </w:rPr>
        <w:t>（一）2020年部门预算情况</w:t>
      </w:r>
    </w:p>
    <w:p>
      <w:pPr>
        <w:spacing w:line="560" w:lineRule="exact"/>
        <w:ind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经本级部门预算批复，2020年单位预算总收入1194.58万元，其中：经费拨款1194.58万元。</w:t>
      </w:r>
    </w:p>
    <w:p>
      <w:pPr>
        <w:spacing w:line="560" w:lineRule="exact"/>
        <w:ind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2020年单位预算总支出1194.58万元，其中：工资福利支出554.02万元，一般商品和服务支出44万元，对个人和家庭的支出8.16万元，项目支出588.4万元。</w:t>
      </w:r>
    </w:p>
    <w:p>
      <w:pPr>
        <w:spacing w:line="560" w:lineRule="exact"/>
        <w:ind w:firstLine="643" w:firstLineChars="200"/>
        <w:rPr>
          <w:rFonts w:ascii="仿宋" w:hAnsi="仿宋" w:eastAsia="仿宋"/>
          <w:b/>
          <w:sz w:val="32"/>
          <w:szCs w:val="32"/>
        </w:rPr>
      </w:pPr>
      <w:r>
        <w:rPr>
          <w:rFonts w:hint="eastAsia" w:ascii="仿宋" w:hAnsi="仿宋" w:eastAsia="仿宋"/>
          <w:b/>
          <w:sz w:val="32"/>
          <w:szCs w:val="32"/>
        </w:rPr>
        <w:t>（二）2020年部门决算情况</w:t>
      </w:r>
    </w:p>
    <w:p>
      <w:pPr>
        <w:spacing w:line="560" w:lineRule="exact"/>
        <w:ind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本年总收入1835.05万元，其中：财政拨款收入1835.05万元，其他收入0万元。</w:t>
      </w:r>
    </w:p>
    <w:p>
      <w:pPr>
        <w:spacing w:line="560" w:lineRule="exact"/>
        <w:ind w:firstLine="640" w:firstLineChars="200"/>
        <w:rPr>
          <w:rFonts w:ascii="仿宋" w:hAnsi="仿宋" w:eastAsia="仿宋" w:cs="仿宋"/>
          <w:color w:val="333333"/>
          <w:sz w:val="32"/>
          <w:szCs w:val="32"/>
        </w:rPr>
      </w:pPr>
      <w:r>
        <w:rPr>
          <w:rFonts w:hint="eastAsia" w:ascii="仿宋" w:hAnsi="仿宋" w:eastAsia="仿宋" w:cs="仿宋"/>
          <w:color w:val="333333"/>
          <w:sz w:val="32"/>
          <w:szCs w:val="32"/>
        </w:rPr>
        <w:t>本年总支出1855.16万元，其中：工资福利支出822.37万元，占总支出44.33%，日常公用经费支出51.96万元，占总支出2.8%，项目支出980.83万元，占总支出52.87%。</w:t>
      </w:r>
    </w:p>
    <w:p>
      <w:pPr>
        <w:spacing w:line="560" w:lineRule="exact"/>
        <w:ind w:firstLine="643" w:firstLineChars="200"/>
        <w:rPr>
          <w:rFonts w:ascii="仿宋" w:hAnsi="仿宋" w:eastAsia="仿宋"/>
          <w:b/>
          <w:sz w:val="32"/>
          <w:szCs w:val="32"/>
        </w:rPr>
      </w:pPr>
      <w:r>
        <w:rPr>
          <w:rFonts w:hint="eastAsia" w:ascii="仿宋" w:hAnsi="仿宋" w:eastAsia="仿宋"/>
          <w:b/>
          <w:sz w:val="32"/>
          <w:szCs w:val="32"/>
        </w:rPr>
        <w:t>（三）2020年支出分类情况</w:t>
      </w:r>
    </w:p>
    <w:p>
      <w:pPr>
        <w:spacing w:line="560" w:lineRule="exact"/>
        <w:ind w:firstLine="643" w:firstLineChars="200"/>
        <w:rPr>
          <w:rFonts w:ascii="仿宋" w:hAnsi="仿宋" w:eastAsia="仿宋"/>
          <w:b/>
          <w:bCs/>
          <w:sz w:val="32"/>
          <w:szCs w:val="32"/>
        </w:rPr>
      </w:pPr>
      <w:r>
        <w:rPr>
          <w:rFonts w:hint="eastAsia" w:ascii="仿宋" w:hAnsi="仿宋" w:eastAsia="仿宋"/>
          <w:b/>
          <w:bCs/>
          <w:sz w:val="32"/>
          <w:szCs w:val="32"/>
        </w:rPr>
        <w:t>1.基本支出情况。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办基本支出范围和主要用途包括：人员经费和日常公用经费。本级基本支出总额874.33万元，其中：工资福利支出813.29万元；对个人和家庭的补助支出9.76万元；商品和服务支出51.28万元。系保障我办正常运转，完成日常工作任务发生的各项支出，主要用于干部职工工资、津补贴、办公费、差旅费和办公设备购置等日常公用经费的开支。</w:t>
      </w:r>
    </w:p>
    <w:p>
      <w:pPr>
        <w:spacing w:line="560" w:lineRule="exact"/>
        <w:ind w:firstLine="643" w:firstLineChars="200"/>
        <w:rPr>
          <w:rFonts w:ascii="仿宋" w:hAnsi="仿宋" w:eastAsia="仿宋"/>
          <w:b/>
          <w:bCs/>
          <w:sz w:val="32"/>
          <w:szCs w:val="32"/>
        </w:rPr>
      </w:pPr>
      <w:r>
        <w:rPr>
          <w:rFonts w:hint="eastAsia" w:ascii="仿宋" w:hAnsi="仿宋" w:eastAsia="仿宋"/>
          <w:b/>
          <w:bCs/>
          <w:sz w:val="32"/>
          <w:szCs w:val="32"/>
        </w:rPr>
        <w:t>2、专项支出情况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2020年初预算为580.4万元，实际拨付为986.83万元，增加款项为406.43万元，具体用途为：1、县委办增加绩效考核专项经费116万元。用于县委、县政府2019年度绩效评估考核表彰单位奖励。2、省委巡视增加工作经费160万元。3、机要局升级改造增加工作经费130.43万元。</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2020年我办的专项商品和服务支出经费主要用于：①机关党建专项经费60万元，用于入党积极分子、支部书记的培训，走访困难党员等工作；②县委经济工作会议专项经费68万元，用于召开县委经济工作会，县委全会等会议；③县委党务工作会议专项经费70万元，用于县委牵头抓总的除经济工作会议以外的其它综合协调重要会议的组织协调工作，承办县委常委会、专题会议的会务组织工作及纪要起草、送签、发放等工作。④改革办专项经费75万元，用于我县全面深化改革重大问题的政策研究、统筹协调；负责深改委的简报编印、资料管理等工作。</w:t>
      </w:r>
    </w:p>
    <w:p>
      <w:pPr>
        <w:spacing w:line="560" w:lineRule="exact"/>
        <w:ind w:firstLine="643" w:firstLineChars="200"/>
        <w:rPr>
          <w:rFonts w:ascii="仿宋" w:hAnsi="仿宋" w:eastAsia="仿宋"/>
          <w:b/>
          <w:sz w:val="32"/>
          <w:szCs w:val="32"/>
        </w:rPr>
      </w:pPr>
      <w:r>
        <w:rPr>
          <w:rFonts w:hint="eastAsia" w:ascii="仿宋" w:hAnsi="仿宋" w:eastAsia="仿宋"/>
          <w:b/>
          <w:sz w:val="32"/>
          <w:szCs w:val="32"/>
        </w:rPr>
        <w:t>（四）“三公”经费情况</w:t>
      </w:r>
    </w:p>
    <w:p>
      <w:pPr>
        <w:spacing w:line="560" w:lineRule="exact"/>
        <w:ind w:firstLine="640" w:firstLineChars="200"/>
        <w:rPr>
          <w:rFonts w:ascii="仿宋" w:hAnsi="仿宋" w:eastAsia="仿宋"/>
          <w:sz w:val="32"/>
          <w:szCs w:val="32"/>
        </w:rPr>
      </w:pPr>
      <w:r>
        <w:rPr>
          <w:rFonts w:hint="eastAsia" w:ascii="仿宋" w:hAnsi="仿宋" w:eastAsia="仿宋" w:cs="仿宋"/>
          <w:sz w:val="32"/>
          <w:szCs w:val="32"/>
        </w:rPr>
        <w:t>2020年，我办“三公”经费均控制在预算范围内，实际支出15.42万元，其中公务接待3.43万元，2020年公务接待费比上年减少9.84万元（主要原因是县委、县政府接待处已与机关事务中心合并，职能与人员已划出。</w:t>
      </w:r>
      <w:r>
        <w:rPr>
          <w:rFonts w:hint="eastAsia" w:ascii="仿宋" w:hAnsi="仿宋" w:eastAsia="仿宋"/>
          <w:sz w:val="32"/>
          <w:szCs w:val="32"/>
        </w:rPr>
        <w:t>其中：因公出国出境费用本年未发生经费支出。</w:t>
      </w:r>
    </w:p>
    <w:p>
      <w:pPr>
        <w:spacing w:line="560" w:lineRule="exact"/>
        <w:ind w:firstLine="640" w:firstLineChars="200"/>
        <w:rPr>
          <w:rFonts w:ascii="黑体" w:hAnsi="黑体" w:eastAsia="黑体" w:cs="仿宋"/>
          <w:color w:val="333333"/>
          <w:sz w:val="32"/>
          <w:szCs w:val="32"/>
        </w:rPr>
      </w:pPr>
      <w:r>
        <w:rPr>
          <w:rFonts w:hint="eastAsia" w:ascii="黑体" w:hAnsi="黑体" w:eastAsia="黑体" w:cs="仿宋"/>
          <w:color w:val="333333"/>
          <w:sz w:val="32"/>
          <w:szCs w:val="32"/>
        </w:rPr>
        <w:t>三、部门专项组织实施情况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我办财务管理严格依法依规，做到公开公平公正，在严格执行各项有关法律法规、财经纪律、财务规章制度的同时，根据单位自身情况结合各项规定编制了《衡南县委办内部控制手册》，系统阐述了预（决）算、政府采购、国库集中支付、专项资金等管理办法和操作规程。</w:t>
      </w:r>
    </w:p>
    <w:p>
      <w:pPr>
        <w:spacing w:line="560" w:lineRule="exact"/>
        <w:ind w:firstLine="640" w:firstLineChars="200"/>
        <w:rPr>
          <w:rFonts w:ascii="黑体" w:hAnsi="黑体" w:eastAsia="黑体" w:cs="仿宋"/>
          <w:color w:val="333333"/>
          <w:sz w:val="32"/>
          <w:szCs w:val="32"/>
        </w:rPr>
      </w:pPr>
      <w:r>
        <w:rPr>
          <w:rFonts w:hint="eastAsia" w:ascii="黑体" w:hAnsi="黑体" w:eastAsia="黑体" w:cs="仿宋"/>
          <w:color w:val="333333"/>
          <w:sz w:val="32"/>
          <w:szCs w:val="32"/>
        </w:rPr>
        <w:t>四、部门整体支出绩效指标评价情况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2020年，根据我办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1、在职人员控制率：100%。</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2、“三公经费”控制率：-4.97%。严格控制“三公经费”支出，开源节流。</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3、预算完成率：92%。</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4、政府采购执行率：100%。</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5、在资金管理上，我办制定了一系列的财务管理制度。</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五、存在的主要问题</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1.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2、公务卡使用力度还应加强，减少现金支付。</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六、改进措施和建议</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一是建议加强政策学习，提高思想认识。组织单位人员认真学习《预算法》等相关法规、制度，提高单位领导对全面预算管理的重视程度，增强财务人员的预算意识，坚持先有预算、后有支出，没有预算不得支出的支出理念。</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二是建议细化预算指标，提高预算科学性。预算编制前根据年度内单位可预见的工作任务，确定单位年度预算目标，细化预算指标，科学合理编制部门预算，推进预算编制科学化准确化。</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三是建议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560" w:lineRule="exact"/>
        <w:ind w:firstLine="640" w:firstLineChars="200"/>
        <w:rPr>
          <w:rFonts w:ascii="仿宋" w:hAnsi="仿宋" w:eastAsia="仿宋"/>
          <w:sz w:val="32"/>
          <w:szCs w:val="32"/>
        </w:rPr>
      </w:pPr>
    </w:p>
    <w:p>
      <w:pPr>
        <w:spacing w:line="560" w:lineRule="exact"/>
        <w:ind w:firstLine="640" w:firstLineChars="200"/>
        <w:rPr>
          <w:rFonts w:ascii="仿宋" w:hAnsi="仿宋" w:eastAsia="仿宋"/>
          <w:sz w:val="32"/>
          <w:szCs w:val="32"/>
        </w:rPr>
      </w:pPr>
    </w:p>
    <w:p>
      <w:pPr>
        <w:spacing w:line="560" w:lineRule="exact"/>
        <w:jc w:val="center"/>
        <w:rPr>
          <w:rFonts w:ascii="黑体" w:hAnsi="黑体" w:eastAsia="黑体"/>
          <w:sz w:val="44"/>
          <w:szCs w:val="44"/>
        </w:rPr>
      </w:pPr>
      <w:r>
        <w:rPr>
          <w:rFonts w:hint="eastAsia" w:ascii="仿宋" w:hAnsi="仿宋" w:eastAsia="仿宋"/>
          <w:sz w:val="32"/>
          <w:szCs w:val="32"/>
        </w:rPr>
        <w:t xml:space="preserve">                        </w:t>
      </w: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p>
      <w:pPr>
        <w:spacing w:line="560" w:lineRule="exact"/>
        <w:jc w:val="center"/>
        <w:rPr>
          <w:rFonts w:ascii="黑体" w:hAnsi="黑体" w:eastAsia="黑体"/>
          <w:sz w:val="44"/>
          <w:szCs w:val="44"/>
        </w:rPr>
      </w:pPr>
    </w:p>
    <w:sectPr>
      <w:footerReference r:id="rId3" w:type="default"/>
      <w:pgSz w:w="11910" w:h="16840"/>
      <w:pgMar w:top="1588" w:right="1418" w:bottom="1247" w:left="1418" w:header="1134" w:footer="1247"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altName w:val="Times New Roman"/>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黑体_GBK">
    <w:altName w:val="Times New Roman"/>
    <w:panose1 w:val="00000000000000000000"/>
    <w:charset w:val="00"/>
    <w:family w:val="auto"/>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方正仿宋_GBK">
    <w:altName w:val="微软雅黑"/>
    <w:panose1 w:val="00000000000000000000"/>
    <w:charset w:val="86"/>
    <w:family w:val="auto"/>
    <w:pitch w:val="default"/>
    <w:sig w:usb0="00000000" w:usb1="00000000" w:usb2="00000000" w:usb3="00000000" w:csb0="00040000" w:csb1="00000000"/>
  </w:font>
  <w:font w:name="迷你简黑体">
    <w:altName w:val="黑体"/>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4604672"/>
    </w:sdtPr>
    <w:sdtContent>
      <w:p>
        <w:pPr>
          <w:pStyle w:val="8"/>
          <w:jc w:val="center"/>
        </w:pPr>
        <w:r>
          <w:fldChar w:fldCharType="begin"/>
        </w:r>
        <w:r>
          <w:instrText xml:space="preserve"> PAGE   \* MERGEFORMAT </w:instrText>
        </w:r>
        <w:r>
          <w:fldChar w:fldCharType="separate"/>
        </w:r>
        <w:r>
          <w:rPr>
            <w:lang w:val="zh-CN"/>
          </w:rPr>
          <w:t>24</w:t>
        </w:r>
        <w:r>
          <w:rPr>
            <w:lang w:val="zh-CN"/>
          </w:rPr>
          <w:fldChar w:fldCharType="end"/>
        </w:r>
      </w:p>
    </w:sdtContent>
  </w:sdt>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F68C87F"/>
    <w:multiLevelType w:val="singleLevel"/>
    <w:tmpl w:val="9F68C87F"/>
    <w:lvl w:ilvl="0" w:tentative="0">
      <w:start w:val="5"/>
      <w:numFmt w:val="chineseCounting"/>
      <w:suff w:val="space"/>
      <w:lvlText w:val="第%1部分"/>
      <w:lvlJc w:val="left"/>
      <w:rPr>
        <w:rFonts w:hint="eastAsia"/>
      </w:rPr>
    </w:lvl>
  </w:abstractNum>
  <w:abstractNum w:abstractNumId="1">
    <w:nsid w:val="DF4F331F"/>
    <w:multiLevelType w:val="singleLevel"/>
    <w:tmpl w:val="DF4F331F"/>
    <w:lvl w:ilvl="0" w:tentative="0">
      <w:start w:val="1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2"/>
  </w:compat>
  <w:rsids>
    <w:rsidRoot w:val="007935F7"/>
    <w:rsid w:val="00047646"/>
    <w:rsid w:val="0023376D"/>
    <w:rsid w:val="003C1C34"/>
    <w:rsid w:val="00450C59"/>
    <w:rsid w:val="005218DC"/>
    <w:rsid w:val="005B5EDC"/>
    <w:rsid w:val="007935F7"/>
    <w:rsid w:val="00892697"/>
    <w:rsid w:val="00AA0C5E"/>
    <w:rsid w:val="00B55F56"/>
    <w:rsid w:val="00BE0EF9"/>
    <w:rsid w:val="00BF5B0E"/>
    <w:rsid w:val="00D5753A"/>
    <w:rsid w:val="00DE0E86"/>
    <w:rsid w:val="00E738A4"/>
    <w:rsid w:val="00F02618"/>
    <w:rsid w:val="00F65098"/>
    <w:rsid w:val="00FD7CC1"/>
    <w:rsid w:val="2B792B49"/>
    <w:rsid w:val="2CAC2780"/>
    <w:rsid w:val="35A70781"/>
    <w:rsid w:val="42314852"/>
    <w:rsid w:val="4F42087D"/>
    <w:rsid w:val="59763E16"/>
    <w:rsid w:val="726105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qFormat="1" w:unhideWhenUsed="0" w:uiPriority="1"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宋体" w:hAnsi="宋体" w:eastAsia="宋体" w:cs="宋体"/>
      <w:sz w:val="22"/>
      <w:szCs w:val="22"/>
      <w:lang w:val="zh-CN" w:eastAsia="zh-CN" w:bidi="zh-CN"/>
    </w:rPr>
  </w:style>
  <w:style w:type="paragraph" w:styleId="2">
    <w:name w:val="heading 1"/>
    <w:basedOn w:val="1"/>
    <w:next w:val="1"/>
    <w:qFormat/>
    <w:uiPriority w:val="1"/>
    <w:pPr>
      <w:spacing w:before="42"/>
      <w:ind w:left="3536"/>
      <w:outlineLvl w:val="0"/>
    </w:pPr>
    <w:rPr>
      <w:sz w:val="30"/>
      <w:szCs w:val="30"/>
    </w:rPr>
  </w:style>
  <w:style w:type="paragraph" w:styleId="3">
    <w:name w:val="heading 2"/>
    <w:basedOn w:val="1"/>
    <w:next w:val="1"/>
    <w:qFormat/>
    <w:uiPriority w:val="1"/>
    <w:pPr>
      <w:spacing w:before="43"/>
      <w:jc w:val="right"/>
      <w:outlineLvl w:val="1"/>
    </w:pPr>
    <w:rPr>
      <w:sz w:val="27"/>
      <w:szCs w:val="27"/>
    </w:rPr>
  </w:style>
  <w:style w:type="paragraph" w:styleId="4">
    <w:name w:val="heading 3"/>
    <w:basedOn w:val="1"/>
    <w:next w:val="1"/>
    <w:qFormat/>
    <w:uiPriority w:val="1"/>
    <w:pPr>
      <w:spacing w:before="42"/>
      <w:ind w:left="3279"/>
      <w:outlineLvl w:val="2"/>
    </w:pPr>
    <w:rPr>
      <w:sz w:val="24"/>
      <w:szCs w:val="24"/>
    </w:rPr>
  </w:style>
  <w:style w:type="paragraph" w:styleId="5">
    <w:name w:val="heading 4"/>
    <w:basedOn w:val="1"/>
    <w:next w:val="1"/>
    <w:qFormat/>
    <w:uiPriority w:val="1"/>
    <w:pPr>
      <w:ind w:left="157"/>
      <w:outlineLvl w:val="3"/>
    </w:pPr>
  </w:style>
  <w:style w:type="character" w:default="1" w:styleId="11">
    <w:name w:val="Default Paragraph Font"/>
    <w:semiHidden/>
    <w:unhideWhenUsed/>
    <w:uiPriority w:val="1"/>
  </w:style>
  <w:style w:type="table" w:default="1" w:styleId="10">
    <w:name w:val="Normal Table"/>
    <w:semiHidden/>
    <w:unhideWhenUsed/>
    <w:uiPriority w:val="99"/>
    <w:tblPr>
      <w:tblLayout w:type="fixed"/>
      <w:tblCellMar>
        <w:top w:w="0" w:type="dxa"/>
        <w:left w:w="108" w:type="dxa"/>
        <w:bottom w:w="0" w:type="dxa"/>
        <w:right w:w="108" w:type="dxa"/>
      </w:tblCellMar>
    </w:tblPr>
  </w:style>
  <w:style w:type="paragraph" w:styleId="6">
    <w:name w:val="Body Text"/>
    <w:basedOn w:val="1"/>
    <w:qFormat/>
    <w:uiPriority w:val="1"/>
    <w:rPr>
      <w:sz w:val="20"/>
      <w:szCs w:val="20"/>
    </w:rPr>
  </w:style>
  <w:style w:type="paragraph" w:styleId="7">
    <w:name w:val="Balloon Text"/>
    <w:basedOn w:val="1"/>
    <w:link w:val="20"/>
    <w:uiPriority w:val="0"/>
    <w:rPr>
      <w:sz w:val="18"/>
      <w:szCs w:val="18"/>
    </w:rPr>
  </w:style>
  <w:style w:type="paragraph" w:styleId="8">
    <w:name w:val="footer"/>
    <w:basedOn w:val="1"/>
    <w:link w:val="17"/>
    <w:unhideWhenUsed/>
    <w:qFormat/>
    <w:uiPriority w:val="99"/>
    <w:pPr>
      <w:autoSpaceDE/>
      <w:autoSpaceDN/>
      <w:snapToGrid w:val="0"/>
    </w:pPr>
    <w:rPr>
      <w:rFonts w:ascii="Calibri" w:hAnsi="Calibri" w:cs="Times New Roman"/>
      <w:kern w:val="2"/>
      <w:sz w:val="18"/>
      <w:szCs w:val="18"/>
      <w:lang w:val="en-US" w:bidi="ar-SA"/>
    </w:rPr>
  </w:style>
  <w:style w:type="paragraph" w:styleId="9">
    <w:name w:val="header"/>
    <w:basedOn w:val="1"/>
    <w:link w:val="19"/>
    <w:qFormat/>
    <w:uiPriority w:val="0"/>
    <w:pPr>
      <w:pBdr>
        <w:bottom w:val="single" w:color="auto" w:sz="6" w:space="1"/>
      </w:pBdr>
      <w:tabs>
        <w:tab w:val="center" w:pos="4153"/>
        <w:tab w:val="right" w:pos="8306"/>
      </w:tabs>
      <w:snapToGrid w:val="0"/>
      <w:jc w:val="center"/>
    </w:pPr>
    <w:rPr>
      <w:sz w:val="18"/>
      <w:szCs w:val="18"/>
    </w:rPr>
  </w:style>
  <w:style w:type="table" w:customStyle="1" w:styleId="12">
    <w:name w:val="Table Normal"/>
    <w:semiHidden/>
    <w:unhideWhenUsed/>
    <w:qFormat/>
    <w:uiPriority w:val="2"/>
    <w:tblPr>
      <w:tblLayout w:type="fixed"/>
      <w:tblCellMar>
        <w:top w:w="0" w:type="dxa"/>
        <w:left w:w="0" w:type="dxa"/>
        <w:bottom w:w="0" w:type="dxa"/>
        <w:right w:w="0" w:type="dxa"/>
      </w:tblCellMar>
    </w:tblPr>
  </w:style>
  <w:style w:type="paragraph" w:styleId="13">
    <w:name w:val="List Paragraph"/>
    <w:basedOn w:val="1"/>
    <w:qFormat/>
    <w:uiPriority w:val="1"/>
  </w:style>
  <w:style w:type="paragraph" w:customStyle="1" w:styleId="14">
    <w:name w:val="Table Paragraph"/>
    <w:basedOn w:val="1"/>
    <w:qFormat/>
    <w:uiPriority w:val="1"/>
    <w:pPr>
      <w:spacing w:before="7"/>
    </w:pPr>
  </w:style>
  <w:style w:type="paragraph" w:customStyle="1" w:styleId="15">
    <w:name w:val="普通(网站) Char"/>
    <w:basedOn w:val="1"/>
    <w:qFormat/>
    <w:uiPriority w:val="0"/>
    <w:pPr>
      <w:widowControl/>
      <w:autoSpaceDE/>
      <w:autoSpaceDN/>
      <w:spacing w:before="100" w:beforeAutospacing="1" w:after="100" w:afterAutospacing="1"/>
    </w:pPr>
    <w:rPr>
      <w:rFonts w:cs="Times New Roman"/>
      <w:sz w:val="24"/>
      <w:szCs w:val="24"/>
      <w:lang w:val="en-US" w:bidi="ar-SA"/>
    </w:rPr>
  </w:style>
  <w:style w:type="character" w:customStyle="1" w:styleId="16">
    <w:name w:val="15"/>
    <w:basedOn w:val="11"/>
    <w:qFormat/>
    <w:uiPriority w:val="0"/>
    <w:rPr>
      <w:rFonts w:hint="default" w:ascii="Times New Roman" w:hAnsi="Times New Roman" w:cs="Times New Roman"/>
      <w:b/>
      <w:bCs/>
    </w:rPr>
  </w:style>
  <w:style w:type="character" w:customStyle="1" w:styleId="17">
    <w:name w:val="页脚 Char"/>
    <w:basedOn w:val="11"/>
    <w:link w:val="8"/>
    <w:qFormat/>
    <w:uiPriority w:val="99"/>
    <w:rPr>
      <w:rFonts w:ascii="Calibri" w:hAnsi="Calibri" w:eastAsia="宋体" w:cs="Times New Roman"/>
      <w:kern w:val="2"/>
      <w:sz w:val="18"/>
      <w:szCs w:val="18"/>
    </w:rPr>
  </w:style>
  <w:style w:type="paragraph" w:customStyle="1" w:styleId="18">
    <w:name w:val="Default"/>
    <w:basedOn w:val="1"/>
    <w:qFormat/>
    <w:uiPriority w:val="0"/>
    <w:pPr>
      <w:adjustRightInd w:val="0"/>
    </w:pPr>
    <w:rPr>
      <w:rFonts w:ascii="黑体" w:hAnsi="Times New Roman" w:eastAsia="黑体"/>
      <w:color w:val="000000"/>
      <w:sz w:val="24"/>
      <w:szCs w:val="24"/>
      <w:lang w:val="en-US" w:bidi="ar-SA"/>
    </w:rPr>
  </w:style>
  <w:style w:type="character" w:customStyle="1" w:styleId="19">
    <w:name w:val="页眉 Char"/>
    <w:basedOn w:val="11"/>
    <w:link w:val="9"/>
    <w:qFormat/>
    <w:uiPriority w:val="0"/>
    <w:rPr>
      <w:rFonts w:ascii="宋体" w:hAnsi="宋体" w:eastAsia="宋体" w:cs="宋体"/>
      <w:sz w:val="18"/>
      <w:szCs w:val="18"/>
      <w:lang w:val="zh-CN" w:bidi="zh-CN"/>
    </w:rPr>
  </w:style>
  <w:style w:type="character" w:customStyle="1" w:styleId="20">
    <w:name w:val="批注框文本 Char"/>
    <w:basedOn w:val="11"/>
    <w:link w:val="7"/>
    <w:qFormat/>
    <w:uiPriority w:val="0"/>
    <w:rPr>
      <w:rFonts w:ascii="宋体" w:hAnsi="宋体" w:eastAsia="宋体" w:cs="宋体"/>
      <w:sz w:val="18"/>
      <w:szCs w:val="18"/>
      <w:lang w:val="zh-CN" w:bidi="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27</Pages>
  <Words>1581</Words>
  <Characters>9017</Characters>
  <Lines>75</Lines>
  <Paragraphs>21</Paragraphs>
  <TotalTime>12</TotalTime>
  <ScaleCrop>false</ScaleCrop>
  <LinksUpToDate>false</LinksUpToDate>
  <CharactersWithSpaces>10577</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2021-11-12T04:29:00Z</dcterms:created>
  <dc:creator>Administrator</dc:creator>
  <cp:lastModifiedBy>茜茜</cp:lastModifiedBy>
  <dcterms:modified xsi:type="dcterms:W3CDTF">2024-01-11T01:38:23Z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2021-11-11T00:00:00Z</vt:filetime>
  </property>
  <property fmtid="{D5CDD505-2E9C-101B-9397-08002B2CF9AE}" pid="3" name="Creator">
    <vt:lpwstr>WPS 表格</vt:lpwstr>
  </property>
  <property fmtid="{D5CDD505-2E9C-101B-9397-08002B2CF9AE}" pid="4" name="LastSaved">
    <vt:filetime>2021-11-11T00:00:00Z</vt:filetime>
  </property>
  <property fmtid="{D5CDD505-2E9C-101B-9397-08002B2CF9AE}" pid="5" name="KSOProductBuildVer">
    <vt:lpwstr>2052-11.3.0.8775</vt:lpwstr>
  </property>
  <property fmtid="{D5CDD505-2E9C-101B-9397-08002B2CF9AE}" pid="6" name="ICV">
    <vt:lpwstr>FA4FF10601B54EAA9BE228FB9AF8559B</vt:lpwstr>
  </property>
</Properties>
</file>