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jc w:val="center"/>
        <w:rPr>
          <w:rFonts w:hint="eastAsia" w:ascii="黑体" w:hAnsi="宋体" w:eastAsia="黑体" w:cs="黑体"/>
          <w:color w:val="000000"/>
          <w:kern w:val="0"/>
          <w:sz w:val="55"/>
          <w:szCs w:val="55"/>
        </w:rPr>
      </w:pPr>
      <w:r>
        <w:rPr>
          <w:rFonts w:hint="eastAsia" w:ascii="黑体" w:hAnsi="宋体" w:eastAsia="黑体" w:cs="黑体"/>
          <w:color w:val="000000"/>
          <w:kern w:val="0"/>
          <w:sz w:val="55"/>
          <w:szCs w:val="55"/>
        </w:rPr>
        <w:t>衡南县人力资源和社会保障局2018年决算公开说明</w:t>
      </w:r>
    </w:p>
    <w:p>
      <w:pPr>
        <w:widowControl/>
        <w:jc w:val="center"/>
      </w:pPr>
      <w:r>
        <w:rPr>
          <w:rFonts w:ascii="黑体" w:hAnsi="宋体" w:eastAsia="黑体" w:cs="黑体"/>
          <w:color w:val="000000"/>
          <w:kern w:val="0"/>
          <w:sz w:val="55"/>
          <w:szCs w:val="55"/>
        </w:rPr>
        <w:t>目录</w:t>
      </w:r>
    </w:p>
    <w:p>
      <w:pPr>
        <w:widowControl/>
        <w:jc w:val="left"/>
      </w:pPr>
      <w:r>
        <w:rPr>
          <w:rFonts w:hint="eastAsia" w:ascii="黑体" w:hAnsi="宋体" w:eastAsia="黑体" w:cs="黑体"/>
          <w:b/>
          <w:color w:val="000000"/>
          <w:kern w:val="0"/>
          <w:sz w:val="28"/>
          <w:szCs w:val="28"/>
        </w:rPr>
        <w:t>第一部分衡南县人力资源和社会保障局概况</w:t>
      </w:r>
    </w:p>
    <w:p>
      <w:pPr>
        <w:widowControl/>
        <w:jc w:val="left"/>
      </w:pPr>
      <w:r>
        <w:rPr>
          <w:rFonts w:hint="eastAsia" w:ascii="宋体" w:hAnsi="宋体" w:eastAsia="宋体" w:cs="宋体"/>
          <w:color w:val="000000"/>
          <w:kern w:val="0"/>
          <w:sz w:val="28"/>
          <w:szCs w:val="28"/>
        </w:rPr>
        <w:t>一、部门职责</w:t>
      </w:r>
    </w:p>
    <w:p>
      <w:pPr>
        <w:widowControl/>
        <w:jc w:val="left"/>
      </w:pPr>
      <w:r>
        <w:rPr>
          <w:rFonts w:hint="eastAsia" w:ascii="宋体" w:hAnsi="宋体" w:eastAsia="宋体" w:cs="宋体"/>
          <w:color w:val="000000"/>
          <w:kern w:val="0"/>
          <w:sz w:val="28"/>
          <w:szCs w:val="28"/>
        </w:rPr>
        <w:t>二、机构设置</w:t>
      </w:r>
    </w:p>
    <w:p>
      <w:pPr>
        <w:widowControl/>
        <w:jc w:val="left"/>
      </w:pPr>
      <w:r>
        <w:rPr>
          <w:rFonts w:hint="eastAsia" w:ascii="黑体" w:hAnsi="宋体" w:eastAsia="黑体" w:cs="黑体"/>
          <w:b/>
          <w:color w:val="000000"/>
          <w:kern w:val="0"/>
          <w:sz w:val="28"/>
          <w:szCs w:val="28"/>
        </w:rPr>
        <w:t>第二部分2018年度部门决算表</w:t>
      </w:r>
    </w:p>
    <w:p>
      <w:pPr>
        <w:widowControl/>
        <w:jc w:val="left"/>
      </w:pPr>
      <w:r>
        <w:rPr>
          <w:rFonts w:hint="eastAsia" w:ascii="宋体" w:hAnsi="宋体" w:eastAsia="宋体" w:cs="宋体"/>
          <w:color w:val="000000"/>
          <w:kern w:val="0"/>
          <w:sz w:val="28"/>
          <w:szCs w:val="28"/>
        </w:rPr>
        <w:t>一、收入支出决算总表</w:t>
      </w:r>
    </w:p>
    <w:p>
      <w:pPr>
        <w:widowControl/>
        <w:jc w:val="left"/>
      </w:pPr>
      <w:r>
        <w:rPr>
          <w:rFonts w:hint="eastAsia" w:ascii="宋体" w:hAnsi="宋体" w:eastAsia="宋体" w:cs="宋体"/>
          <w:color w:val="000000"/>
          <w:kern w:val="0"/>
          <w:sz w:val="28"/>
          <w:szCs w:val="28"/>
        </w:rPr>
        <w:t>二、收入决算表</w:t>
      </w:r>
    </w:p>
    <w:p>
      <w:pPr>
        <w:widowControl/>
        <w:jc w:val="left"/>
      </w:pPr>
      <w:r>
        <w:rPr>
          <w:rFonts w:hint="eastAsia" w:ascii="宋体" w:hAnsi="宋体" w:eastAsia="宋体" w:cs="宋体"/>
          <w:color w:val="000000"/>
          <w:kern w:val="0"/>
          <w:sz w:val="28"/>
          <w:szCs w:val="28"/>
        </w:rPr>
        <w:t>三、支出决算表</w:t>
      </w:r>
    </w:p>
    <w:p>
      <w:pPr>
        <w:widowControl/>
        <w:jc w:val="left"/>
      </w:pPr>
      <w:r>
        <w:rPr>
          <w:rFonts w:hint="eastAsia" w:ascii="宋体" w:hAnsi="宋体" w:eastAsia="宋体" w:cs="宋体"/>
          <w:color w:val="000000"/>
          <w:kern w:val="0"/>
          <w:sz w:val="28"/>
          <w:szCs w:val="28"/>
        </w:rPr>
        <w:t>四、财政拨款收入支出决算总表</w:t>
      </w:r>
    </w:p>
    <w:p>
      <w:pPr>
        <w:widowControl/>
        <w:jc w:val="left"/>
      </w:pPr>
      <w:r>
        <w:rPr>
          <w:rFonts w:hint="eastAsia" w:ascii="宋体" w:hAnsi="宋体" w:eastAsia="宋体" w:cs="宋体"/>
          <w:color w:val="000000"/>
          <w:kern w:val="0"/>
          <w:sz w:val="28"/>
          <w:szCs w:val="28"/>
        </w:rPr>
        <w:t>五、一般公共预算财政拨款支出决算表</w:t>
      </w:r>
    </w:p>
    <w:p>
      <w:pPr>
        <w:widowControl/>
        <w:jc w:val="left"/>
      </w:pPr>
      <w:r>
        <w:rPr>
          <w:rFonts w:hint="eastAsia" w:ascii="宋体" w:hAnsi="宋体" w:eastAsia="宋体" w:cs="宋体"/>
          <w:color w:val="000000"/>
          <w:kern w:val="0"/>
          <w:sz w:val="28"/>
          <w:szCs w:val="28"/>
        </w:rPr>
        <w:t>六、一般公共预算财政拨款基本支出决算表</w:t>
      </w:r>
    </w:p>
    <w:p>
      <w:pPr>
        <w:widowControl/>
        <w:jc w:val="left"/>
      </w:pPr>
      <w:r>
        <w:rPr>
          <w:rFonts w:hint="eastAsia" w:ascii="宋体" w:hAnsi="宋体" w:eastAsia="宋体" w:cs="宋体"/>
          <w:color w:val="000000"/>
          <w:kern w:val="0"/>
          <w:sz w:val="28"/>
          <w:szCs w:val="28"/>
        </w:rPr>
        <w:t>七、一般公共预算财政拨款“三公”经费支出决算表</w:t>
      </w:r>
    </w:p>
    <w:p>
      <w:pPr>
        <w:widowControl/>
        <w:jc w:val="left"/>
      </w:pPr>
      <w:r>
        <w:rPr>
          <w:rFonts w:hint="eastAsia" w:ascii="宋体" w:hAnsi="宋体" w:eastAsia="宋体" w:cs="宋体"/>
          <w:color w:val="000000"/>
          <w:kern w:val="0"/>
          <w:sz w:val="28"/>
          <w:szCs w:val="28"/>
        </w:rPr>
        <w:t>八、政府性基金预算财政拨款收入支出决算表</w:t>
      </w:r>
    </w:p>
    <w:p>
      <w:pPr>
        <w:widowControl/>
        <w:jc w:val="left"/>
      </w:pPr>
      <w:r>
        <w:rPr>
          <w:rFonts w:hint="eastAsia" w:ascii="黑体" w:hAnsi="宋体" w:eastAsia="黑体" w:cs="黑体"/>
          <w:b/>
          <w:color w:val="000000"/>
          <w:kern w:val="0"/>
          <w:sz w:val="28"/>
          <w:szCs w:val="28"/>
        </w:rPr>
        <w:t>第三部分2018年度部门决算情况说明</w:t>
      </w:r>
    </w:p>
    <w:p>
      <w:pPr>
        <w:widowControl/>
        <w:jc w:val="left"/>
      </w:pPr>
      <w:r>
        <w:rPr>
          <w:rFonts w:hint="eastAsia" w:ascii="宋体" w:hAnsi="宋体" w:eastAsia="宋体" w:cs="宋体"/>
          <w:color w:val="000000"/>
          <w:kern w:val="0"/>
          <w:sz w:val="28"/>
          <w:szCs w:val="28"/>
        </w:rPr>
        <w:t>一、收入支出决算总体情况说明</w:t>
      </w:r>
    </w:p>
    <w:p>
      <w:pPr>
        <w:widowControl/>
        <w:jc w:val="left"/>
      </w:pPr>
      <w:r>
        <w:rPr>
          <w:rFonts w:hint="eastAsia" w:ascii="宋体" w:hAnsi="宋体" w:eastAsia="宋体" w:cs="宋体"/>
          <w:color w:val="000000"/>
          <w:kern w:val="0"/>
          <w:sz w:val="28"/>
          <w:szCs w:val="28"/>
        </w:rPr>
        <w:t>二、收入决算情况说明</w:t>
      </w:r>
    </w:p>
    <w:p>
      <w:pPr>
        <w:widowControl/>
        <w:jc w:val="left"/>
      </w:pPr>
      <w:r>
        <w:rPr>
          <w:rFonts w:hint="eastAsia" w:ascii="宋体" w:hAnsi="宋体" w:eastAsia="宋体" w:cs="宋体"/>
          <w:color w:val="000000"/>
          <w:kern w:val="0"/>
          <w:sz w:val="28"/>
          <w:szCs w:val="28"/>
        </w:rPr>
        <w:t>三、支出决算情况说明</w:t>
      </w:r>
    </w:p>
    <w:p>
      <w:pPr>
        <w:widowControl/>
        <w:jc w:val="left"/>
      </w:pPr>
      <w:r>
        <w:rPr>
          <w:rFonts w:hint="eastAsia" w:ascii="宋体" w:hAnsi="宋体" w:eastAsia="宋体" w:cs="宋体"/>
          <w:color w:val="000000"/>
          <w:kern w:val="0"/>
          <w:sz w:val="28"/>
          <w:szCs w:val="28"/>
        </w:rPr>
        <w:t>四、财政拨款收入支出决算总体情况说明</w:t>
      </w:r>
    </w:p>
    <w:p>
      <w:pPr>
        <w:widowControl/>
        <w:jc w:val="left"/>
      </w:pPr>
      <w:r>
        <w:rPr>
          <w:rFonts w:hint="eastAsia" w:ascii="宋体" w:hAnsi="宋体" w:eastAsia="宋体" w:cs="宋体"/>
          <w:color w:val="000000"/>
          <w:kern w:val="0"/>
          <w:sz w:val="28"/>
          <w:szCs w:val="28"/>
        </w:rPr>
        <w:t>五、一般公共预算财政拨款支出决算情况说明</w:t>
      </w:r>
    </w:p>
    <w:p>
      <w:pPr>
        <w:widowControl/>
        <w:jc w:val="left"/>
      </w:pPr>
      <w:r>
        <w:rPr>
          <w:rFonts w:hint="eastAsia" w:ascii="宋体" w:hAnsi="宋体" w:eastAsia="宋体" w:cs="宋体"/>
          <w:color w:val="000000"/>
          <w:kern w:val="0"/>
          <w:sz w:val="28"/>
          <w:szCs w:val="28"/>
        </w:rPr>
        <w:t>六、一般公共预算财政拨款基本支出决算情况说明</w:t>
      </w:r>
    </w:p>
    <w:p>
      <w:pPr>
        <w:widowControl/>
        <w:jc w:val="left"/>
      </w:pPr>
      <w:r>
        <w:rPr>
          <w:rFonts w:hint="eastAsia" w:ascii="宋体" w:hAnsi="宋体" w:eastAsia="宋体" w:cs="宋体"/>
          <w:color w:val="000000"/>
          <w:kern w:val="0"/>
          <w:sz w:val="28"/>
          <w:szCs w:val="28"/>
        </w:rPr>
        <w:t>七、一般公共预算财政拨款三公经费支出决算情况说明</w:t>
      </w:r>
    </w:p>
    <w:p>
      <w:pPr>
        <w:widowControl/>
        <w:jc w:val="left"/>
      </w:pPr>
      <w:r>
        <w:rPr>
          <w:rFonts w:hint="eastAsia" w:ascii="宋体" w:hAnsi="宋体" w:eastAsia="宋体" w:cs="宋体"/>
          <w:color w:val="000000"/>
          <w:kern w:val="0"/>
          <w:sz w:val="28"/>
          <w:szCs w:val="28"/>
        </w:rPr>
        <w:t>八、政府性基金预算收入支出决算情况</w:t>
      </w:r>
    </w:p>
    <w:p>
      <w:pPr>
        <w:widowControl/>
        <w:jc w:val="left"/>
      </w:pPr>
      <w:r>
        <w:rPr>
          <w:rFonts w:hint="eastAsia" w:ascii="宋体" w:hAnsi="宋体" w:eastAsia="宋体" w:cs="宋体"/>
          <w:color w:val="000000"/>
          <w:kern w:val="0"/>
          <w:sz w:val="28"/>
          <w:szCs w:val="28"/>
        </w:rPr>
        <w:t>九、预算绩效情况说明十、其他重要事项情况说明</w:t>
      </w:r>
    </w:p>
    <w:p>
      <w:pPr>
        <w:widowControl/>
        <w:jc w:val="left"/>
      </w:pPr>
      <w:r>
        <w:rPr>
          <w:rFonts w:hint="eastAsia" w:ascii="黑体" w:hAnsi="宋体" w:eastAsia="黑体" w:cs="黑体"/>
          <w:b/>
          <w:color w:val="000000"/>
          <w:kern w:val="0"/>
          <w:sz w:val="28"/>
          <w:szCs w:val="28"/>
        </w:rPr>
        <w:t>第四部分名词解释</w:t>
      </w:r>
    </w:p>
    <w:p>
      <w:pPr>
        <w:widowControl/>
        <w:jc w:val="left"/>
      </w:pPr>
      <w:r>
        <w:rPr>
          <w:rFonts w:hint="eastAsia" w:ascii="黑体" w:hAnsi="宋体" w:eastAsia="黑体" w:cs="黑体"/>
          <w:b/>
          <w:color w:val="000000"/>
          <w:kern w:val="0"/>
          <w:sz w:val="28"/>
          <w:szCs w:val="28"/>
        </w:rPr>
        <w:t>第五部分附件</w:t>
      </w:r>
    </w:p>
    <w:p>
      <w:pPr>
        <w:rPr>
          <w:rFonts w:ascii="仿宋_GB2312" w:hAnsi="仿宋_GB2312" w:eastAsia="仿宋_GB2312" w:cs="仿宋_GB2312"/>
          <w:sz w:val="32"/>
          <w:szCs w:val="32"/>
        </w:rPr>
      </w:pPr>
    </w:p>
    <w:p>
      <w:pPr>
        <w:jc w:val="center"/>
        <w:rPr>
          <w:rFonts w:asciiTheme="majorEastAsia" w:hAnsiTheme="majorEastAsia" w:eastAsiaTheme="majorEastAsia" w:cstheme="majorEastAsia"/>
          <w:b/>
          <w:bCs/>
          <w:sz w:val="32"/>
          <w:szCs w:val="32"/>
        </w:rPr>
      </w:pPr>
      <w:r>
        <w:rPr>
          <w:rFonts w:hint="eastAsia" w:asciiTheme="majorEastAsia" w:hAnsiTheme="majorEastAsia" w:eastAsiaTheme="majorEastAsia" w:cstheme="majorEastAsia"/>
          <w:b/>
          <w:bCs/>
          <w:sz w:val="32"/>
          <w:szCs w:val="32"/>
        </w:rPr>
        <w:t>第一部分衡南县人力资源和社会保障局概况</w:t>
      </w:r>
    </w:p>
    <w:p>
      <w:pPr>
        <w:ind w:left="567"/>
        <w:rPr>
          <w:rFonts w:ascii="宋体" w:hAnsi="宋体" w:eastAsia="宋体" w:cs="宋体"/>
          <w:b/>
          <w:sz w:val="30"/>
          <w:szCs w:val="30"/>
        </w:rPr>
      </w:pPr>
      <w:r>
        <w:rPr>
          <w:rFonts w:hint="eastAsia" w:ascii="宋体" w:hAnsi="宋体" w:eastAsia="宋体" w:cs="宋体"/>
          <w:b/>
          <w:sz w:val="30"/>
          <w:szCs w:val="30"/>
        </w:rPr>
        <w:t>1、部门职能职责</w:t>
      </w:r>
    </w:p>
    <w:p>
      <w:pPr>
        <w:ind w:firstLine="600" w:firstLineChars="200"/>
        <w:rPr>
          <w:rFonts w:ascii="宋体" w:hAnsi="宋体" w:eastAsia="宋体" w:cs="宋体"/>
          <w:sz w:val="30"/>
          <w:szCs w:val="30"/>
        </w:rPr>
      </w:pPr>
      <w:r>
        <w:rPr>
          <w:rFonts w:hint="eastAsia" w:ascii="宋体" w:hAnsi="宋体" w:eastAsia="宋体" w:cs="宋体"/>
          <w:sz w:val="30"/>
          <w:szCs w:val="30"/>
        </w:rPr>
        <w:t>（一）贯彻执行国家、省、市有关人力资源和社会保障方面的方针政策和法律法规；拟定全县人力资源和社会保障的规范性文件，并组织实施和监督检查。对全县人力资源和社会保障工作进行综合管理、监督指导、协调服务。</w:t>
      </w:r>
    </w:p>
    <w:p>
      <w:pPr>
        <w:ind w:firstLine="600" w:firstLineChars="200"/>
        <w:rPr>
          <w:rFonts w:ascii="宋体" w:hAnsi="宋体" w:eastAsia="宋体" w:cs="宋体"/>
          <w:sz w:val="30"/>
          <w:szCs w:val="30"/>
        </w:rPr>
      </w:pPr>
      <w:r>
        <w:rPr>
          <w:rFonts w:hint="eastAsia" w:ascii="宋体" w:hAnsi="宋体" w:eastAsia="宋体" w:cs="宋体"/>
          <w:sz w:val="30"/>
          <w:szCs w:val="30"/>
        </w:rPr>
        <w:t>（二）拟定并组织实施全县人力资源市场发展规划和人力资源流动的规范性文件，建立全县统一规范的人力资源市场，促进人力资源和科学开发、合理流动、有效配置。</w:t>
      </w:r>
    </w:p>
    <w:p>
      <w:pPr>
        <w:ind w:firstLine="600" w:firstLineChars="200"/>
        <w:rPr>
          <w:rFonts w:ascii="宋体" w:hAnsi="宋体" w:eastAsia="宋体" w:cs="宋体"/>
          <w:sz w:val="30"/>
          <w:szCs w:val="30"/>
        </w:rPr>
      </w:pPr>
      <w:r>
        <w:rPr>
          <w:rFonts w:hint="eastAsia" w:ascii="宋体" w:hAnsi="宋体" w:eastAsia="宋体" w:cs="宋体"/>
          <w:sz w:val="30"/>
          <w:szCs w:val="30"/>
        </w:rPr>
        <w:t>（三）负责促进就业工作，拟定和组织落实统筹城乡的就业发展规划和规范性文件，完善公共就业服务体系；拟定和组织落实就业援助制度、执行职业资格证书制度和相关政策，统筹建立面向城乡劳动者的职业培训制度；牵头拟订并组织落实高校毕业生就业的规范性文件，做好高校毕业生的就业指导工作，会同有关部门拟定并落实高技能人才、农村实用人才培养和激励的规范性文件。</w:t>
      </w:r>
    </w:p>
    <w:p>
      <w:pPr>
        <w:ind w:firstLine="600" w:firstLineChars="200"/>
        <w:rPr>
          <w:rFonts w:ascii="宋体" w:hAnsi="宋体" w:eastAsia="宋体" w:cs="宋体"/>
          <w:sz w:val="30"/>
          <w:szCs w:val="30"/>
        </w:rPr>
      </w:pPr>
      <w:r>
        <w:rPr>
          <w:rFonts w:hint="eastAsia" w:ascii="宋体" w:hAnsi="宋体" w:eastAsia="宋体" w:cs="宋体"/>
          <w:sz w:val="30"/>
          <w:szCs w:val="30"/>
        </w:rPr>
        <w:t>（四）统筹建立覆盖城乡的社会保障体系。拟定并组织实施城乡社会养老保险及其补充保险的规范性文件；拟定并组织实施医疗、生育、工伤、失业保险的发展规划、标准及规范性文件；会同有关部门拟定社会保险及其补充保险基金管理和监督办法并组织实施；编制全县社会保险基金预决算草案。</w:t>
      </w:r>
    </w:p>
    <w:p>
      <w:pPr>
        <w:ind w:firstLine="600" w:firstLineChars="200"/>
        <w:rPr>
          <w:rFonts w:ascii="宋体" w:hAnsi="宋体" w:eastAsia="宋体" w:cs="宋体"/>
          <w:sz w:val="30"/>
          <w:szCs w:val="30"/>
        </w:rPr>
      </w:pPr>
      <w:r>
        <w:rPr>
          <w:rFonts w:hint="eastAsia" w:ascii="宋体" w:hAnsi="宋体" w:eastAsia="宋体" w:cs="宋体"/>
          <w:sz w:val="30"/>
          <w:szCs w:val="30"/>
        </w:rPr>
        <w:t>（五）负责全县就业、失业、社会保险基金预测预警和信息引导，拟定应对预案，实施预防、调节和控制，保持就业形式稳定和社会保险基金总体收支平衡。</w:t>
      </w:r>
    </w:p>
    <w:p>
      <w:pPr>
        <w:ind w:firstLine="600" w:firstLineChars="200"/>
        <w:rPr>
          <w:rFonts w:ascii="宋体" w:hAnsi="宋体" w:eastAsia="宋体" w:cs="宋体"/>
          <w:sz w:val="30"/>
          <w:szCs w:val="30"/>
        </w:rPr>
      </w:pPr>
      <w:r>
        <w:rPr>
          <w:rFonts w:hint="eastAsia" w:ascii="宋体" w:hAnsi="宋体" w:eastAsia="宋体" w:cs="宋体"/>
          <w:sz w:val="30"/>
          <w:szCs w:val="30"/>
        </w:rPr>
        <w:t>（六）会同有关部门组织实施机关、事业单位人员工资收入分配办法，拟订国有企业经营者收入分配政策，建立机关企事业单位人员工资正常增长和支付保障机制；配合相关部门审核纳入县级财政统一发放工资范围的同级党政机关、事业单位人员的工资、奖金、津补贴标准和离退休费；拟订机关企事业单位人员福利和离退休的规范性文件并组织实施。</w:t>
      </w:r>
    </w:p>
    <w:p>
      <w:pPr>
        <w:ind w:firstLine="600" w:firstLineChars="200"/>
        <w:rPr>
          <w:rFonts w:ascii="宋体" w:hAnsi="宋体" w:eastAsia="宋体" w:cs="宋体"/>
          <w:sz w:val="30"/>
          <w:szCs w:val="30"/>
        </w:rPr>
      </w:pPr>
      <w:r>
        <w:rPr>
          <w:rFonts w:hint="eastAsia" w:ascii="宋体" w:hAnsi="宋体" w:eastAsia="宋体" w:cs="宋体"/>
          <w:sz w:val="30"/>
          <w:szCs w:val="30"/>
        </w:rPr>
        <w:t>（七）会同有关部门指导事业单位人事制度改革；拟订事业单位人员和机关工勤人员管理政策；会同有关部门加强人才管理工作、综合管理全县专业技术人员和专业技术队伍建设工作；牵头推进深化职称制度改革，归口管理专业技术人员的职称工作；负责高层次专业技术人才选拨、培养和引进工作；拟订全县专业技术骨干人才出国（境）和国外机构在我县招聘专业技术骨干人才的管理政策，并组织实施。</w:t>
      </w:r>
    </w:p>
    <w:p>
      <w:pPr>
        <w:ind w:firstLine="600" w:firstLineChars="200"/>
        <w:rPr>
          <w:rFonts w:ascii="宋体" w:hAnsi="宋体" w:eastAsia="宋体" w:cs="宋体"/>
          <w:sz w:val="30"/>
          <w:szCs w:val="30"/>
        </w:rPr>
      </w:pPr>
      <w:r>
        <w:rPr>
          <w:rFonts w:hint="eastAsia" w:ascii="宋体" w:hAnsi="宋体" w:eastAsia="宋体" w:cs="宋体"/>
          <w:sz w:val="30"/>
          <w:szCs w:val="30"/>
        </w:rPr>
        <w:t>（八）会同有关部门拟订和落实全县军队转业干部安置的规范性文件和安置计划；负责军队转业干部教育培训工作；组织落实困难企业军队转业干部解困的政策，配合有关部门做好维稳工作；负责自主择业军队转业干部管理服务工作。</w:t>
      </w:r>
    </w:p>
    <w:p>
      <w:pPr>
        <w:ind w:firstLine="600" w:firstLineChars="200"/>
        <w:rPr>
          <w:rFonts w:ascii="宋体" w:hAnsi="宋体" w:eastAsia="宋体" w:cs="宋体"/>
          <w:sz w:val="30"/>
          <w:szCs w:val="30"/>
        </w:rPr>
      </w:pPr>
      <w:r>
        <w:rPr>
          <w:rFonts w:hint="eastAsia" w:ascii="宋体" w:hAnsi="宋体" w:eastAsia="宋体" w:cs="宋体"/>
          <w:sz w:val="30"/>
          <w:szCs w:val="30"/>
        </w:rPr>
        <w:t>（九）负责全县行政机关公务员和参照公务员法管理工作人员的综合管理；统筹实施全县行政机关公务员和参照公务员法管理工作人员的教育培训工作。拟订并组织实施有关人员调配政策和特殊人员安置政策，会同有关部门拟订并实施政府奖励制度。</w:t>
      </w:r>
    </w:p>
    <w:p>
      <w:pPr>
        <w:ind w:firstLine="600" w:firstLineChars="200"/>
        <w:rPr>
          <w:rFonts w:ascii="宋体" w:hAnsi="宋体" w:eastAsia="宋体" w:cs="宋体"/>
          <w:sz w:val="30"/>
          <w:szCs w:val="30"/>
        </w:rPr>
      </w:pPr>
      <w:r>
        <w:rPr>
          <w:rFonts w:hint="eastAsia" w:ascii="宋体" w:hAnsi="宋体" w:eastAsia="宋体" w:cs="宋体"/>
          <w:sz w:val="30"/>
          <w:szCs w:val="30"/>
        </w:rPr>
        <w:t>（十）会同有关部门拟订农民工工作的规范性文件，推动农民工相关政策的落实；协调解决有关农民工工作的重点难点问题，维护农民工合法权益。</w:t>
      </w:r>
    </w:p>
    <w:p>
      <w:pPr>
        <w:ind w:firstLine="600" w:firstLineChars="200"/>
        <w:rPr>
          <w:rFonts w:ascii="宋体" w:hAnsi="宋体" w:eastAsia="宋体" w:cs="宋体"/>
          <w:sz w:val="30"/>
          <w:szCs w:val="30"/>
        </w:rPr>
      </w:pPr>
      <w:r>
        <w:rPr>
          <w:rFonts w:hint="eastAsia" w:ascii="宋体" w:hAnsi="宋体" w:eastAsia="宋体" w:cs="宋体"/>
          <w:sz w:val="30"/>
          <w:szCs w:val="30"/>
        </w:rPr>
        <w:t>（十一）统筹实施劳动、人事争议调解仲裁制度；负责落实劳动关系政策，完善劳动关系协调机制；监督落实消除非法使用童工政策和女工、未成年工的特殊劳动保护政策；组织实施劳动监察，协调劳动者维权工作，依法查处重大案件。</w:t>
      </w:r>
    </w:p>
    <w:p>
      <w:pPr>
        <w:ind w:firstLine="600" w:firstLineChars="200"/>
        <w:rPr>
          <w:rFonts w:ascii="宋体" w:hAnsi="宋体" w:eastAsia="宋体" w:cs="宋体"/>
          <w:sz w:val="30"/>
          <w:szCs w:val="30"/>
        </w:rPr>
      </w:pPr>
      <w:r>
        <w:rPr>
          <w:rFonts w:hint="eastAsia" w:ascii="宋体" w:hAnsi="宋体" w:eastAsia="宋体" w:cs="宋体"/>
          <w:sz w:val="30"/>
          <w:szCs w:val="30"/>
        </w:rPr>
        <w:t>（十二）负责对职责范围内有关行业、领域的安全生产工作实施监督管理。</w:t>
      </w:r>
    </w:p>
    <w:p>
      <w:pPr>
        <w:ind w:firstLine="600" w:firstLineChars="200"/>
        <w:rPr>
          <w:rFonts w:ascii="宋体" w:hAnsi="宋体" w:eastAsia="宋体" w:cs="宋体"/>
          <w:sz w:val="30"/>
          <w:szCs w:val="30"/>
        </w:rPr>
      </w:pPr>
      <w:r>
        <w:rPr>
          <w:rFonts w:hint="eastAsia" w:ascii="宋体" w:hAnsi="宋体" w:eastAsia="宋体" w:cs="宋体"/>
          <w:sz w:val="30"/>
          <w:szCs w:val="30"/>
        </w:rPr>
        <w:t>（十三）承办县人民政府交办的其他事项。</w:t>
      </w:r>
    </w:p>
    <w:p>
      <w:pPr>
        <w:rPr>
          <w:rFonts w:ascii="宋体" w:hAnsi="宋体" w:eastAsia="宋体" w:cs="宋体"/>
          <w:b/>
          <w:sz w:val="30"/>
          <w:szCs w:val="30"/>
        </w:rPr>
      </w:pPr>
      <w:r>
        <w:rPr>
          <w:rFonts w:hint="eastAsia" w:ascii="宋体" w:hAnsi="宋体" w:eastAsia="宋体" w:cs="宋体"/>
          <w:b/>
          <w:sz w:val="30"/>
          <w:szCs w:val="30"/>
        </w:rPr>
        <w:t>2、机构人员情况</w:t>
      </w:r>
    </w:p>
    <w:p>
      <w:pPr>
        <w:ind w:firstLine="600" w:firstLineChars="200"/>
        <w:rPr>
          <w:rFonts w:ascii="宋体" w:hAnsi="宋体" w:eastAsia="宋体" w:cs="宋体"/>
          <w:sz w:val="30"/>
          <w:szCs w:val="30"/>
        </w:rPr>
      </w:pPr>
      <w:r>
        <w:rPr>
          <w:rFonts w:hint="eastAsia" w:ascii="宋体" w:hAnsi="宋体" w:eastAsia="宋体" w:cs="宋体"/>
          <w:sz w:val="30"/>
          <w:szCs w:val="30"/>
        </w:rPr>
        <w:t>县人社局下辖社保局、就业局、医保中心、社保所、监察大队、工保中心、农保中心等15个副科级事业单位， 19个机关股室，27个乡镇劳动保障服务站，1个县城社区劳动保障服务中心；全系统共有在职干部职工437人，其中局机关72人，14个副科级事业单位共239人，乡镇劳动保障服务站、社区劳动保障服务中心共126人。</w:t>
      </w:r>
    </w:p>
    <w:p>
      <w:pPr>
        <w:ind w:firstLine="600" w:firstLineChars="200"/>
        <w:rPr>
          <w:rFonts w:ascii="宋体" w:hAnsi="宋体" w:eastAsia="宋体" w:cs="宋体"/>
          <w:sz w:val="30"/>
          <w:szCs w:val="30"/>
        </w:rPr>
      </w:pPr>
      <w:r>
        <w:rPr>
          <w:rFonts w:hint="eastAsia" w:ascii="宋体" w:hAnsi="宋体" w:eastAsia="宋体" w:cs="宋体"/>
          <w:sz w:val="30"/>
          <w:szCs w:val="30"/>
        </w:rPr>
        <w:t>单位预算机构构成：衡南县人力资源和社会保障局本级。</w:t>
      </w:r>
    </w:p>
    <w:p>
      <w:pPr>
        <w:ind w:firstLine="600" w:firstLineChars="200"/>
        <w:rPr>
          <w:rFonts w:ascii="宋体" w:hAnsi="宋体" w:eastAsia="宋体" w:cs="宋体"/>
          <w:sz w:val="30"/>
          <w:szCs w:val="30"/>
        </w:rPr>
      </w:pPr>
    </w:p>
    <w:p>
      <w:pPr>
        <w:ind w:firstLine="600" w:firstLineChars="200"/>
        <w:rPr>
          <w:rFonts w:ascii="宋体" w:hAnsi="宋体" w:eastAsia="宋体" w:cs="宋体"/>
          <w:sz w:val="30"/>
          <w:szCs w:val="30"/>
        </w:rPr>
      </w:pPr>
    </w:p>
    <w:p>
      <w:pPr>
        <w:ind w:firstLine="560" w:firstLineChars="200"/>
        <w:rPr>
          <w:rFonts w:asciiTheme="minorEastAsia" w:hAnsiTheme="minorEastAsia" w:cstheme="minorEastAsia"/>
          <w:sz w:val="28"/>
          <w:szCs w:val="28"/>
        </w:rPr>
      </w:pPr>
      <w:r>
        <w:rPr>
          <w:rFonts w:hint="eastAsia" w:asciiTheme="minorEastAsia" w:hAnsiTheme="minorEastAsia" w:cstheme="minorEastAsia"/>
          <w:sz w:val="28"/>
          <w:szCs w:val="28"/>
        </w:rPr>
        <w:t>　</w:t>
      </w:r>
    </w:p>
    <w:p>
      <w:pPr>
        <w:numPr>
          <w:ilvl w:val="0"/>
          <w:numId w:val="1"/>
        </w:numPr>
        <w:jc w:val="left"/>
        <w:rPr>
          <w:rFonts w:ascii="仿宋_GB2312" w:hAnsi="仿宋_GB2312" w:eastAsia="仿宋_GB2312" w:cs="仿宋_GB2312"/>
          <w:b/>
          <w:bCs/>
          <w:sz w:val="32"/>
          <w:szCs w:val="32"/>
        </w:rPr>
      </w:pPr>
      <w:r>
        <w:rPr>
          <w:rFonts w:hint="eastAsia" w:asciiTheme="majorEastAsia" w:hAnsiTheme="majorEastAsia" w:eastAsiaTheme="majorEastAsia" w:cstheme="majorEastAsia"/>
          <w:b/>
          <w:bCs/>
          <w:sz w:val="32"/>
          <w:szCs w:val="32"/>
        </w:rPr>
        <w:t xml:space="preserve"> 2018年度部门决算表</w:t>
      </w:r>
    </w:p>
    <w:p>
      <w:pPr>
        <w:rPr>
          <w:rFonts w:cs="仿宋_GB2312" w:asciiTheme="minorEastAsia" w:hAnsiTheme="minorEastAsia"/>
          <w:sz w:val="32"/>
          <w:szCs w:val="32"/>
        </w:rPr>
      </w:pPr>
      <w:r>
        <w:rPr>
          <w:rFonts w:hint="eastAsia" w:cs="仿宋_GB2312" w:asciiTheme="minorEastAsia" w:hAnsiTheme="minorEastAsia"/>
          <w:sz w:val="32"/>
          <w:szCs w:val="32"/>
        </w:rPr>
        <w:t>（部门决算公开表格详见附件）</w:t>
      </w:r>
    </w:p>
    <w:p>
      <w:pPr>
        <w:jc w:val="center"/>
        <w:rPr>
          <w:rFonts w:hint="eastAsia" w:asciiTheme="majorEastAsia" w:hAnsiTheme="majorEastAsia" w:eastAsiaTheme="majorEastAsia" w:cstheme="majorEastAsia"/>
          <w:b/>
          <w:bCs/>
          <w:sz w:val="32"/>
          <w:szCs w:val="32"/>
        </w:rPr>
      </w:pPr>
    </w:p>
    <w:p>
      <w:pPr>
        <w:jc w:val="center"/>
        <w:rPr>
          <w:rFonts w:ascii="仿宋_GB2312" w:eastAsia="仿宋_GB2312"/>
          <w:sz w:val="30"/>
          <w:szCs w:val="30"/>
        </w:rPr>
      </w:pPr>
      <w:r>
        <w:rPr>
          <w:rFonts w:hint="eastAsia" w:asciiTheme="majorEastAsia" w:hAnsiTheme="majorEastAsia" w:eastAsiaTheme="majorEastAsia" w:cstheme="majorEastAsia"/>
          <w:b/>
          <w:bCs/>
          <w:sz w:val="32"/>
          <w:szCs w:val="32"/>
        </w:rPr>
        <w:t>第三部分衡南县人力资源和社会</w:t>
      </w:r>
      <w:r>
        <w:rPr>
          <w:rFonts w:hint="eastAsia" w:asciiTheme="majorEastAsia" w:hAnsiTheme="majorEastAsia" w:eastAsiaTheme="majorEastAsia" w:cstheme="majorEastAsia"/>
          <w:b/>
          <w:bCs/>
          <w:sz w:val="32"/>
          <w:szCs w:val="32"/>
          <w:lang w:val="en-US" w:eastAsia="zh-CN"/>
        </w:rPr>
        <w:t>保障</w:t>
      </w:r>
      <w:r>
        <w:rPr>
          <w:rFonts w:hint="eastAsia" w:asciiTheme="majorEastAsia" w:hAnsiTheme="majorEastAsia" w:eastAsiaTheme="majorEastAsia" w:cstheme="majorEastAsia"/>
          <w:b/>
          <w:bCs/>
          <w:sz w:val="32"/>
          <w:szCs w:val="32"/>
        </w:rPr>
        <w:t>局2018年度部门决算情况说明</w:t>
      </w:r>
    </w:p>
    <w:p>
      <w:pPr>
        <w:rPr>
          <w:rFonts w:asciiTheme="minorEastAsia" w:hAnsiTheme="minorEastAsia" w:cstheme="minorEastAsia"/>
          <w:sz w:val="28"/>
          <w:szCs w:val="28"/>
        </w:rPr>
      </w:pPr>
      <w:r>
        <w:rPr>
          <w:rFonts w:hint="eastAsia" w:asciiTheme="minorEastAsia" w:hAnsiTheme="minorEastAsia" w:cstheme="minorEastAsia"/>
          <w:sz w:val="28"/>
          <w:szCs w:val="28"/>
        </w:rPr>
        <w:t>一、收入支出决算总体情况说明</w:t>
      </w:r>
    </w:p>
    <w:p>
      <w:pPr>
        <w:ind w:firstLine="560" w:firstLineChars="200"/>
        <w:rPr>
          <w:rFonts w:asciiTheme="minorEastAsia" w:hAnsiTheme="minorEastAsia" w:cstheme="minorEastAsia"/>
          <w:sz w:val="28"/>
          <w:szCs w:val="28"/>
        </w:rPr>
      </w:pPr>
      <w:r>
        <w:rPr>
          <w:rFonts w:hint="eastAsia" w:asciiTheme="minorEastAsia" w:hAnsiTheme="minorEastAsia" w:cstheme="minorEastAsia"/>
          <w:sz w:val="28"/>
          <w:szCs w:val="28"/>
        </w:rPr>
        <w:t>2018年收入总计6015.33万元，较2017年总收入决算6690.09万元少674.76万元，少比10%。主要是由于拨入2018年减少项目经费追加的结果。</w:t>
      </w:r>
    </w:p>
    <w:p>
      <w:pPr>
        <w:ind w:firstLine="560" w:firstLineChars="200"/>
        <w:rPr>
          <w:rFonts w:asciiTheme="minorEastAsia" w:hAnsiTheme="minorEastAsia" w:cstheme="minorEastAsia"/>
          <w:sz w:val="28"/>
          <w:szCs w:val="28"/>
        </w:rPr>
      </w:pPr>
      <w:r>
        <w:rPr>
          <w:rFonts w:hint="eastAsia" w:asciiTheme="minorEastAsia" w:hAnsiTheme="minorEastAsia" w:cstheme="minorEastAsia"/>
          <w:sz w:val="28"/>
          <w:szCs w:val="28"/>
        </w:rPr>
        <w:t>2018年年末决算支出总计5644.05万元，较2017年总支出年终决算数5585.26万元增加58.79万元。增比1%，主要是由于人员工资增加。</w:t>
      </w:r>
    </w:p>
    <w:p>
      <w:pPr>
        <w:numPr>
          <w:ilvl w:val="0"/>
          <w:numId w:val="2"/>
        </w:numPr>
        <w:rPr>
          <w:rFonts w:asciiTheme="minorEastAsia" w:hAnsiTheme="minorEastAsia" w:cstheme="minorEastAsia"/>
          <w:sz w:val="28"/>
          <w:szCs w:val="28"/>
        </w:rPr>
      </w:pPr>
      <w:r>
        <w:rPr>
          <w:rFonts w:hint="eastAsia" w:asciiTheme="minorEastAsia" w:hAnsiTheme="minorEastAsia" w:cstheme="minorEastAsia"/>
          <w:sz w:val="28"/>
          <w:szCs w:val="28"/>
        </w:rPr>
        <w:t>收入决算情况说明 </w:t>
      </w:r>
    </w:p>
    <w:p>
      <w:pPr>
        <w:ind w:firstLine="560" w:firstLineChars="200"/>
        <w:rPr>
          <w:rFonts w:asciiTheme="minorEastAsia" w:hAnsiTheme="minorEastAsia" w:cstheme="minorEastAsia"/>
          <w:sz w:val="28"/>
          <w:szCs w:val="28"/>
        </w:rPr>
      </w:pPr>
      <w:r>
        <w:rPr>
          <w:rFonts w:hint="eastAsia" w:asciiTheme="minorEastAsia" w:hAnsiTheme="minorEastAsia" w:cstheme="minorEastAsia"/>
          <w:sz w:val="28"/>
          <w:szCs w:val="28"/>
        </w:rPr>
        <w:t>2018年收入总计6015.33万元,其中：一般公共预算拨款5951.3万元，占比98.93%；纳入预算管理的非税收入0万元；转移支付拨款0万元；上级补助收入0万元；下属单位上缴0万元；其他收入64.02万元，占比1.06%。</w:t>
      </w:r>
    </w:p>
    <w:p>
      <w:pPr>
        <w:rPr>
          <w:rFonts w:asciiTheme="minorEastAsia" w:hAnsiTheme="minorEastAsia" w:cstheme="minorEastAsia"/>
          <w:sz w:val="28"/>
          <w:szCs w:val="28"/>
        </w:rPr>
      </w:pPr>
      <w:r>
        <w:rPr>
          <w:rFonts w:hint="eastAsia" w:asciiTheme="minorEastAsia" w:hAnsiTheme="minorEastAsia" w:cstheme="minorEastAsia"/>
          <w:sz w:val="28"/>
          <w:szCs w:val="28"/>
        </w:rPr>
        <w:t>三、支出决算情况说明</w:t>
      </w:r>
    </w:p>
    <w:p>
      <w:pPr>
        <w:ind w:firstLine="560" w:firstLineChars="200"/>
        <w:rPr>
          <w:rFonts w:asciiTheme="minorEastAsia" w:hAnsiTheme="minorEastAsia" w:cstheme="minorEastAsia"/>
          <w:sz w:val="28"/>
          <w:szCs w:val="28"/>
        </w:rPr>
      </w:pPr>
      <w:r>
        <w:rPr>
          <w:rFonts w:hint="eastAsia" w:asciiTheme="minorEastAsia" w:hAnsiTheme="minorEastAsia" w:cstheme="minorEastAsia"/>
          <w:sz w:val="28"/>
          <w:szCs w:val="28"/>
        </w:rPr>
        <w:t>2018年年末决算支出总计5644.05万元。其中：一般公共服务344.78万元，占比6.11%；社会保障和就业4857.33万元，占比86.06%；医疗卫生221.35万元，占比3.92%；住房保障支出92.36万元，占比1.64%；教育支出128.23万元</w:t>
      </w:r>
      <w:bookmarkStart w:id="0" w:name="_GoBack"/>
      <w:bookmarkEnd w:id="0"/>
      <w:r>
        <w:rPr>
          <w:rFonts w:hint="eastAsia" w:asciiTheme="minorEastAsia" w:hAnsiTheme="minorEastAsia" w:cstheme="minorEastAsia"/>
          <w:sz w:val="28"/>
          <w:szCs w:val="28"/>
        </w:rPr>
        <w:t>，占比2.27%。</w:t>
      </w:r>
    </w:p>
    <w:p>
      <w:pPr>
        <w:ind w:firstLine="560" w:firstLineChars="200"/>
        <w:rPr>
          <w:rFonts w:asciiTheme="minorEastAsia" w:hAnsiTheme="minorEastAsia" w:cstheme="minorEastAsia"/>
          <w:sz w:val="28"/>
          <w:szCs w:val="28"/>
        </w:rPr>
      </w:pPr>
      <w:r>
        <w:rPr>
          <w:rFonts w:hint="eastAsia" w:asciiTheme="minorEastAsia" w:hAnsiTheme="minorEastAsia" w:cstheme="minorEastAsia"/>
          <w:color w:val="000000"/>
          <w:sz w:val="28"/>
          <w:szCs w:val="28"/>
        </w:rPr>
        <w:t>年末结余分配</w:t>
      </w:r>
      <w:r>
        <w:rPr>
          <w:rFonts w:hint="eastAsia" w:asciiTheme="minorEastAsia" w:hAnsiTheme="minorEastAsia" w:cstheme="minorEastAsia"/>
          <w:sz w:val="28"/>
          <w:szCs w:val="28"/>
        </w:rPr>
        <w:t>371.28</w:t>
      </w:r>
      <w:r>
        <w:rPr>
          <w:rFonts w:hint="eastAsia" w:asciiTheme="minorEastAsia" w:hAnsiTheme="minorEastAsia" w:cstheme="minorEastAsia"/>
          <w:color w:val="000000"/>
          <w:sz w:val="28"/>
          <w:szCs w:val="28"/>
        </w:rPr>
        <w:t>万元，都为其它结转：</w:t>
      </w:r>
      <w:r>
        <w:rPr>
          <w:rFonts w:hint="eastAsia" w:asciiTheme="minorEastAsia" w:hAnsiTheme="minorEastAsia" w:cstheme="minorEastAsia"/>
          <w:sz w:val="28"/>
          <w:szCs w:val="28"/>
        </w:rPr>
        <w:t>371.28</w:t>
      </w:r>
      <w:r>
        <w:rPr>
          <w:rFonts w:hint="eastAsia" w:asciiTheme="minorEastAsia" w:hAnsiTheme="minorEastAsia" w:cstheme="minorEastAsia"/>
          <w:color w:val="000000"/>
          <w:sz w:val="28"/>
          <w:szCs w:val="28"/>
        </w:rPr>
        <w:t>万元</w:t>
      </w:r>
      <w:r>
        <w:rPr>
          <w:rFonts w:hint="eastAsia" w:asciiTheme="minorEastAsia" w:hAnsiTheme="minorEastAsia" w:cstheme="minorEastAsia"/>
          <w:sz w:val="28"/>
          <w:szCs w:val="28"/>
        </w:rPr>
        <w:t>。</w:t>
      </w:r>
    </w:p>
    <w:p>
      <w:pPr>
        <w:rPr>
          <w:rFonts w:asciiTheme="minorEastAsia" w:hAnsiTheme="minorEastAsia" w:cstheme="minorEastAsia"/>
          <w:sz w:val="28"/>
          <w:szCs w:val="28"/>
        </w:rPr>
      </w:pPr>
      <w:r>
        <w:rPr>
          <w:rFonts w:hint="eastAsia" w:asciiTheme="minorEastAsia" w:hAnsiTheme="minorEastAsia" w:cstheme="minorEastAsia"/>
          <w:sz w:val="28"/>
          <w:szCs w:val="28"/>
        </w:rPr>
        <w:t>四、财政拨款收入支出决算总体情况说明</w:t>
      </w:r>
    </w:p>
    <w:p>
      <w:pPr>
        <w:ind w:firstLine="560" w:firstLineChars="200"/>
        <w:rPr>
          <w:rFonts w:asciiTheme="minorEastAsia" w:hAnsiTheme="minorEastAsia" w:cstheme="minorEastAsia"/>
          <w:sz w:val="28"/>
          <w:szCs w:val="28"/>
        </w:rPr>
      </w:pPr>
      <w:r>
        <w:rPr>
          <w:rFonts w:hint="eastAsia" w:asciiTheme="minorEastAsia" w:hAnsiTheme="minorEastAsia" w:cstheme="minorEastAsia"/>
          <w:sz w:val="28"/>
          <w:szCs w:val="28"/>
        </w:rPr>
        <w:t>2018年度财政拨款收入总计5951.3万元，比上年决算数6546.94万元减少595.64万元，少比9.1%，主要是由于2018年项目经费减少追加的结果。</w:t>
      </w:r>
    </w:p>
    <w:p>
      <w:pPr>
        <w:ind w:firstLine="560" w:firstLineChars="200"/>
        <w:rPr>
          <w:rFonts w:asciiTheme="minorEastAsia" w:hAnsiTheme="minorEastAsia" w:cstheme="minorEastAsia"/>
          <w:sz w:val="28"/>
          <w:szCs w:val="28"/>
        </w:rPr>
      </w:pPr>
      <w:r>
        <w:rPr>
          <w:rFonts w:hint="eastAsia" w:asciiTheme="minorEastAsia" w:hAnsiTheme="minorEastAsia" w:cstheme="minorEastAsia"/>
          <w:sz w:val="28"/>
          <w:szCs w:val="28"/>
        </w:rPr>
        <w:t>2018年财政拨款支出总计5644.05万元，比上年决算数5585.26万元增加58.79万元，增比1%，主要是由于人员工资增加。</w:t>
      </w:r>
    </w:p>
    <w:p>
      <w:pPr>
        <w:rPr>
          <w:rFonts w:asciiTheme="minorEastAsia" w:hAnsiTheme="minorEastAsia" w:cstheme="minorEastAsia"/>
          <w:sz w:val="28"/>
          <w:szCs w:val="28"/>
        </w:rPr>
      </w:pPr>
      <w:r>
        <w:rPr>
          <w:rFonts w:hint="eastAsia" w:asciiTheme="minorEastAsia" w:hAnsiTheme="minorEastAsia" w:cstheme="minorEastAsia"/>
          <w:sz w:val="28"/>
          <w:szCs w:val="28"/>
        </w:rPr>
        <w:t>五、一般公共预算财政拨款支出决算情况说明</w:t>
      </w:r>
    </w:p>
    <w:p>
      <w:pPr>
        <w:rPr>
          <w:rFonts w:asciiTheme="minorEastAsia" w:hAnsiTheme="minorEastAsia" w:cstheme="minorEastAsia"/>
          <w:sz w:val="28"/>
          <w:szCs w:val="28"/>
        </w:rPr>
      </w:pPr>
      <w:r>
        <w:rPr>
          <w:rFonts w:hint="eastAsia" w:asciiTheme="minorEastAsia" w:hAnsiTheme="minorEastAsia" w:cstheme="minorEastAsia"/>
          <w:sz w:val="28"/>
          <w:szCs w:val="28"/>
        </w:rPr>
        <w:t>（一）财政拨款支出决算总体情况。</w:t>
      </w:r>
    </w:p>
    <w:p>
      <w:pPr>
        <w:ind w:firstLine="560" w:firstLineChars="200"/>
        <w:rPr>
          <w:rFonts w:asciiTheme="minorEastAsia" w:hAnsiTheme="minorEastAsia" w:cstheme="minorEastAsia"/>
          <w:sz w:val="28"/>
          <w:szCs w:val="28"/>
        </w:rPr>
      </w:pPr>
      <w:r>
        <w:rPr>
          <w:rFonts w:asciiTheme="minorEastAsia" w:hAnsiTheme="minorEastAsia" w:cstheme="minorEastAsia"/>
          <w:sz w:val="28"/>
          <w:szCs w:val="28"/>
        </w:rPr>
        <w:t>201</w:t>
      </w:r>
      <w:r>
        <w:rPr>
          <w:rFonts w:hint="eastAsia" w:asciiTheme="minorEastAsia" w:hAnsiTheme="minorEastAsia" w:cstheme="minorEastAsia"/>
          <w:sz w:val="28"/>
          <w:szCs w:val="28"/>
        </w:rPr>
        <w:t>8</w:t>
      </w:r>
      <w:r>
        <w:rPr>
          <w:rFonts w:asciiTheme="minorEastAsia" w:hAnsiTheme="minorEastAsia" w:cstheme="minorEastAsia"/>
          <w:sz w:val="28"/>
          <w:szCs w:val="28"/>
        </w:rPr>
        <w:t>年财政拨款支出</w:t>
      </w:r>
      <w:r>
        <w:rPr>
          <w:rFonts w:hint="eastAsia" w:asciiTheme="minorEastAsia" w:hAnsiTheme="minorEastAsia" w:cstheme="minorEastAsia"/>
          <w:sz w:val="28"/>
          <w:szCs w:val="28"/>
        </w:rPr>
        <w:t>5644.05</w:t>
      </w:r>
      <w:r>
        <w:rPr>
          <w:rFonts w:asciiTheme="minorEastAsia" w:hAnsiTheme="minorEastAsia" w:cstheme="minorEastAsia"/>
          <w:sz w:val="28"/>
          <w:szCs w:val="28"/>
        </w:rPr>
        <w:t>万元，</w:t>
      </w:r>
      <w:r>
        <w:rPr>
          <w:rFonts w:hint="eastAsia" w:asciiTheme="minorEastAsia" w:hAnsiTheme="minorEastAsia" w:cstheme="minorEastAsia"/>
          <w:sz w:val="28"/>
          <w:szCs w:val="28"/>
        </w:rPr>
        <w:t>比上年决算数5585.26万元增加58.79万元，增比1%，主要是由于人员工资增加。</w:t>
      </w:r>
    </w:p>
    <w:p>
      <w:pPr>
        <w:rPr>
          <w:rFonts w:asciiTheme="minorEastAsia" w:hAnsiTheme="minorEastAsia" w:cstheme="minorEastAsia"/>
          <w:sz w:val="28"/>
          <w:szCs w:val="28"/>
        </w:rPr>
      </w:pPr>
      <w:r>
        <w:rPr>
          <w:rFonts w:asciiTheme="minorEastAsia" w:hAnsiTheme="minorEastAsia" w:cstheme="minorEastAsia"/>
          <w:sz w:val="28"/>
          <w:szCs w:val="28"/>
        </w:rPr>
        <w:t>（二）财政拨款支出决算结构情况。</w:t>
      </w:r>
    </w:p>
    <w:p>
      <w:pPr>
        <w:ind w:firstLine="560" w:firstLineChars="200"/>
        <w:rPr>
          <w:rFonts w:asciiTheme="minorEastAsia" w:hAnsiTheme="minorEastAsia" w:cstheme="minorEastAsia"/>
          <w:sz w:val="28"/>
          <w:szCs w:val="28"/>
        </w:rPr>
      </w:pPr>
      <w:r>
        <w:rPr>
          <w:rFonts w:asciiTheme="minorEastAsia" w:hAnsiTheme="minorEastAsia" w:cstheme="minorEastAsia"/>
          <w:sz w:val="28"/>
          <w:szCs w:val="28"/>
        </w:rPr>
        <w:t>全年财政拨款支出</w:t>
      </w:r>
      <w:r>
        <w:rPr>
          <w:rFonts w:hint="eastAsia" w:asciiTheme="minorEastAsia" w:hAnsiTheme="minorEastAsia" w:cstheme="minorEastAsia"/>
          <w:sz w:val="28"/>
          <w:szCs w:val="28"/>
        </w:rPr>
        <w:t>5644.05</w:t>
      </w:r>
      <w:r>
        <w:rPr>
          <w:rFonts w:asciiTheme="minorEastAsia" w:hAnsiTheme="minorEastAsia" w:cstheme="minorEastAsia"/>
          <w:sz w:val="28"/>
          <w:szCs w:val="28"/>
        </w:rPr>
        <w:t>万元，按功能分类分：</w:t>
      </w:r>
      <w:r>
        <w:rPr>
          <w:rFonts w:hint="eastAsia" w:asciiTheme="minorEastAsia" w:hAnsiTheme="minorEastAsia" w:cstheme="minorEastAsia"/>
          <w:sz w:val="28"/>
          <w:szCs w:val="28"/>
        </w:rPr>
        <w:t>：一般公共服务344.78万元，占比6.11%；社会保障和就业4857.33万元，占比86.06%；医疗卫生221.35万元，占比3.92%；住房保障支出92.36万元，占比1.64%；教育支出128.23万元，占比2.27%。</w:t>
      </w:r>
    </w:p>
    <w:p>
      <w:pPr>
        <w:rPr>
          <w:rFonts w:asciiTheme="minorEastAsia" w:hAnsiTheme="minorEastAsia" w:cstheme="minorEastAsia"/>
          <w:sz w:val="28"/>
          <w:szCs w:val="28"/>
        </w:rPr>
      </w:pPr>
      <w:r>
        <w:rPr>
          <w:rFonts w:asciiTheme="minorEastAsia" w:hAnsiTheme="minorEastAsia" w:cstheme="minorEastAsia"/>
          <w:sz w:val="28"/>
          <w:szCs w:val="28"/>
        </w:rPr>
        <w:t>（三）财政拨款支出决算具体情况。</w:t>
      </w:r>
    </w:p>
    <w:p>
      <w:pPr>
        <w:ind w:firstLine="560" w:firstLineChars="200"/>
        <w:rPr>
          <w:rFonts w:asciiTheme="minorEastAsia" w:hAnsiTheme="minorEastAsia" w:cstheme="minorEastAsia"/>
          <w:sz w:val="28"/>
          <w:szCs w:val="28"/>
        </w:rPr>
      </w:pPr>
      <w:r>
        <w:rPr>
          <w:rFonts w:asciiTheme="minorEastAsia" w:hAnsiTheme="minorEastAsia" w:cstheme="minorEastAsia"/>
          <w:sz w:val="28"/>
          <w:szCs w:val="28"/>
        </w:rPr>
        <w:t>201</w:t>
      </w:r>
      <w:r>
        <w:rPr>
          <w:rFonts w:hint="eastAsia" w:asciiTheme="minorEastAsia" w:hAnsiTheme="minorEastAsia" w:cstheme="minorEastAsia"/>
          <w:sz w:val="28"/>
          <w:szCs w:val="28"/>
        </w:rPr>
        <w:t>8</w:t>
      </w:r>
      <w:r>
        <w:rPr>
          <w:rFonts w:asciiTheme="minorEastAsia" w:hAnsiTheme="minorEastAsia" w:cstheme="minorEastAsia"/>
          <w:sz w:val="28"/>
          <w:szCs w:val="28"/>
        </w:rPr>
        <w:t>年财政拨款支出</w:t>
      </w:r>
      <w:r>
        <w:rPr>
          <w:rFonts w:hint="eastAsia" w:asciiTheme="minorEastAsia" w:hAnsiTheme="minorEastAsia" w:cstheme="minorEastAsia"/>
          <w:sz w:val="28"/>
          <w:szCs w:val="28"/>
        </w:rPr>
        <w:t>5644.05</w:t>
      </w:r>
      <w:r>
        <w:rPr>
          <w:rFonts w:asciiTheme="minorEastAsia" w:hAnsiTheme="minorEastAsia" w:cstheme="minorEastAsia"/>
          <w:sz w:val="28"/>
          <w:szCs w:val="28"/>
        </w:rPr>
        <w:t>万元，其中：基本支出</w:t>
      </w:r>
      <w:r>
        <w:rPr>
          <w:rFonts w:hint="eastAsia" w:asciiTheme="minorEastAsia" w:hAnsiTheme="minorEastAsia" w:cstheme="minorEastAsia"/>
          <w:sz w:val="28"/>
          <w:szCs w:val="28"/>
        </w:rPr>
        <w:t>4316.75</w:t>
      </w:r>
      <w:r>
        <w:rPr>
          <w:rFonts w:asciiTheme="minorEastAsia" w:hAnsiTheme="minorEastAsia" w:cstheme="minorEastAsia"/>
          <w:sz w:val="28"/>
          <w:szCs w:val="28"/>
        </w:rPr>
        <w:t>万元，占全年财政拨款支出比为</w:t>
      </w:r>
      <w:r>
        <w:rPr>
          <w:rFonts w:hint="eastAsia" w:asciiTheme="minorEastAsia" w:hAnsiTheme="minorEastAsia" w:cstheme="minorEastAsia"/>
          <w:sz w:val="28"/>
          <w:szCs w:val="28"/>
        </w:rPr>
        <w:t>76.48</w:t>
      </w:r>
      <w:r>
        <w:rPr>
          <w:rFonts w:asciiTheme="minorEastAsia" w:hAnsiTheme="minorEastAsia" w:cstheme="minorEastAsia"/>
          <w:sz w:val="28"/>
          <w:szCs w:val="28"/>
        </w:rPr>
        <w:t>%， 项目支出</w:t>
      </w:r>
      <w:r>
        <w:rPr>
          <w:rFonts w:hint="eastAsia" w:asciiTheme="minorEastAsia" w:hAnsiTheme="minorEastAsia" w:cstheme="minorEastAsia"/>
          <w:sz w:val="28"/>
          <w:szCs w:val="28"/>
        </w:rPr>
        <w:t>1327.3</w:t>
      </w:r>
      <w:r>
        <w:rPr>
          <w:rFonts w:asciiTheme="minorEastAsia" w:hAnsiTheme="minorEastAsia" w:cstheme="minorEastAsia"/>
          <w:sz w:val="28"/>
          <w:szCs w:val="28"/>
        </w:rPr>
        <w:t>万元，占全年财政拨款支出比为</w:t>
      </w:r>
      <w:r>
        <w:rPr>
          <w:rFonts w:hint="eastAsia" w:asciiTheme="minorEastAsia" w:hAnsiTheme="minorEastAsia" w:cstheme="minorEastAsia"/>
          <w:sz w:val="28"/>
          <w:szCs w:val="28"/>
        </w:rPr>
        <w:t>23.52</w:t>
      </w:r>
      <w:r>
        <w:rPr>
          <w:rFonts w:asciiTheme="minorEastAsia" w:hAnsiTheme="minorEastAsia" w:cstheme="minorEastAsia"/>
          <w:sz w:val="28"/>
          <w:szCs w:val="28"/>
        </w:rPr>
        <w:t>%。</w:t>
      </w:r>
    </w:p>
    <w:p>
      <w:pPr>
        <w:rPr>
          <w:rFonts w:asciiTheme="minorEastAsia" w:hAnsiTheme="minorEastAsia" w:cstheme="minorEastAsia"/>
          <w:sz w:val="28"/>
          <w:szCs w:val="28"/>
        </w:rPr>
      </w:pPr>
      <w:r>
        <w:rPr>
          <w:rFonts w:hint="eastAsia" w:asciiTheme="minorEastAsia" w:hAnsiTheme="minorEastAsia" w:cstheme="minorEastAsia"/>
          <w:sz w:val="28"/>
          <w:szCs w:val="28"/>
        </w:rPr>
        <w:t>六、一般公共预算财政拨款基本支出决算情况说明</w:t>
      </w:r>
    </w:p>
    <w:p>
      <w:pPr>
        <w:ind w:firstLine="560" w:firstLineChars="200"/>
        <w:rPr>
          <w:rFonts w:asciiTheme="minorEastAsia" w:hAnsiTheme="minorEastAsia" w:cstheme="minorEastAsia"/>
          <w:sz w:val="28"/>
          <w:szCs w:val="28"/>
        </w:rPr>
      </w:pPr>
      <w:r>
        <w:rPr>
          <w:rFonts w:asciiTheme="minorEastAsia" w:hAnsiTheme="minorEastAsia" w:cstheme="minorEastAsia"/>
          <w:sz w:val="28"/>
          <w:szCs w:val="28"/>
        </w:rPr>
        <w:t>201</w:t>
      </w:r>
      <w:r>
        <w:rPr>
          <w:rFonts w:hint="eastAsia" w:asciiTheme="minorEastAsia" w:hAnsiTheme="minorEastAsia" w:cstheme="minorEastAsia"/>
          <w:sz w:val="28"/>
          <w:szCs w:val="28"/>
        </w:rPr>
        <w:t>8</w:t>
      </w:r>
      <w:r>
        <w:rPr>
          <w:rFonts w:asciiTheme="minorEastAsia" w:hAnsiTheme="minorEastAsia" w:cstheme="minorEastAsia"/>
          <w:sz w:val="28"/>
          <w:szCs w:val="28"/>
        </w:rPr>
        <w:t>年一般公共预算财政拨款基本支出决算</w:t>
      </w:r>
      <w:r>
        <w:rPr>
          <w:rFonts w:hint="eastAsia" w:asciiTheme="minorEastAsia" w:hAnsiTheme="minorEastAsia" w:cstheme="minorEastAsia"/>
          <w:sz w:val="28"/>
          <w:szCs w:val="28"/>
        </w:rPr>
        <w:t>4316.75</w:t>
      </w:r>
      <w:r>
        <w:rPr>
          <w:rFonts w:asciiTheme="minorEastAsia" w:hAnsiTheme="minorEastAsia" w:cstheme="minorEastAsia"/>
          <w:sz w:val="28"/>
          <w:szCs w:val="28"/>
        </w:rPr>
        <w:t>万元，占全年财政拨款支出比为</w:t>
      </w:r>
      <w:r>
        <w:rPr>
          <w:rFonts w:hint="eastAsia" w:asciiTheme="minorEastAsia" w:hAnsiTheme="minorEastAsia" w:cstheme="minorEastAsia"/>
          <w:sz w:val="28"/>
          <w:szCs w:val="28"/>
        </w:rPr>
        <w:t>76.48</w:t>
      </w:r>
      <w:r>
        <w:rPr>
          <w:rFonts w:asciiTheme="minorEastAsia" w:hAnsiTheme="minorEastAsia" w:cstheme="minorEastAsia"/>
          <w:sz w:val="28"/>
          <w:szCs w:val="28"/>
        </w:rPr>
        <w:t>%。其中：工资福利支出</w:t>
      </w:r>
      <w:r>
        <w:rPr>
          <w:rFonts w:hint="eastAsia" w:asciiTheme="minorEastAsia" w:hAnsiTheme="minorEastAsia" w:cstheme="minorEastAsia"/>
          <w:sz w:val="28"/>
          <w:szCs w:val="28"/>
        </w:rPr>
        <w:t>3767.26</w:t>
      </w:r>
      <w:r>
        <w:rPr>
          <w:rFonts w:asciiTheme="minorEastAsia" w:hAnsiTheme="minorEastAsia" w:cstheme="minorEastAsia"/>
          <w:sz w:val="28"/>
          <w:szCs w:val="28"/>
        </w:rPr>
        <w:t>万元，占比</w:t>
      </w:r>
      <w:r>
        <w:rPr>
          <w:rFonts w:hint="eastAsia" w:asciiTheme="minorEastAsia" w:hAnsiTheme="minorEastAsia" w:cstheme="minorEastAsia"/>
          <w:sz w:val="28"/>
          <w:szCs w:val="28"/>
        </w:rPr>
        <w:t>87.27</w:t>
      </w:r>
      <w:r>
        <w:rPr>
          <w:rFonts w:asciiTheme="minorEastAsia" w:hAnsiTheme="minorEastAsia" w:cstheme="minorEastAsia"/>
          <w:sz w:val="28"/>
          <w:szCs w:val="28"/>
        </w:rPr>
        <w:t>%；商品和服务支出</w:t>
      </w:r>
      <w:r>
        <w:rPr>
          <w:rFonts w:hint="eastAsia" w:asciiTheme="minorEastAsia" w:hAnsiTheme="minorEastAsia" w:cstheme="minorEastAsia"/>
          <w:sz w:val="28"/>
          <w:szCs w:val="28"/>
        </w:rPr>
        <w:t>511.77</w:t>
      </w:r>
      <w:r>
        <w:rPr>
          <w:rFonts w:asciiTheme="minorEastAsia" w:hAnsiTheme="minorEastAsia" w:cstheme="minorEastAsia"/>
          <w:sz w:val="28"/>
          <w:szCs w:val="28"/>
        </w:rPr>
        <w:t>万元，占比</w:t>
      </w:r>
      <w:r>
        <w:rPr>
          <w:rFonts w:hint="eastAsia" w:asciiTheme="minorEastAsia" w:hAnsiTheme="minorEastAsia" w:cstheme="minorEastAsia"/>
          <w:sz w:val="28"/>
          <w:szCs w:val="28"/>
        </w:rPr>
        <w:t>11.85</w:t>
      </w:r>
      <w:r>
        <w:rPr>
          <w:rFonts w:asciiTheme="minorEastAsia" w:hAnsiTheme="minorEastAsia" w:cstheme="minorEastAsia"/>
          <w:sz w:val="28"/>
          <w:szCs w:val="28"/>
        </w:rPr>
        <w:t>%；对个人和家庭的补助支出</w:t>
      </w:r>
      <w:r>
        <w:rPr>
          <w:rFonts w:hint="eastAsia" w:asciiTheme="minorEastAsia" w:hAnsiTheme="minorEastAsia" w:cstheme="minorEastAsia"/>
          <w:sz w:val="28"/>
          <w:szCs w:val="28"/>
        </w:rPr>
        <w:t>37.72</w:t>
      </w:r>
      <w:r>
        <w:rPr>
          <w:rFonts w:asciiTheme="minorEastAsia" w:hAnsiTheme="minorEastAsia" w:cstheme="minorEastAsia"/>
          <w:sz w:val="28"/>
          <w:szCs w:val="28"/>
        </w:rPr>
        <w:t>万元，占比</w:t>
      </w:r>
      <w:r>
        <w:rPr>
          <w:rFonts w:hint="eastAsia" w:asciiTheme="minorEastAsia" w:hAnsiTheme="minorEastAsia" w:cstheme="minorEastAsia"/>
          <w:sz w:val="28"/>
          <w:szCs w:val="28"/>
        </w:rPr>
        <w:t>0.87</w:t>
      </w:r>
      <w:r>
        <w:rPr>
          <w:rFonts w:asciiTheme="minorEastAsia" w:hAnsiTheme="minorEastAsia" w:cstheme="minorEastAsia"/>
          <w:sz w:val="28"/>
          <w:szCs w:val="28"/>
        </w:rPr>
        <w:t>%。基本支出是指为保障住房城乡建设厅机关、直属事业单位等机构正常运转，完成日常工作任务而发生的各项支出，包括用于基本工资、津贴补贴等人员经费以及办公费、印刷费、物管费、水电费、公务接待费、会议费、职工培训费、公务用车运行维护费、办公设备购置等日常公用经费。</w:t>
      </w:r>
    </w:p>
    <w:p>
      <w:pPr>
        <w:rPr>
          <w:rFonts w:asciiTheme="minorEastAsia" w:hAnsiTheme="minorEastAsia" w:cstheme="minorEastAsia"/>
          <w:sz w:val="28"/>
          <w:szCs w:val="28"/>
        </w:rPr>
      </w:pPr>
      <w:r>
        <w:rPr>
          <w:rFonts w:hint="eastAsia" w:asciiTheme="minorEastAsia" w:hAnsiTheme="minorEastAsia" w:cstheme="minorEastAsia"/>
          <w:sz w:val="28"/>
          <w:szCs w:val="28"/>
        </w:rPr>
        <w:t>七、一般公共预算财政拨款“三公”经费支出决算情况说明</w:t>
      </w:r>
    </w:p>
    <w:p>
      <w:pPr>
        <w:ind w:firstLine="560" w:firstLineChars="200"/>
        <w:rPr>
          <w:rFonts w:asciiTheme="minorEastAsia" w:hAnsiTheme="minorEastAsia" w:cstheme="minorEastAsia"/>
          <w:sz w:val="28"/>
          <w:szCs w:val="28"/>
        </w:rPr>
      </w:pPr>
      <w:r>
        <w:rPr>
          <w:rFonts w:asciiTheme="minorEastAsia" w:hAnsiTheme="minorEastAsia" w:cstheme="minorEastAsia"/>
          <w:sz w:val="28"/>
          <w:szCs w:val="28"/>
        </w:rPr>
        <w:t>1.“三公”经费财政拨款支出决算总体情况说明。</w:t>
      </w:r>
    </w:p>
    <w:p>
      <w:pPr>
        <w:ind w:firstLine="560" w:firstLineChars="200"/>
        <w:rPr>
          <w:rFonts w:asciiTheme="minorEastAsia" w:hAnsiTheme="minorEastAsia" w:cstheme="minorEastAsia"/>
          <w:sz w:val="28"/>
          <w:szCs w:val="28"/>
        </w:rPr>
      </w:pPr>
      <w:r>
        <w:rPr>
          <w:rFonts w:asciiTheme="minorEastAsia" w:hAnsiTheme="minorEastAsia" w:cstheme="minorEastAsia"/>
          <w:sz w:val="28"/>
          <w:szCs w:val="28"/>
        </w:rPr>
        <w:t>201</w:t>
      </w:r>
      <w:r>
        <w:rPr>
          <w:rFonts w:hint="eastAsia" w:asciiTheme="minorEastAsia" w:hAnsiTheme="minorEastAsia" w:cstheme="minorEastAsia"/>
          <w:sz w:val="28"/>
          <w:szCs w:val="28"/>
        </w:rPr>
        <w:t>8</w:t>
      </w:r>
      <w:r>
        <w:rPr>
          <w:rFonts w:asciiTheme="minorEastAsia" w:hAnsiTheme="minorEastAsia" w:cstheme="minorEastAsia"/>
          <w:sz w:val="28"/>
          <w:szCs w:val="28"/>
        </w:rPr>
        <w:t>年我</w:t>
      </w:r>
      <w:r>
        <w:rPr>
          <w:rFonts w:hint="eastAsia" w:asciiTheme="minorEastAsia" w:hAnsiTheme="minorEastAsia" w:cstheme="minorEastAsia"/>
          <w:sz w:val="28"/>
          <w:szCs w:val="28"/>
        </w:rPr>
        <w:t>局</w:t>
      </w:r>
      <w:r>
        <w:rPr>
          <w:rFonts w:asciiTheme="minorEastAsia" w:hAnsiTheme="minorEastAsia" w:cstheme="minorEastAsia"/>
          <w:sz w:val="28"/>
          <w:szCs w:val="28"/>
        </w:rPr>
        <w:t>“三公”经费决算支出</w:t>
      </w:r>
      <w:r>
        <w:rPr>
          <w:rFonts w:hint="eastAsia" w:asciiTheme="minorEastAsia" w:hAnsiTheme="minorEastAsia" w:cstheme="minorEastAsia"/>
          <w:sz w:val="28"/>
          <w:szCs w:val="28"/>
        </w:rPr>
        <w:t>63</w:t>
      </w:r>
      <w:r>
        <w:rPr>
          <w:rFonts w:asciiTheme="minorEastAsia" w:hAnsiTheme="minorEastAsia" w:cstheme="minorEastAsia"/>
          <w:sz w:val="28"/>
          <w:szCs w:val="28"/>
        </w:rPr>
        <w:t>万元，比年初预算</w:t>
      </w:r>
      <w:r>
        <w:rPr>
          <w:rFonts w:hint="eastAsia" w:asciiTheme="minorEastAsia" w:hAnsiTheme="minorEastAsia" w:cstheme="minorEastAsia"/>
          <w:sz w:val="28"/>
          <w:szCs w:val="28"/>
        </w:rPr>
        <w:t>75万元</w:t>
      </w:r>
      <w:r>
        <w:rPr>
          <w:rFonts w:asciiTheme="minorEastAsia" w:hAnsiTheme="minorEastAsia" w:cstheme="minorEastAsia"/>
          <w:sz w:val="28"/>
          <w:szCs w:val="28"/>
        </w:rPr>
        <w:t>减少</w:t>
      </w:r>
      <w:r>
        <w:rPr>
          <w:rFonts w:hint="eastAsia" w:asciiTheme="minorEastAsia" w:hAnsiTheme="minorEastAsia" w:cstheme="minorEastAsia"/>
          <w:sz w:val="28"/>
          <w:szCs w:val="28"/>
        </w:rPr>
        <w:t>12</w:t>
      </w:r>
      <w:r>
        <w:rPr>
          <w:rFonts w:asciiTheme="minorEastAsia" w:hAnsiTheme="minorEastAsia" w:cstheme="minorEastAsia"/>
          <w:sz w:val="28"/>
          <w:szCs w:val="28"/>
        </w:rPr>
        <w:t>万元，</w:t>
      </w:r>
      <w:r>
        <w:rPr>
          <w:rFonts w:hint="eastAsia" w:asciiTheme="minorEastAsia" w:hAnsiTheme="minorEastAsia" w:cstheme="minorEastAsia"/>
          <w:sz w:val="28"/>
          <w:szCs w:val="28"/>
        </w:rPr>
        <w:t>完成84%，当年决算数较预算数减少16%</w:t>
      </w:r>
      <w:r>
        <w:rPr>
          <w:rFonts w:asciiTheme="minorEastAsia" w:hAnsiTheme="minorEastAsia" w:cstheme="minorEastAsia"/>
          <w:sz w:val="28"/>
          <w:szCs w:val="28"/>
        </w:rPr>
        <w:t>。</w:t>
      </w:r>
      <w:r>
        <w:rPr>
          <w:rFonts w:hint="eastAsia" w:asciiTheme="minorEastAsia" w:hAnsiTheme="minorEastAsia" w:cstheme="minorEastAsia"/>
          <w:sz w:val="28"/>
          <w:szCs w:val="28"/>
        </w:rPr>
        <w:t>我局机关的“三公”经费全是</w:t>
      </w:r>
      <w:r>
        <w:rPr>
          <w:rFonts w:asciiTheme="minorEastAsia" w:hAnsiTheme="minorEastAsia" w:cstheme="minorEastAsia"/>
          <w:sz w:val="28"/>
          <w:szCs w:val="28"/>
        </w:rPr>
        <w:t>公务接待支出</w:t>
      </w:r>
      <w:r>
        <w:rPr>
          <w:rFonts w:hint="eastAsia" w:asciiTheme="minorEastAsia" w:hAnsiTheme="minorEastAsia" w:cstheme="minorEastAsia"/>
          <w:sz w:val="28"/>
          <w:szCs w:val="28"/>
        </w:rPr>
        <w:t>。</w:t>
      </w:r>
      <w:r>
        <w:rPr>
          <w:rFonts w:asciiTheme="minorEastAsia" w:hAnsiTheme="minorEastAsia" w:cstheme="minorEastAsia"/>
          <w:sz w:val="28"/>
          <w:szCs w:val="28"/>
        </w:rPr>
        <w:t>出国（境）支出</w:t>
      </w:r>
      <w:r>
        <w:rPr>
          <w:rFonts w:hint="eastAsia" w:asciiTheme="minorEastAsia" w:hAnsiTheme="minorEastAsia" w:cstheme="minorEastAsia"/>
          <w:sz w:val="28"/>
          <w:szCs w:val="28"/>
        </w:rPr>
        <w:t>没有，</w:t>
      </w:r>
      <w:r>
        <w:rPr>
          <w:rFonts w:asciiTheme="minorEastAsia" w:hAnsiTheme="minorEastAsia" w:cstheme="minorEastAsia"/>
          <w:sz w:val="28"/>
          <w:szCs w:val="28"/>
        </w:rPr>
        <w:t>公务用车购置及运行维护</w:t>
      </w:r>
      <w:r>
        <w:rPr>
          <w:rFonts w:hint="eastAsia" w:asciiTheme="minorEastAsia" w:hAnsiTheme="minorEastAsia" w:cstheme="minorEastAsia"/>
          <w:sz w:val="28"/>
          <w:szCs w:val="28"/>
        </w:rPr>
        <w:t>预算12万元，决算数为0。决算数小于年初预算数的主要原因是坚持厉行节约、规范公务接待管理、压缩开支。</w:t>
      </w:r>
    </w:p>
    <w:p>
      <w:pPr>
        <w:ind w:firstLine="560" w:firstLineChars="200"/>
        <w:rPr>
          <w:rFonts w:asciiTheme="minorEastAsia" w:hAnsiTheme="minorEastAsia" w:cstheme="minorEastAsia"/>
          <w:sz w:val="28"/>
          <w:szCs w:val="28"/>
        </w:rPr>
      </w:pPr>
      <w:r>
        <w:rPr>
          <w:rFonts w:asciiTheme="minorEastAsia" w:hAnsiTheme="minorEastAsia" w:cstheme="minorEastAsia"/>
          <w:sz w:val="28"/>
          <w:szCs w:val="28"/>
        </w:rPr>
        <w:t>2.“三公”经费财政拨款支出决算具体情况说明。</w:t>
      </w:r>
    </w:p>
    <w:p>
      <w:pPr>
        <w:ind w:firstLine="560" w:firstLineChars="200"/>
        <w:rPr>
          <w:rFonts w:asciiTheme="minorEastAsia" w:hAnsiTheme="minorEastAsia" w:cstheme="minorEastAsia"/>
          <w:sz w:val="28"/>
          <w:szCs w:val="28"/>
        </w:rPr>
      </w:pPr>
      <w:r>
        <w:rPr>
          <w:rFonts w:asciiTheme="minorEastAsia" w:hAnsiTheme="minorEastAsia" w:cstheme="minorEastAsia"/>
          <w:sz w:val="28"/>
          <w:szCs w:val="28"/>
        </w:rPr>
        <w:t>201</w:t>
      </w:r>
      <w:r>
        <w:rPr>
          <w:rFonts w:hint="eastAsia" w:asciiTheme="minorEastAsia" w:hAnsiTheme="minorEastAsia" w:cstheme="minorEastAsia"/>
          <w:sz w:val="28"/>
          <w:szCs w:val="28"/>
        </w:rPr>
        <w:t>8</w:t>
      </w:r>
      <w:r>
        <w:rPr>
          <w:rFonts w:asciiTheme="minorEastAsia" w:hAnsiTheme="minorEastAsia" w:cstheme="minorEastAsia"/>
          <w:sz w:val="28"/>
          <w:szCs w:val="28"/>
        </w:rPr>
        <w:t>年我</w:t>
      </w:r>
      <w:r>
        <w:rPr>
          <w:rFonts w:hint="eastAsia" w:asciiTheme="minorEastAsia" w:hAnsiTheme="minorEastAsia" w:cstheme="minorEastAsia"/>
          <w:sz w:val="28"/>
          <w:szCs w:val="28"/>
        </w:rPr>
        <w:t>局</w:t>
      </w:r>
      <w:r>
        <w:rPr>
          <w:rFonts w:asciiTheme="minorEastAsia" w:hAnsiTheme="minorEastAsia" w:cstheme="minorEastAsia"/>
          <w:sz w:val="28"/>
          <w:szCs w:val="28"/>
        </w:rPr>
        <w:t>“三公”经费决算支出</w:t>
      </w:r>
      <w:r>
        <w:rPr>
          <w:rFonts w:hint="eastAsia" w:asciiTheme="minorEastAsia" w:hAnsiTheme="minorEastAsia" w:cstheme="minorEastAsia"/>
          <w:sz w:val="28"/>
          <w:szCs w:val="28"/>
        </w:rPr>
        <w:t>63</w:t>
      </w:r>
      <w:r>
        <w:rPr>
          <w:rFonts w:asciiTheme="minorEastAsia" w:hAnsiTheme="minorEastAsia" w:cstheme="minorEastAsia"/>
          <w:sz w:val="28"/>
          <w:szCs w:val="28"/>
        </w:rPr>
        <w:t>万元，201</w:t>
      </w:r>
      <w:r>
        <w:rPr>
          <w:rFonts w:hint="eastAsia" w:asciiTheme="minorEastAsia" w:hAnsiTheme="minorEastAsia" w:cstheme="minorEastAsia"/>
          <w:sz w:val="28"/>
          <w:szCs w:val="28"/>
        </w:rPr>
        <w:t>8</w:t>
      </w:r>
      <w:r>
        <w:rPr>
          <w:rFonts w:asciiTheme="minorEastAsia" w:hAnsiTheme="minorEastAsia" w:cstheme="minorEastAsia"/>
          <w:sz w:val="28"/>
          <w:szCs w:val="28"/>
        </w:rPr>
        <w:t>年全年公务接待支出</w:t>
      </w:r>
      <w:r>
        <w:rPr>
          <w:rFonts w:hint="eastAsia" w:asciiTheme="minorEastAsia" w:hAnsiTheme="minorEastAsia" w:cstheme="minorEastAsia"/>
          <w:sz w:val="28"/>
          <w:szCs w:val="28"/>
        </w:rPr>
        <w:t>63</w:t>
      </w:r>
      <w:r>
        <w:rPr>
          <w:rFonts w:asciiTheme="minorEastAsia" w:hAnsiTheme="minorEastAsia" w:cstheme="minorEastAsia"/>
          <w:sz w:val="28"/>
          <w:szCs w:val="28"/>
        </w:rPr>
        <w:t>万元，占三公经费决算支出</w:t>
      </w:r>
      <w:r>
        <w:rPr>
          <w:rFonts w:hint="eastAsia" w:asciiTheme="minorEastAsia" w:hAnsiTheme="minorEastAsia" w:cstheme="minorEastAsia"/>
          <w:sz w:val="28"/>
          <w:szCs w:val="28"/>
        </w:rPr>
        <w:t>100%，</w:t>
      </w:r>
      <w:r>
        <w:rPr>
          <w:rFonts w:asciiTheme="minorEastAsia" w:hAnsiTheme="minorEastAsia" w:cstheme="minorEastAsia"/>
          <w:sz w:val="28"/>
          <w:szCs w:val="28"/>
        </w:rPr>
        <w:t>共计接待</w:t>
      </w:r>
      <w:r>
        <w:rPr>
          <w:rFonts w:hint="eastAsia" w:asciiTheme="minorEastAsia" w:hAnsiTheme="minorEastAsia" w:cstheme="minorEastAsia"/>
          <w:sz w:val="28"/>
          <w:szCs w:val="28"/>
        </w:rPr>
        <w:t>980</w:t>
      </w:r>
      <w:r>
        <w:rPr>
          <w:rFonts w:asciiTheme="minorEastAsia" w:hAnsiTheme="minorEastAsia" w:cstheme="minorEastAsia"/>
          <w:sz w:val="28"/>
          <w:szCs w:val="28"/>
        </w:rPr>
        <w:t>批次，近</w:t>
      </w:r>
      <w:r>
        <w:rPr>
          <w:rFonts w:hint="eastAsia" w:asciiTheme="minorEastAsia" w:hAnsiTheme="minorEastAsia" w:cstheme="minorEastAsia"/>
          <w:sz w:val="28"/>
          <w:szCs w:val="28"/>
        </w:rPr>
        <w:t>9024</w:t>
      </w:r>
      <w:r>
        <w:rPr>
          <w:rFonts w:asciiTheme="minorEastAsia" w:hAnsiTheme="minorEastAsia" w:cstheme="minorEastAsia"/>
          <w:sz w:val="28"/>
          <w:szCs w:val="28"/>
        </w:rPr>
        <w:t>人次。</w:t>
      </w:r>
      <w:r>
        <w:rPr>
          <w:rFonts w:hint="eastAsia" w:asciiTheme="minorEastAsia" w:hAnsiTheme="minorEastAsia" w:cstheme="minorEastAsia"/>
          <w:sz w:val="28"/>
          <w:szCs w:val="28"/>
        </w:rPr>
        <w:t>我局</w:t>
      </w:r>
      <w:r>
        <w:rPr>
          <w:rFonts w:asciiTheme="minorEastAsia" w:hAnsiTheme="minorEastAsia" w:cstheme="minorEastAsia"/>
          <w:sz w:val="28"/>
          <w:szCs w:val="28"/>
        </w:rPr>
        <w:t>出国（境）支出</w:t>
      </w:r>
      <w:r>
        <w:rPr>
          <w:rFonts w:hint="eastAsia" w:asciiTheme="minorEastAsia" w:hAnsiTheme="minorEastAsia" w:cstheme="minorEastAsia"/>
          <w:sz w:val="28"/>
          <w:szCs w:val="28"/>
        </w:rPr>
        <w:t>和</w:t>
      </w:r>
      <w:r>
        <w:rPr>
          <w:rFonts w:asciiTheme="minorEastAsia" w:hAnsiTheme="minorEastAsia" w:cstheme="minorEastAsia"/>
          <w:sz w:val="28"/>
          <w:szCs w:val="28"/>
        </w:rPr>
        <w:t>公务用车购置及运行维护支</w:t>
      </w:r>
      <w:r>
        <w:rPr>
          <w:rFonts w:hint="eastAsia" w:asciiTheme="minorEastAsia" w:hAnsiTheme="minorEastAsia" w:cstheme="minorEastAsia"/>
          <w:sz w:val="28"/>
          <w:szCs w:val="28"/>
        </w:rPr>
        <w:t>出2017和2018年都为0</w:t>
      </w:r>
      <w:r>
        <w:rPr>
          <w:rFonts w:asciiTheme="minorEastAsia" w:hAnsiTheme="minorEastAsia" w:cstheme="minorEastAsia"/>
          <w:sz w:val="28"/>
          <w:szCs w:val="28"/>
        </w:rPr>
        <w:t>万元</w:t>
      </w:r>
      <w:r>
        <w:rPr>
          <w:rFonts w:hint="eastAsia" w:asciiTheme="minorEastAsia" w:hAnsiTheme="minorEastAsia" w:cstheme="minorEastAsia"/>
          <w:sz w:val="28"/>
          <w:szCs w:val="28"/>
        </w:rPr>
        <w:t>，不包括城乡居民医保合并到我局公务用车1台，当时城乡居民医保合并到我局没有报销公务用车费，因此决算没有数据，此年后才有一部分公务用车开支。</w:t>
      </w:r>
    </w:p>
    <w:p>
      <w:pPr>
        <w:ind w:firstLine="560" w:firstLineChars="200"/>
        <w:rPr>
          <w:rFonts w:asciiTheme="minorEastAsia" w:hAnsiTheme="minorEastAsia" w:cstheme="minorEastAsia"/>
          <w:sz w:val="28"/>
          <w:szCs w:val="28"/>
        </w:rPr>
      </w:pPr>
      <w:r>
        <w:rPr>
          <w:rFonts w:hint="eastAsia" w:asciiTheme="minorEastAsia" w:hAnsiTheme="minorEastAsia" w:cstheme="minorEastAsia"/>
          <w:sz w:val="28"/>
          <w:szCs w:val="28"/>
        </w:rPr>
        <w:t>3、本年度因公出国（境）费用为0。</w:t>
      </w:r>
    </w:p>
    <w:p>
      <w:pPr>
        <w:pStyle w:val="12"/>
        <w:rPr>
          <w:rFonts w:asciiTheme="minorEastAsia" w:hAnsiTheme="minorEastAsia" w:eastAsiaTheme="minorEastAsia"/>
          <w:sz w:val="32"/>
          <w:szCs w:val="32"/>
        </w:rPr>
      </w:pPr>
      <w:r>
        <w:rPr>
          <w:rFonts w:hint="eastAsia" w:asciiTheme="minorEastAsia" w:hAnsiTheme="minorEastAsia" w:eastAsiaTheme="minorEastAsia"/>
          <w:sz w:val="32"/>
          <w:szCs w:val="32"/>
        </w:rPr>
        <w:t>八、政府性基金预算收入支出决算情况</w:t>
      </w:r>
    </w:p>
    <w:p>
      <w:pPr>
        <w:pStyle w:val="12"/>
        <w:ind w:firstLine="630"/>
        <w:rPr>
          <w:rFonts w:asciiTheme="minorEastAsia" w:hAnsiTheme="minorEastAsia" w:cstheme="minorEastAsia"/>
          <w:kern w:val="2"/>
          <w:sz w:val="28"/>
          <w:szCs w:val="28"/>
        </w:rPr>
      </w:pPr>
      <w:r>
        <w:rPr>
          <w:rFonts w:hint="eastAsia" w:asciiTheme="minorEastAsia" w:hAnsiTheme="minorEastAsia" w:eastAsiaTheme="minorEastAsia"/>
          <w:sz w:val="32"/>
          <w:szCs w:val="32"/>
        </w:rPr>
        <w:t>2018年度我局无政府性基金支出。</w:t>
      </w:r>
    </w:p>
    <w:p>
      <w:pPr>
        <w:rPr>
          <w:rFonts w:asciiTheme="minorEastAsia" w:hAnsiTheme="minorEastAsia" w:cstheme="minorEastAsia"/>
          <w:sz w:val="28"/>
          <w:szCs w:val="28"/>
        </w:rPr>
      </w:pPr>
      <w:r>
        <w:rPr>
          <w:rFonts w:hint="eastAsia" w:asciiTheme="minorEastAsia" w:hAnsiTheme="minorEastAsia" w:cstheme="minorEastAsia"/>
          <w:sz w:val="28"/>
          <w:szCs w:val="28"/>
        </w:rPr>
        <w:t>九、关于2018年度预算绩效情况说明</w:t>
      </w:r>
    </w:p>
    <w:p>
      <w:pPr>
        <w:ind w:firstLine="560" w:firstLineChars="200"/>
        <w:rPr>
          <w:rFonts w:asciiTheme="minorEastAsia" w:hAnsiTheme="minorEastAsia" w:cstheme="minorEastAsia"/>
          <w:sz w:val="28"/>
          <w:szCs w:val="28"/>
        </w:rPr>
      </w:pPr>
      <w:r>
        <w:rPr>
          <w:rFonts w:asciiTheme="minorEastAsia" w:hAnsiTheme="minorEastAsia" w:cstheme="minorEastAsia"/>
          <w:sz w:val="28"/>
          <w:szCs w:val="28"/>
        </w:rPr>
        <w:t>（一）预算绩效管理开展情况</w:t>
      </w:r>
    </w:p>
    <w:p>
      <w:pPr>
        <w:ind w:firstLine="560" w:firstLineChars="200"/>
        <w:rPr>
          <w:rFonts w:asciiTheme="minorEastAsia" w:hAnsiTheme="minorEastAsia" w:cstheme="minorEastAsia"/>
          <w:sz w:val="28"/>
          <w:szCs w:val="28"/>
        </w:rPr>
      </w:pPr>
      <w:r>
        <w:rPr>
          <w:rFonts w:asciiTheme="minorEastAsia" w:hAnsiTheme="minorEastAsia" w:cstheme="minorEastAsia"/>
          <w:sz w:val="28"/>
          <w:szCs w:val="28"/>
        </w:rPr>
        <w:t>根据《会计法》、《预算法》等法律和财政部</w:t>
      </w:r>
      <w:r>
        <w:rPr>
          <w:rFonts w:hint="eastAsia" w:asciiTheme="minorEastAsia" w:hAnsiTheme="minorEastAsia" w:cstheme="minorEastAsia"/>
          <w:sz w:val="28"/>
          <w:szCs w:val="28"/>
        </w:rPr>
        <w:t>、</w:t>
      </w:r>
      <w:r>
        <w:rPr>
          <w:rFonts w:asciiTheme="minorEastAsia" w:hAnsiTheme="minorEastAsia" w:cstheme="minorEastAsia"/>
          <w:sz w:val="28"/>
          <w:szCs w:val="28"/>
        </w:rPr>
        <w:t>省财政厅</w:t>
      </w:r>
      <w:r>
        <w:rPr>
          <w:rFonts w:hint="eastAsia" w:asciiTheme="minorEastAsia" w:hAnsiTheme="minorEastAsia" w:cstheme="minorEastAsia"/>
          <w:sz w:val="28"/>
          <w:szCs w:val="28"/>
        </w:rPr>
        <w:t>、县财政局</w:t>
      </w:r>
      <w:r>
        <w:rPr>
          <w:rFonts w:asciiTheme="minorEastAsia" w:hAnsiTheme="minorEastAsia" w:cstheme="minorEastAsia"/>
          <w:sz w:val="28"/>
          <w:szCs w:val="28"/>
        </w:rPr>
        <w:t>有关财务规章的规定，</w:t>
      </w:r>
      <w:r>
        <w:rPr>
          <w:rFonts w:hint="eastAsia" w:asciiTheme="minorEastAsia" w:hAnsiTheme="minorEastAsia" w:cstheme="minorEastAsia"/>
          <w:sz w:val="28"/>
          <w:szCs w:val="28"/>
        </w:rPr>
        <w:t>我局也出台了</w:t>
      </w:r>
      <w:r>
        <w:rPr>
          <w:rFonts w:asciiTheme="minorEastAsia" w:hAnsiTheme="minorEastAsia" w:cstheme="minorEastAsia"/>
          <w:sz w:val="28"/>
          <w:szCs w:val="28"/>
        </w:rPr>
        <w:t>《内部控制手册》，明确了经费审批权限及程序，对经费预算管理、财务经费管理、资产购置与处置、财务监督等方面做出了具体规定。</w:t>
      </w:r>
      <w:r>
        <w:rPr>
          <w:rFonts w:hint="eastAsia" w:asciiTheme="minorEastAsia" w:hAnsiTheme="minorEastAsia" w:cstheme="minorEastAsia"/>
          <w:sz w:val="28"/>
          <w:szCs w:val="28"/>
        </w:rPr>
        <w:t>严格预算绩效管理，加强单位内部控制建设，建立内控长效机制，严格财务管理，加强财务监督。</w:t>
      </w:r>
      <w:r>
        <w:rPr>
          <w:rFonts w:asciiTheme="minorEastAsia" w:hAnsiTheme="minorEastAsia" w:cstheme="minorEastAsia"/>
          <w:sz w:val="28"/>
          <w:szCs w:val="28"/>
        </w:rPr>
        <w:t>进一步落实了厉行节约的各项规定，确保了“三公经费”管理使用合理合规。</w:t>
      </w:r>
    </w:p>
    <w:p>
      <w:pPr>
        <w:ind w:firstLine="560" w:firstLineChars="200"/>
        <w:rPr>
          <w:rFonts w:asciiTheme="minorEastAsia" w:hAnsiTheme="minorEastAsia" w:cstheme="minorEastAsia"/>
          <w:sz w:val="28"/>
          <w:szCs w:val="28"/>
        </w:rPr>
      </w:pPr>
      <w:r>
        <w:rPr>
          <w:rFonts w:asciiTheme="minorEastAsia" w:hAnsiTheme="minorEastAsia" w:cstheme="minorEastAsia"/>
          <w:sz w:val="28"/>
          <w:szCs w:val="28"/>
        </w:rPr>
        <w:t>（二）绩效目标和绩效评价报告</w:t>
      </w:r>
    </w:p>
    <w:p>
      <w:pPr>
        <w:ind w:firstLine="560" w:firstLineChars="200"/>
        <w:rPr>
          <w:rFonts w:asciiTheme="minorEastAsia" w:hAnsiTheme="minorEastAsia" w:cstheme="minorEastAsia"/>
          <w:sz w:val="28"/>
          <w:szCs w:val="28"/>
        </w:rPr>
      </w:pPr>
      <w:r>
        <w:rPr>
          <w:rFonts w:asciiTheme="minorEastAsia" w:hAnsiTheme="minorEastAsia" w:cstheme="minorEastAsia"/>
          <w:sz w:val="28"/>
          <w:szCs w:val="28"/>
        </w:rPr>
        <w:t>201</w:t>
      </w:r>
      <w:r>
        <w:rPr>
          <w:rFonts w:hint="eastAsia" w:asciiTheme="minorEastAsia" w:hAnsiTheme="minorEastAsia" w:cstheme="minorEastAsia"/>
          <w:sz w:val="28"/>
          <w:szCs w:val="28"/>
        </w:rPr>
        <w:t>8</w:t>
      </w:r>
      <w:r>
        <w:rPr>
          <w:rFonts w:asciiTheme="minorEastAsia" w:hAnsiTheme="minorEastAsia" w:cstheme="minorEastAsia"/>
          <w:sz w:val="28"/>
          <w:szCs w:val="28"/>
        </w:rPr>
        <w:t>年，全</w:t>
      </w:r>
      <w:r>
        <w:rPr>
          <w:rFonts w:hint="eastAsia" w:asciiTheme="minorEastAsia" w:hAnsiTheme="minorEastAsia" w:cstheme="minorEastAsia"/>
          <w:sz w:val="28"/>
          <w:szCs w:val="28"/>
        </w:rPr>
        <w:t>局</w:t>
      </w:r>
      <w:r>
        <w:rPr>
          <w:rFonts w:asciiTheme="minorEastAsia" w:hAnsiTheme="minorEastAsia" w:cstheme="minorEastAsia"/>
          <w:sz w:val="28"/>
          <w:szCs w:val="28"/>
        </w:rPr>
        <w:t>以迎接十九大、学习贯彻党的十九大精神为首要政治任务，坚持以人民为中心，坚持五大发展理念，倾力</w:t>
      </w:r>
      <w:r>
        <w:rPr>
          <w:rFonts w:hint="eastAsia" w:asciiTheme="minorEastAsia" w:hAnsiTheme="minorEastAsia" w:cstheme="minorEastAsia"/>
          <w:sz w:val="28"/>
          <w:szCs w:val="28"/>
        </w:rPr>
        <w:t>把云集</w:t>
      </w:r>
      <w:r>
        <w:rPr>
          <w:rFonts w:asciiTheme="minorEastAsia" w:hAnsiTheme="minorEastAsia" w:cstheme="minorEastAsia"/>
          <w:sz w:val="28"/>
          <w:szCs w:val="28"/>
        </w:rPr>
        <w:t>打造</w:t>
      </w:r>
      <w:r>
        <w:rPr>
          <w:rFonts w:hint="eastAsia" w:asciiTheme="minorEastAsia" w:hAnsiTheme="minorEastAsia" w:cstheme="minorEastAsia"/>
          <w:sz w:val="28"/>
          <w:szCs w:val="28"/>
        </w:rPr>
        <w:t>成“衡阳市后花园”的目标，主动创新作为，提高审批效率，为部门提供社保工作服务，服务群众建设，从经济效益来说，严格控制运行成本，保障了机关的正常运转。从社会效益来说，规范整个县域城镇规划，确保各项规划工作有序进行。深入基层倾听民声、察民情，切实把规划做到前瞻和可执行，提高规划实施质量和效率，提高社会公众或服务对象满意度。</w:t>
      </w:r>
      <w:r>
        <w:rPr>
          <w:rFonts w:asciiTheme="minorEastAsia" w:hAnsiTheme="minorEastAsia" w:cstheme="minorEastAsia"/>
          <w:sz w:val="28"/>
          <w:szCs w:val="28"/>
        </w:rPr>
        <w:t>为全</w:t>
      </w:r>
      <w:r>
        <w:rPr>
          <w:rFonts w:hint="eastAsia" w:asciiTheme="minorEastAsia" w:hAnsiTheme="minorEastAsia" w:cstheme="minorEastAsia"/>
          <w:sz w:val="28"/>
          <w:szCs w:val="28"/>
        </w:rPr>
        <w:t>县</w:t>
      </w:r>
      <w:r>
        <w:rPr>
          <w:rFonts w:asciiTheme="minorEastAsia" w:hAnsiTheme="minorEastAsia" w:cstheme="minorEastAsia"/>
          <w:sz w:val="28"/>
          <w:szCs w:val="28"/>
        </w:rPr>
        <w:t>经济社会发展作出了积极贡献。为加强财政支出管理，提高财政资金使用效益，我</w:t>
      </w:r>
      <w:r>
        <w:rPr>
          <w:rFonts w:hint="eastAsia" w:asciiTheme="minorEastAsia" w:hAnsiTheme="minorEastAsia" w:cstheme="minorEastAsia"/>
          <w:sz w:val="28"/>
          <w:szCs w:val="28"/>
        </w:rPr>
        <w:t>局</w:t>
      </w:r>
      <w:r>
        <w:rPr>
          <w:rFonts w:asciiTheme="minorEastAsia" w:hAnsiTheme="minorEastAsia" w:cstheme="minorEastAsia"/>
          <w:sz w:val="28"/>
          <w:szCs w:val="28"/>
        </w:rPr>
        <w:t>于201</w:t>
      </w:r>
      <w:r>
        <w:rPr>
          <w:rFonts w:hint="eastAsia" w:asciiTheme="minorEastAsia" w:hAnsiTheme="minorEastAsia" w:cstheme="minorEastAsia"/>
          <w:sz w:val="28"/>
          <w:szCs w:val="28"/>
        </w:rPr>
        <w:t>9</w:t>
      </w:r>
      <w:r>
        <w:rPr>
          <w:rFonts w:asciiTheme="minorEastAsia" w:hAnsiTheme="minorEastAsia" w:cstheme="minorEastAsia"/>
          <w:sz w:val="28"/>
          <w:szCs w:val="28"/>
        </w:rPr>
        <w:t>年3-4月对201</w:t>
      </w:r>
      <w:r>
        <w:rPr>
          <w:rFonts w:hint="eastAsia" w:asciiTheme="minorEastAsia" w:hAnsiTheme="minorEastAsia" w:cstheme="minorEastAsia"/>
          <w:sz w:val="28"/>
          <w:szCs w:val="28"/>
        </w:rPr>
        <w:t>8</w:t>
      </w:r>
      <w:r>
        <w:rPr>
          <w:rFonts w:asciiTheme="minorEastAsia" w:hAnsiTheme="minorEastAsia" w:cstheme="minorEastAsia"/>
          <w:sz w:val="28"/>
          <w:szCs w:val="28"/>
        </w:rPr>
        <w:t>年部门整体支出进行了绩效评价，形成了绩效评价报告，已按时报送</w:t>
      </w:r>
      <w:r>
        <w:rPr>
          <w:rFonts w:hint="eastAsia" w:asciiTheme="minorEastAsia" w:hAnsiTheme="minorEastAsia" w:cstheme="minorEastAsia"/>
          <w:sz w:val="28"/>
          <w:szCs w:val="28"/>
        </w:rPr>
        <w:t>县财政局</w:t>
      </w:r>
      <w:r>
        <w:rPr>
          <w:rFonts w:asciiTheme="minorEastAsia" w:hAnsiTheme="minorEastAsia" w:cstheme="minorEastAsia"/>
          <w:sz w:val="28"/>
          <w:szCs w:val="28"/>
        </w:rPr>
        <w:t>，并在</w:t>
      </w:r>
      <w:r>
        <w:rPr>
          <w:rFonts w:hint="eastAsia" w:asciiTheme="minorEastAsia" w:hAnsiTheme="minorEastAsia" w:cstheme="minorEastAsia"/>
          <w:sz w:val="28"/>
          <w:szCs w:val="28"/>
        </w:rPr>
        <w:t>县</w:t>
      </w:r>
      <w:r>
        <w:rPr>
          <w:rFonts w:asciiTheme="minorEastAsia" w:hAnsiTheme="minorEastAsia" w:cstheme="minorEastAsia"/>
          <w:sz w:val="28"/>
          <w:szCs w:val="28"/>
        </w:rPr>
        <w:t>门户网站予以公开。</w:t>
      </w:r>
    </w:p>
    <w:p>
      <w:pPr>
        <w:ind w:firstLine="560" w:firstLineChars="200"/>
        <w:rPr>
          <w:rFonts w:asciiTheme="minorEastAsia" w:hAnsiTheme="minorEastAsia" w:cstheme="minorEastAsia"/>
          <w:sz w:val="28"/>
          <w:szCs w:val="28"/>
        </w:rPr>
      </w:pPr>
      <w:r>
        <w:rPr>
          <w:rFonts w:hint="eastAsia" w:asciiTheme="minorEastAsia" w:hAnsiTheme="minorEastAsia" w:cstheme="minorEastAsia"/>
          <w:sz w:val="28"/>
          <w:szCs w:val="28"/>
        </w:rPr>
        <w:t>十、其他重要事项情况说明</w:t>
      </w:r>
    </w:p>
    <w:p>
      <w:pPr>
        <w:ind w:firstLine="560" w:firstLineChars="200"/>
        <w:rPr>
          <w:rFonts w:asciiTheme="minorEastAsia" w:hAnsiTheme="minorEastAsia" w:cstheme="minorEastAsia"/>
          <w:sz w:val="28"/>
          <w:szCs w:val="28"/>
        </w:rPr>
      </w:pPr>
      <w:r>
        <w:rPr>
          <w:rFonts w:hint="eastAsia" w:asciiTheme="minorEastAsia" w:hAnsiTheme="minorEastAsia" w:cstheme="minorEastAsia"/>
          <w:sz w:val="28"/>
          <w:szCs w:val="28"/>
        </w:rPr>
        <w:t>（一）机关运行经费支出情况</w:t>
      </w:r>
    </w:p>
    <w:p>
      <w:pPr>
        <w:ind w:firstLine="560" w:firstLineChars="200"/>
        <w:rPr>
          <w:rFonts w:asciiTheme="minorEastAsia" w:hAnsiTheme="minorEastAsia" w:cstheme="minorEastAsia"/>
          <w:sz w:val="28"/>
          <w:szCs w:val="28"/>
        </w:rPr>
      </w:pPr>
      <w:r>
        <w:rPr>
          <w:rFonts w:hint="eastAsia" w:asciiTheme="minorEastAsia" w:hAnsiTheme="minorEastAsia" w:cstheme="minorEastAsia"/>
          <w:sz w:val="28"/>
          <w:szCs w:val="28"/>
        </w:rPr>
        <w:t>本部门2018年度机关运行经费支出511.78万元，比年初预算数增加41.88万元，增长1.1%。主要原因是：因为人员工资调资相应增加，办公经费及生活补贴费各项开支。机关运行费主要用于办公费、电费、差旅费、维护费等。</w:t>
      </w:r>
    </w:p>
    <w:p>
      <w:pPr>
        <w:ind w:firstLine="560" w:firstLineChars="200"/>
        <w:rPr>
          <w:rFonts w:asciiTheme="minorEastAsia" w:hAnsiTheme="minorEastAsia" w:cstheme="minorEastAsia"/>
          <w:sz w:val="28"/>
          <w:szCs w:val="28"/>
        </w:rPr>
      </w:pPr>
      <w:r>
        <w:rPr>
          <w:rFonts w:hint="eastAsia" w:asciiTheme="minorEastAsia" w:hAnsiTheme="minorEastAsia" w:cstheme="minorEastAsia"/>
          <w:sz w:val="28"/>
          <w:szCs w:val="28"/>
        </w:rPr>
        <w:t>（二）一般性支出情况</w:t>
      </w:r>
    </w:p>
    <w:p>
      <w:pPr>
        <w:ind w:firstLine="560" w:firstLineChars="200"/>
        <w:rPr>
          <w:rFonts w:asciiTheme="minorEastAsia" w:hAnsiTheme="minorEastAsia" w:cstheme="minorEastAsia"/>
          <w:sz w:val="28"/>
          <w:szCs w:val="28"/>
        </w:rPr>
      </w:pPr>
      <w:r>
        <w:rPr>
          <w:rFonts w:hint="eastAsia" w:asciiTheme="minorEastAsia" w:hAnsiTheme="minorEastAsia" w:cstheme="minorEastAsia"/>
          <w:sz w:val="28"/>
          <w:szCs w:val="28"/>
        </w:rPr>
        <w:t>2018年本部门开支会议费6.35万元，用于召开2会议，人数197人，内容为:农合办城乡居民医疗保险会议、全县清理吃空响会议；开支培训费0.92万元，用于开展新农合业务培训会等，人数87人，内容为新农合征缴及督查医疗机构用药等；举办体育总会第十三届运动会开支10万元。</w:t>
      </w:r>
    </w:p>
    <w:p>
      <w:pPr>
        <w:ind w:firstLine="560" w:firstLineChars="200"/>
        <w:rPr>
          <w:rFonts w:asciiTheme="minorEastAsia" w:hAnsiTheme="minorEastAsia" w:cstheme="minorEastAsia"/>
          <w:sz w:val="28"/>
          <w:szCs w:val="28"/>
        </w:rPr>
      </w:pPr>
      <w:r>
        <w:rPr>
          <w:rFonts w:hint="eastAsia" w:asciiTheme="minorEastAsia" w:hAnsiTheme="minorEastAsia" w:cstheme="minorEastAsia"/>
          <w:sz w:val="28"/>
          <w:szCs w:val="28"/>
        </w:rPr>
        <w:t>（三）政府采购支出情况</w:t>
      </w:r>
    </w:p>
    <w:p>
      <w:pPr>
        <w:ind w:firstLine="560" w:firstLineChars="200"/>
        <w:rPr>
          <w:rFonts w:asciiTheme="minorEastAsia" w:hAnsiTheme="minorEastAsia" w:cstheme="minorEastAsia"/>
          <w:sz w:val="28"/>
          <w:szCs w:val="28"/>
        </w:rPr>
      </w:pPr>
      <w:r>
        <w:rPr>
          <w:rFonts w:hint="eastAsia" w:asciiTheme="minorEastAsia" w:hAnsiTheme="minorEastAsia" w:cstheme="minorEastAsia"/>
          <w:sz w:val="28"/>
          <w:szCs w:val="28"/>
        </w:rPr>
        <w:t>本部门2018年度政府采购支出总额2.1万元，其中：政府采购货物支出2.1万元,主要是采购办公物资等。</w:t>
      </w:r>
    </w:p>
    <w:p>
      <w:pPr>
        <w:ind w:firstLine="560" w:firstLineChars="200"/>
        <w:rPr>
          <w:rFonts w:asciiTheme="minorEastAsia" w:hAnsiTheme="minorEastAsia" w:cstheme="minorEastAsia"/>
          <w:sz w:val="28"/>
          <w:szCs w:val="28"/>
        </w:rPr>
      </w:pPr>
      <w:r>
        <w:rPr>
          <w:rFonts w:hint="eastAsia" w:asciiTheme="minorEastAsia" w:hAnsiTheme="minorEastAsia" w:cstheme="minorEastAsia"/>
          <w:sz w:val="28"/>
          <w:szCs w:val="28"/>
        </w:rPr>
        <w:t>（四）国有资产占用情况</w:t>
      </w:r>
    </w:p>
    <w:p>
      <w:pPr>
        <w:ind w:firstLine="560" w:firstLineChars="200"/>
        <w:rPr>
          <w:rFonts w:cs="黑体" w:asciiTheme="minorEastAsia" w:hAnsiTheme="minorEastAsia"/>
          <w:color w:val="000000"/>
          <w:kern w:val="0"/>
          <w:sz w:val="32"/>
          <w:szCs w:val="32"/>
        </w:rPr>
      </w:pPr>
      <w:r>
        <w:rPr>
          <w:rFonts w:hint="eastAsia" w:asciiTheme="minorEastAsia" w:hAnsiTheme="minorEastAsia" w:cstheme="minorEastAsia"/>
          <w:sz w:val="28"/>
          <w:szCs w:val="28"/>
        </w:rPr>
        <w:t>截至2018年12月31日，本单位共有车辆1辆，其中，领导干部用车0辆、机要通信用车0辆、应急保障用车0辆、执法执勤用车0辆、特种专业技术用车0辆、其他用车1辆，其他用车主要是新农合用于下乡检查病房情况；单位价值50万元以上通用设备0台（套）；单位价值100万元以上专用设备0台（套）。</w:t>
      </w:r>
    </w:p>
    <w:p>
      <w:pPr>
        <w:ind w:firstLine="640" w:firstLineChars="200"/>
        <w:rPr>
          <w:rFonts w:asciiTheme="minorEastAsia" w:hAnsiTheme="minorEastAsia" w:cstheme="minorEastAsia"/>
          <w:sz w:val="28"/>
          <w:szCs w:val="28"/>
        </w:rPr>
      </w:pPr>
      <w:r>
        <w:rPr>
          <w:rFonts w:cs="黑体" w:asciiTheme="minorEastAsia" w:hAnsiTheme="minorEastAsia"/>
          <w:color w:val="000000"/>
          <w:kern w:val="0"/>
          <w:sz w:val="32"/>
          <w:szCs w:val="32"/>
        </w:rPr>
        <w:br w:type="page"/>
      </w:r>
    </w:p>
    <w:p>
      <w:pPr>
        <w:widowControl/>
        <w:spacing w:beforeAutospacing="1" w:afterAutospacing="1"/>
        <w:jc w:val="center"/>
        <w:rPr>
          <w:rFonts w:ascii="宋体" w:hAnsi="宋体" w:eastAsia="宋体" w:cs="宋体"/>
          <w:color w:val="000000"/>
          <w:szCs w:val="21"/>
        </w:rPr>
      </w:pPr>
      <w:r>
        <w:rPr>
          <w:rFonts w:hint="eastAsia" w:asciiTheme="majorEastAsia" w:hAnsiTheme="majorEastAsia" w:eastAsiaTheme="majorEastAsia" w:cstheme="majorEastAsia"/>
          <w:b/>
          <w:bCs/>
          <w:sz w:val="32"/>
          <w:szCs w:val="32"/>
        </w:rPr>
        <w:t>第四部分 名称解释 </w:t>
      </w:r>
    </w:p>
    <w:p>
      <w:pPr>
        <w:pStyle w:val="6"/>
        <w:shd w:val="clear" w:color="auto" w:fill="FFFFFF"/>
        <w:spacing w:before="0" w:beforeAutospacing="0" w:after="0" w:afterAutospacing="0"/>
        <w:rPr>
          <w:rFonts w:asciiTheme="minorEastAsia" w:hAnsiTheme="minorEastAsia" w:eastAsiaTheme="minorEastAsia" w:cstheme="minorEastAsia"/>
          <w:kern w:val="2"/>
          <w:sz w:val="28"/>
          <w:szCs w:val="28"/>
        </w:rPr>
      </w:pPr>
      <w:r>
        <w:rPr>
          <w:rFonts w:hint="eastAsia" w:asciiTheme="minorEastAsia" w:hAnsiTheme="minorEastAsia" w:eastAsiaTheme="minorEastAsia" w:cstheme="minorEastAsia"/>
          <w:kern w:val="2"/>
          <w:sz w:val="28"/>
          <w:szCs w:val="28"/>
        </w:rPr>
        <w:t>一、财政拨款收入：指财政部门核拨给单位的财政预算资金。 </w:t>
      </w:r>
    </w:p>
    <w:p>
      <w:pPr>
        <w:pStyle w:val="6"/>
        <w:shd w:val="clear" w:color="auto" w:fill="FFFFFF"/>
        <w:spacing w:before="0" w:beforeAutospacing="0" w:after="0" w:afterAutospacing="0"/>
        <w:rPr>
          <w:rFonts w:asciiTheme="minorEastAsia" w:hAnsiTheme="minorEastAsia" w:eastAsiaTheme="minorEastAsia" w:cstheme="minorEastAsia"/>
          <w:kern w:val="2"/>
          <w:sz w:val="28"/>
          <w:szCs w:val="28"/>
        </w:rPr>
      </w:pPr>
      <w:r>
        <w:rPr>
          <w:rFonts w:hint="eastAsia" w:asciiTheme="minorEastAsia" w:hAnsiTheme="minorEastAsia" w:eastAsiaTheme="minorEastAsia" w:cstheme="minorEastAsia"/>
          <w:kern w:val="2"/>
          <w:sz w:val="28"/>
          <w:szCs w:val="28"/>
        </w:rPr>
        <w:t>　二、事业收入：指事业单位开展专业业务活动及辅助活动所取得的收入。 </w:t>
      </w:r>
    </w:p>
    <w:p>
      <w:pPr>
        <w:pStyle w:val="6"/>
        <w:shd w:val="clear" w:color="auto" w:fill="FFFFFF"/>
        <w:spacing w:before="0" w:beforeAutospacing="0" w:after="0" w:afterAutospacing="0"/>
        <w:rPr>
          <w:rFonts w:asciiTheme="minorEastAsia" w:hAnsiTheme="minorEastAsia" w:eastAsiaTheme="minorEastAsia" w:cstheme="minorEastAsia"/>
          <w:kern w:val="2"/>
          <w:sz w:val="28"/>
          <w:szCs w:val="28"/>
        </w:rPr>
      </w:pPr>
      <w:r>
        <w:rPr>
          <w:rFonts w:hint="eastAsia" w:asciiTheme="minorEastAsia" w:hAnsiTheme="minorEastAsia" w:eastAsiaTheme="minorEastAsia" w:cstheme="minorEastAsia"/>
          <w:kern w:val="2"/>
          <w:sz w:val="28"/>
          <w:szCs w:val="28"/>
        </w:rPr>
        <w:t>　三、附属单位上缴收入：指事业单位附属独立核算单位按有关规定上缴的收入。 </w:t>
      </w:r>
    </w:p>
    <w:p>
      <w:pPr>
        <w:pStyle w:val="6"/>
        <w:shd w:val="clear" w:color="auto" w:fill="FFFFFF"/>
        <w:spacing w:before="0" w:beforeAutospacing="0" w:after="0" w:afterAutospacing="0"/>
        <w:rPr>
          <w:rFonts w:asciiTheme="minorEastAsia" w:hAnsiTheme="minorEastAsia" w:eastAsiaTheme="minorEastAsia" w:cstheme="minorEastAsia"/>
          <w:kern w:val="2"/>
          <w:sz w:val="28"/>
          <w:szCs w:val="28"/>
        </w:rPr>
      </w:pPr>
      <w:r>
        <w:rPr>
          <w:rFonts w:hint="eastAsia" w:asciiTheme="minorEastAsia" w:hAnsiTheme="minorEastAsia" w:eastAsiaTheme="minorEastAsia" w:cstheme="minorEastAsia"/>
          <w:kern w:val="2"/>
          <w:sz w:val="28"/>
          <w:szCs w:val="28"/>
        </w:rPr>
        <w:t>　四、其他收入：指单位取得的除上述“财政拨款收入”、“事业收入”、“附属单位上缴收入”等以外的收入。 </w:t>
      </w:r>
    </w:p>
    <w:p>
      <w:pPr>
        <w:pStyle w:val="6"/>
        <w:shd w:val="clear" w:color="auto" w:fill="FFFFFF"/>
        <w:spacing w:before="0" w:beforeAutospacing="0" w:after="0" w:afterAutospacing="0"/>
        <w:rPr>
          <w:rFonts w:asciiTheme="minorEastAsia" w:hAnsiTheme="minorEastAsia" w:eastAsiaTheme="minorEastAsia" w:cstheme="minorEastAsia"/>
          <w:kern w:val="2"/>
          <w:sz w:val="28"/>
          <w:szCs w:val="28"/>
        </w:rPr>
      </w:pPr>
      <w:r>
        <w:rPr>
          <w:rFonts w:hint="eastAsia" w:asciiTheme="minorEastAsia" w:hAnsiTheme="minorEastAsia" w:eastAsiaTheme="minorEastAsia" w:cstheme="minorEastAsia"/>
          <w:kern w:val="2"/>
          <w:sz w:val="28"/>
          <w:szCs w:val="28"/>
        </w:rPr>
        <w:t>　五、年初结转和结余：指以前年度尚未完成、结转到本年仍按有关规定继续使用的资金。 </w:t>
      </w:r>
    </w:p>
    <w:p>
      <w:pPr>
        <w:pStyle w:val="6"/>
        <w:shd w:val="clear" w:color="auto" w:fill="FFFFFF"/>
        <w:spacing w:before="0" w:beforeAutospacing="0" w:after="0" w:afterAutospacing="0"/>
        <w:rPr>
          <w:rFonts w:asciiTheme="minorEastAsia" w:hAnsiTheme="minorEastAsia" w:eastAsiaTheme="minorEastAsia" w:cstheme="minorEastAsia"/>
          <w:kern w:val="2"/>
          <w:sz w:val="28"/>
          <w:szCs w:val="28"/>
        </w:rPr>
      </w:pPr>
      <w:r>
        <w:rPr>
          <w:rFonts w:hint="eastAsia" w:asciiTheme="minorEastAsia" w:hAnsiTheme="minorEastAsia" w:eastAsiaTheme="minorEastAsia" w:cstheme="minorEastAsia"/>
          <w:kern w:val="2"/>
          <w:sz w:val="28"/>
          <w:szCs w:val="28"/>
        </w:rPr>
        <w:t>　六、用事业基金弥补收支差额：指事业单位在当年的“财政拨款收入”、“事业收入”、“经营收入”和“其他收入”不足以安排当年支出的情况下，使用以前年度积累的事业基金（即事业单位以前各年度收支相抵后，按国家规定提取、用于弥补以后年度收支差额的基金）弥补本年收支缺口的资金。 </w:t>
      </w:r>
    </w:p>
    <w:p>
      <w:pPr>
        <w:pStyle w:val="6"/>
        <w:shd w:val="clear" w:color="auto" w:fill="FFFFFF"/>
        <w:spacing w:before="0" w:beforeAutospacing="0" w:after="0" w:afterAutospacing="0"/>
        <w:rPr>
          <w:rFonts w:asciiTheme="minorEastAsia" w:hAnsiTheme="minorEastAsia" w:eastAsiaTheme="minorEastAsia" w:cstheme="minorEastAsia"/>
          <w:kern w:val="2"/>
          <w:sz w:val="28"/>
          <w:szCs w:val="28"/>
        </w:rPr>
      </w:pPr>
      <w:r>
        <w:rPr>
          <w:rFonts w:hint="eastAsia" w:asciiTheme="minorEastAsia" w:hAnsiTheme="minorEastAsia" w:eastAsiaTheme="minorEastAsia" w:cstheme="minorEastAsia"/>
          <w:kern w:val="2"/>
          <w:sz w:val="28"/>
          <w:szCs w:val="28"/>
        </w:rPr>
        <w:t>　七、结余分配：指事业单位按规定提取的职工福利基金、事业基金和缴纳的所得税，以及建设单位按规定应交回的基本建设竣工项目结余资金。 </w:t>
      </w:r>
    </w:p>
    <w:p>
      <w:pPr>
        <w:pStyle w:val="6"/>
        <w:shd w:val="clear" w:color="auto" w:fill="FFFFFF"/>
        <w:spacing w:before="0" w:beforeAutospacing="0" w:after="0" w:afterAutospacing="0"/>
        <w:rPr>
          <w:rFonts w:asciiTheme="minorEastAsia" w:hAnsiTheme="minorEastAsia" w:eastAsiaTheme="minorEastAsia" w:cstheme="minorEastAsia"/>
          <w:kern w:val="2"/>
          <w:sz w:val="28"/>
          <w:szCs w:val="28"/>
        </w:rPr>
      </w:pPr>
      <w:r>
        <w:rPr>
          <w:rFonts w:hint="eastAsia" w:asciiTheme="minorEastAsia" w:hAnsiTheme="minorEastAsia" w:eastAsiaTheme="minorEastAsia" w:cstheme="minorEastAsia"/>
          <w:kern w:val="2"/>
          <w:sz w:val="28"/>
          <w:szCs w:val="28"/>
        </w:rPr>
        <w:t>　八、年末结转和结余：指本年度或以前年度预算安排、因客观条件发生变化无法按原计划实施，需延迟到以后年度按有关规定继续使用的资金。 </w:t>
      </w:r>
    </w:p>
    <w:p>
      <w:pPr>
        <w:pStyle w:val="6"/>
        <w:shd w:val="clear" w:color="auto" w:fill="FFFFFF"/>
        <w:spacing w:before="0" w:beforeAutospacing="0" w:after="0" w:afterAutospacing="0"/>
        <w:rPr>
          <w:rFonts w:asciiTheme="minorEastAsia" w:hAnsiTheme="minorEastAsia" w:eastAsiaTheme="minorEastAsia" w:cstheme="minorEastAsia"/>
          <w:kern w:val="2"/>
          <w:sz w:val="28"/>
          <w:szCs w:val="28"/>
        </w:rPr>
      </w:pPr>
      <w:r>
        <w:rPr>
          <w:rFonts w:hint="eastAsia" w:asciiTheme="minorEastAsia" w:hAnsiTheme="minorEastAsia" w:eastAsiaTheme="minorEastAsia" w:cstheme="minorEastAsia"/>
          <w:kern w:val="2"/>
          <w:sz w:val="28"/>
          <w:szCs w:val="28"/>
        </w:rPr>
        <w:t>　九、基本支出：指为保障机构正常运转、完成日常工作任务而发生的人员支出和公用支出。 </w:t>
      </w:r>
    </w:p>
    <w:p>
      <w:pPr>
        <w:pStyle w:val="6"/>
        <w:shd w:val="clear" w:color="auto" w:fill="FFFFFF"/>
        <w:spacing w:before="0" w:beforeAutospacing="0" w:after="0" w:afterAutospacing="0"/>
        <w:rPr>
          <w:rFonts w:asciiTheme="minorEastAsia" w:hAnsiTheme="minorEastAsia" w:eastAsiaTheme="minorEastAsia" w:cstheme="minorEastAsia"/>
          <w:kern w:val="2"/>
          <w:sz w:val="28"/>
          <w:szCs w:val="28"/>
        </w:rPr>
      </w:pPr>
      <w:r>
        <w:rPr>
          <w:rFonts w:hint="eastAsia" w:asciiTheme="minorEastAsia" w:hAnsiTheme="minorEastAsia" w:eastAsiaTheme="minorEastAsia" w:cstheme="minorEastAsia"/>
          <w:kern w:val="2"/>
          <w:sz w:val="28"/>
          <w:szCs w:val="28"/>
        </w:rPr>
        <w:t>　十、项目支出：指在基本支出之外，为完成特定行政任务和事业发展目标所发生的支出。 </w:t>
      </w:r>
    </w:p>
    <w:p>
      <w:pPr>
        <w:pStyle w:val="6"/>
        <w:shd w:val="clear" w:color="auto" w:fill="FFFFFF"/>
        <w:spacing w:before="0" w:beforeAutospacing="0" w:after="0" w:afterAutospacing="0"/>
        <w:rPr>
          <w:rFonts w:asciiTheme="minorEastAsia" w:hAnsiTheme="minorEastAsia" w:eastAsiaTheme="minorEastAsia" w:cstheme="minorEastAsia"/>
          <w:kern w:val="2"/>
          <w:sz w:val="28"/>
          <w:szCs w:val="28"/>
        </w:rPr>
      </w:pPr>
      <w:r>
        <w:rPr>
          <w:rFonts w:hint="eastAsia" w:asciiTheme="minorEastAsia" w:hAnsiTheme="minorEastAsia" w:eastAsiaTheme="minorEastAsia" w:cstheme="minorEastAsia"/>
          <w:kern w:val="2"/>
          <w:sz w:val="28"/>
          <w:szCs w:val="28"/>
        </w:rPr>
        <w:t>　十一、“三公”经费：指省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  </w:t>
      </w:r>
    </w:p>
    <w:p>
      <w:pPr>
        <w:pStyle w:val="6"/>
        <w:shd w:val="clear" w:color="auto" w:fill="FFFFFF"/>
        <w:spacing w:before="0" w:beforeAutospacing="0" w:after="0" w:afterAutospacing="0"/>
        <w:rPr>
          <w:rFonts w:asciiTheme="minorEastAsia" w:hAnsiTheme="minorEastAsia" w:eastAsiaTheme="minorEastAsia" w:cstheme="minorEastAsia"/>
          <w:kern w:val="2"/>
          <w:sz w:val="28"/>
          <w:szCs w:val="28"/>
        </w:rPr>
      </w:pPr>
      <w:r>
        <w:rPr>
          <w:rFonts w:hint="eastAsia" w:asciiTheme="minorEastAsia" w:hAnsiTheme="minorEastAsia" w:eastAsiaTheme="minorEastAsia" w:cstheme="minorEastAsia"/>
          <w:kern w:val="2"/>
          <w:sz w:val="28"/>
          <w:szCs w:val="28"/>
        </w:rPr>
        <w:t>　十二、机关运行经费：指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  </w:t>
      </w:r>
    </w:p>
    <w:p>
      <w:pPr>
        <w:rPr>
          <w:rFonts w:asciiTheme="minorEastAsia" w:hAnsiTheme="minorEastAsia" w:cstheme="minorEastAsia"/>
          <w:sz w:val="28"/>
          <w:szCs w:val="28"/>
        </w:rPr>
      </w:pPr>
    </w:p>
    <w:p>
      <w:pPr>
        <w:rPr>
          <w:rFonts w:hint="eastAsia" w:asciiTheme="majorEastAsia" w:hAnsiTheme="majorEastAsia" w:eastAsiaTheme="majorEastAsia" w:cstheme="majorEastAsia"/>
          <w:b/>
          <w:bCs/>
          <w:sz w:val="32"/>
          <w:szCs w:val="32"/>
        </w:rPr>
      </w:pPr>
      <w:r>
        <w:rPr>
          <w:rFonts w:hint="eastAsia" w:asciiTheme="majorEastAsia" w:hAnsiTheme="majorEastAsia" w:eastAsiaTheme="majorEastAsia" w:cstheme="majorEastAsia"/>
          <w:b/>
          <w:bCs/>
          <w:sz w:val="32"/>
          <w:szCs w:val="32"/>
        </w:rPr>
        <w:t>第五部分 附件</w:t>
      </w:r>
    </w:p>
    <w:p>
      <w:pPr>
        <w:rPr>
          <w:rFonts w:asciiTheme="minorEastAsia" w:hAnsiTheme="minorEastAsia" w:cstheme="minorEastAsia"/>
          <w:sz w:val="28"/>
          <w:szCs w:val="28"/>
        </w:rPr>
      </w:pPr>
      <w:r>
        <w:rPr>
          <w:rFonts w:hint="eastAsia" w:asciiTheme="minorEastAsia" w:hAnsiTheme="minorEastAsia" w:cstheme="minorEastAsia"/>
          <w:sz w:val="28"/>
          <w:szCs w:val="28"/>
        </w:rPr>
        <w:t>衡南县人力资源和社会保障局2018年决算公开表（8张表）</w:t>
      </w:r>
    </w:p>
    <w:sectPr>
      <w:footerReference r:id="rId3" w:type="default"/>
      <w:pgSz w:w="11906" w:h="16838"/>
      <w:pgMar w:top="1327" w:right="1800" w:bottom="1134" w:left="1800" w:header="851" w:footer="567"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5F"/>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8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5037272"/>
    </w:sdtPr>
    <w:sdtContent>
      <w:sdt>
        <w:sdtPr>
          <w:id w:val="171357217"/>
        </w:sdtPr>
        <w:sdtContent>
          <w:p>
            <w:pPr>
              <w:pStyle w:val="4"/>
              <w:jc w:val="center"/>
            </w:pPr>
            <w:r>
              <w:rPr>
                <w:b/>
                <w:sz w:val="24"/>
                <w:szCs w:val="24"/>
              </w:rPr>
              <w:fldChar w:fldCharType="begin"/>
            </w:r>
            <w:r>
              <w:rPr>
                <w:b/>
              </w:rPr>
              <w:instrText xml:space="preserve">PAGE</w:instrText>
            </w:r>
            <w:r>
              <w:rPr>
                <w:b/>
                <w:sz w:val="24"/>
                <w:szCs w:val="24"/>
              </w:rPr>
              <w:fldChar w:fldCharType="separate"/>
            </w:r>
            <w:r>
              <w:rPr>
                <w:b/>
              </w:rPr>
              <w:t>11</w:t>
            </w:r>
            <w:r>
              <w:rPr>
                <w:b/>
                <w:sz w:val="24"/>
                <w:szCs w:val="24"/>
              </w:rPr>
              <w:fldChar w:fldCharType="end"/>
            </w:r>
            <w:r>
              <w:rPr>
                <w:lang w:val="zh-CN"/>
              </w:rPr>
              <w:t xml:space="preserve"> / </w:t>
            </w:r>
            <w:r>
              <w:rPr>
                <w:b/>
                <w:sz w:val="24"/>
                <w:szCs w:val="24"/>
              </w:rPr>
              <w:fldChar w:fldCharType="begin"/>
            </w:r>
            <w:r>
              <w:rPr>
                <w:b/>
              </w:rPr>
              <w:instrText xml:space="preserve">NUMPAGES</w:instrText>
            </w:r>
            <w:r>
              <w:rPr>
                <w:b/>
                <w:sz w:val="24"/>
                <w:szCs w:val="24"/>
              </w:rPr>
              <w:fldChar w:fldCharType="separate"/>
            </w:r>
            <w:r>
              <w:rPr>
                <w:b/>
              </w:rPr>
              <w:t>11</w:t>
            </w:r>
            <w:r>
              <w:rPr>
                <w:b/>
                <w:sz w:val="24"/>
                <w:szCs w:val="24"/>
              </w:rPr>
              <w:fldChar w:fldCharType="end"/>
            </w:r>
          </w:p>
        </w:sdtContent>
      </w:sdt>
    </w:sdtContent>
  </w:sdt>
  <w:p>
    <w:pPr>
      <w:pStyle w:val="4"/>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9A6B28F"/>
    <w:multiLevelType w:val="singleLevel"/>
    <w:tmpl w:val="F9A6B28F"/>
    <w:lvl w:ilvl="0" w:tentative="0">
      <w:start w:val="2"/>
      <w:numFmt w:val="chineseCounting"/>
      <w:suff w:val="space"/>
      <w:lvlText w:val="第%1部分"/>
      <w:lvlJc w:val="left"/>
      <w:rPr>
        <w:rFonts w:hint="eastAsia"/>
      </w:rPr>
    </w:lvl>
  </w:abstractNum>
  <w:abstractNum w:abstractNumId="1">
    <w:nsid w:val="4EA32A53"/>
    <w:multiLevelType w:val="singleLevel"/>
    <w:tmpl w:val="4EA32A53"/>
    <w:lvl w:ilvl="0" w:tentative="0">
      <w:start w:val="2"/>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VmOGI2NmJjOWI1ZjVkZDMwZDVhYzcwMDc1YTc5NjMifQ=="/>
  </w:docVars>
  <w:rsids>
    <w:rsidRoot w:val="09C81FD9"/>
    <w:rsid w:val="000855EA"/>
    <w:rsid w:val="000969FA"/>
    <w:rsid w:val="00112828"/>
    <w:rsid w:val="00117FCF"/>
    <w:rsid w:val="00134439"/>
    <w:rsid w:val="00147C80"/>
    <w:rsid w:val="00162B71"/>
    <w:rsid w:val="00181550"/>
    <w:rsid w:val="001D3872"/>
    <w:rsid w:val="002000B1"/>
    <w:rsid w:val="00234D1A"/>
    <w:rsid w:val="002F1839"/>
    <w:rsid w:val="003467EA"/>
    <w:rsid w:val="003B5407"/>
    <w:rsid w:val="003D64E5"/>
    <w:rsid w:val="003E261F"/>
    <w:rsid w:val="00430422"/>
    <w:rsid w:val="0047624C"/>
    <w:rsid w:val="004876F0"/>
    <w:rsid w:val="00495B40"/>
    <w:rsid w:val="004A5C7D"/>
    <w:rsid w:val="005332AF"/>
    <w:rsid w:val="0056365F"/>
    <w:rsid w:val="00592E12"/>
    <w:rsid w:val="005A4FF3"/>
    <w:rsid w:val="005C5992"/>
    <w:rsid w:val="006A194B"/>
    <w:rsid w:val="006B3683"/>
    <w:rsid w:val="006E0C1B"/>
    <w:rsid w:val="0070537A"/>
    <w:rsid w:val="007153D5"/>
    <w:rsid w:val="0074639B"/>
    <w:rsid w:val="00750A45"/>
    <w:rsid w:val="007879EA"/>
    <w:rsid w:val="007D36F9"/>
    <w:rsid w:val="008334D5"/>
    <w:rsid w:val="00855F6D"/>
    <w:rsid w:val="008B7F67"/>
    <w:rsid w:val="00927BC9"/>
    <w:rsid w:val="00974483"/>
    <w:rsid w:val="009A5EA1"/>
    <w:rsid w:val="009C6CB7"/>
    <w:rsid w:val="009E11D9"/>
    <w:rsid w:val="00A80F3C"/>
    <w:rsid w:val="00AD7657"/>
    <w:rsid w:val="00B74A83"/>
    <w:rsid w:val="00B97432"/>
    <w:rsid w:val="00CE6383"/>
    <w:rsid w:val="00D330D8"/>
    <w:rsid w:val="00DD190C"/>
    <w:rsid w:val="00DE72AF"/>
    <w:rsid w:val="00DF3733"/>
    <w:rsid w:val="00E0515D"/>
    <w:rsid w:val="00E16879"/>
    <w:rsid w:val="00E32E17"/>
    <w:rsid w:val="00EA6DF5"/>
    <w:rsid w:val="00EC749E"/>
    <w:rsid w:val="00F13ED5"/>
    <w:rsid w:val="00FC1883"/>
    <w:rsid w:val="00FF08BA"/>
    <w:rsid w:val="02113310"/>
    <w:rsid w:val="03570165"/>
    <w:rsid w:val="03D725B4"/>
    <w:rsid w:val="04CB7E82"/>
    <w:rsid w:val="05AF66F0"/>
    <w:rsid w:val="0622595A"/>
    <w:rsid w:val="075533F7"/>
    <w:rsid w:val="08B82793"/>
    <w:rsid w:val="095F7CBB"/>
    <w:rsid w:val="09C81FD9"/>
    <w:rsid w:val="0B47707D"/>
    <w:rsid w:val="0E9C42B5"/>
    <w:rsid w:val="0EAD5EB7"/>
    <w:rsid w:val="0EDC76E5"/>
    <w:rsid w:val="0F566FB7"/>
    <w:rsid w:val="103A452B"/>
    <w:rsid w:val="10575D52"/>
    <w:rsid w:val="109340A3"/>
    <w:rsid w:val="146B73BF"/>
    <w:rsid w:val="14D552D2"/>
    <w:rsid w:val="14E11E5E"/>
    <w:rsid w:val="14FD39ED"/>
    <w:rsid w:val="167E6D9C"/>
    <w:rsid w:val="1937616C"/>
    <w:rsid w:val="1B213C3F"/>
    <w:rsid w:val="1FB74B83"/>
    <w:rsid w:val="21B03DCF"/>
    <w:rsid w:val="22C60FDE"/>
    <w:rsid w:val="23285241"/>
    <w:rsid w:val="26DD471C"/>
    <w:rsid w:val="29B12157"/>
    <w:rsid w:val="2C6C30F4"/>
    <w:rsid w:val="2E3104B5"/>
    <w:rsid w:val="2FE91F99"/>
    <w:rsid w:val="2FFF54D7"/>
    <w:rsid w:val="324865D6"/>
    <w:rsid w:val="372A3CFB"/>
    <w:rsid w:val="3B685423"/>
    <w:rsid w:val="3B8979A4"/>
    <w:rsid w:val="3CCD2C45"/>
    <w:rsid w:val="3F314C9C"/>
    <w:rsid w:val="3FB47094"/>
    <w:rsid w:val="40EC0AC1"/>
    <w:rsid w:val="414E11B0"/>
    <w:rsid w:val="426F4A8C"/>
    <w:rsid w:val="437A708F"/>
    <w:rsid w:val="441B57F2"/>
    <w:rsid w:val="46C54807"/>
    <w:rsid w:val="4780743C"/>
    <w:rsid w:val="4AAD57C1"/>
    <w:rsid w:val="4AF65AB3"/>
    <w:rsid w:val="4B087EC0"/>
    <w:rsid w:val="4C804099"/>
    <w:rsid w:val="4D887C41"/>
    <w:rsid w:val="4F580CAB"/>
    <w:rsid w:val="50EE2B14"/>
    <w:rsid w:val="529223A4"/>
    <w:rsid w:val="568A72C9"/>
    <w:rsid w:val="58120D9C"/>
    <w:rsid w:val="5B4167D1"/>
    <w:rsid w:val="5B971378"/>
    <w:rsid w:val="5CA309A6"/>
    <w:rsid w:val="5F294AE9"/>
    <w:rsid w:val="5FBA2724"/>
    <w:rsid w:val="60D144C5"/>
    <w:rsid w:val="61C80B70"/>
    <w:rsid w:val="620C1D54"/>
    <w:rsid w:val="66BD70EF"/>
    <w:rsid w:val="677123D5"/>
    <w:rsid w:val="683C5B3E"/>
    <w:rsid w:val="6ADC4CB6"/>
    <w:rsid w:val="6B904341"/>
    <w:rsid w:val="6EC96B24"/>
    <w:rsid w:val="70431F05"/>
    <w:rsid w:val="70586997"/>
    <w:rsid w:val="70837FF7"/>
    <w:rsid w:val="718015EA"/>
    <w:rsid w:val="72827361"/>
    <w:rsid w:val="74581EC0"/>
    <w:rsid w:val="74B1089C"/>
    <w:rsid w:val="756072A9"/>
    <w:rsid w:val="77484F0B"/>
    <w:rsid w:val="77E671B9"/>
    <w:rsid w:val="78C07A0E"/>
    <w:rsid w:val="7CBA0CDA"/>
    <w:rsid w:val="7D156A4B"/>
    <w:rsid w:val="7D297F0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semiHidden/>
    <w:unhideWhenUsed/>
    <w:uiPriority w:val="1"/>
  </w:style>
  <w:style w:type="table" w:default="1" w:styleId="7">
    <w:name w:val="Normal Table"/>
    <w:semiHidden/>
    <w:unhideWhenUsed/>
    <w:qFormat/>
    <w:uiPriority w:val="99"/>
    <w:tblPr>
      <w:tblLayout w:type="fixed"/>
      <w:tblCellMar>
        <w:top w:w="0" w:type="dxa"/>
        <w:left w:w="108" w:type="dxa"/>
        <w:bottom w:w="0" w:type="dxa"/>
        <w:right w:w="108" w:type="dxa"/>
      </w:tblCellMar>
    </w:tblPr>
  </w:style>
  <w:style w:type="paragraph" w:styleId="2">
    <w:name w:val="endnote text"/>
    <w:basedOn w:val="1"/>
    <w:uiPriority w:val="0"/>
    <w:pPr>
      <w:snapToGrid w:val="0"/>
      <w:jc w:val="left"/>
    </w:pPr>
  </w:style>
  <w:style w:type="paragraph" w:styleId="3">
    <w:name w:val="Balloon Text"/>
    <w:basedOn w:val="1"/>
    <w:link w:val="13"/>
    <w:uiPriority w:val="0"/>
    <w:rPr>
      <w:sz w:val="18"/>
      <w:szCs w:val="18"/>
    </w:rPr>
  </w:style>
  <w:style w:type="paragraph" w:styleId="4">
    <w:name w:val="footer"/>
    <w:basedOn w:val="1"/>
    <w:link w:val="11"/>
    <w:qFormat/>
    <w:uiPriority w:val="99"/>
    <w:pPr>
      <w:tabs>
        <w:tab w:val="center" w:pos="4153"/>
        <w:tab w:val="right" w:pos="8306"/>
      </w:tabs>
      <w:snapToGrid w:val="0"/>
      <w:jc w:val="left"/>
    </w:pPr>
    <w:rPr>
      <w:sz w:val="18"/>
      <w:szCs w:val="18"/>
    </w:rPr>
  </w:style>
  <w:style w:type="paragraph" w:styleId="5">
    <w:name w:val="header"/>
    <w:basedOn w:val="1"/>
    <w:link w:val="10"/>
    <w:qFormat/>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unhideWhenUsed/>
    <w:qFormat/>
    <w:uiPriority w:val="99"/>
    <w:pPr>
      <w:widowControl/>
      <w:spacing w:before="100" w:beforeAutospacing="1" w:after="100" w:afterAutospacing="1"/>
      <w:jc w:val="left"/>
    </w:pPr>
    <w:rPr>
      <w:rFonts w:ascii="宋体" w:hAnsi="宋体" w:eastAsia="宋体" w:cs="宋体"/>
      <w:kern w:val="0"/>
      <w:sz w:val="24"/>
    </w:rPr>
  </w:style>
  <w:style w:type="paragraph" w:styleId="9">
    <w:name w:val="List Paragraph"/>
    <w:basedOn w:val="1"/>
    <w:unhideWhenUsed/>
    <w:qFormat/>
    <w:uiPriority w:val="99"/>
    <w:pPr>
      <w:ind w:firstLine="420" w:firstLineChars="200"/>
    </w:pPr>
  </w:style>
  <w:style w:type="character" w:customStyle="1" w:styleId="10">
    <w:name w:val="页眉 Char"/>
    <w:basedOn w:val="8"/>
    <w:link w:val="5"/>
    <w:qFormat/>
    <w:uiPriority w:val="0"/>
    <w:rPr>
      <w:kern w:val="2"/>
      <w:sz w:val="18"/>
      <w:szCs w:val="18"/>
    </w:rPr>
  </w:style>
  <w:style w:type="character" w:customStyle="1" w:styleId="11">
    <w:name w:val="页脚 Char"/>
    <w:basedOn w:val="8"/>
    <w:link w:val="4"/>
    <w:qFormat/>
    <w:uiPriority w:val="99"/>
    <w:rPr>
      <w:kern w:val="2"/>
      <w:sz w:val="18"/>
      <w:szCs w:val="18"/>
    </w:rPr>
  </w:style>
  <w:style w:type="paragraph" w:customStyle="1" w:styleId="12">
    <w:name w:val="Default"/>
    <w:qFormat/>
    <w:uiPriority w:val="0"/>
    <w:pPr>
      <w:widowControl w:val="0"/>
      <w:autoSpaceDE w:val="0"/>
      <w:autoSpaceDN w:val="0"/>
      <w:adjustRightInd w:val="0"/>
    </w:pPr>
    <w:rPr>
      <w:rFonts w:ascii="黑体" w:eastAsia="黑体" w:cs="黑体" w:hAnsiTheme="minorHAnsi"/>
      <w:color w:val="000000"/>
      <w:sz w:val="24"/>
      <w:szCs w:val="24"/>
      <w:lang w:val="en-US" w:eastAsia="zh-CN" w:bidi="ar-SA"/>
    </w:rPr>
  </w:style>
  <w:style w:type="character" w:customStyle="1" w:styleId="13">
    <w:name w:val="批注框文本 Char"/>
    <w:basedOn w:val="8"/>
    <w:link w:val="3"/>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天成</Company>
  <Pages>11</Pages>
  <Words>5151</Words>
  <Characters>5608</Characters>
  <Lines>4</Lines>
  <Paragraphs>11</Paragraphs>
  <TotalTime>172</TotalTime>
  <ScaleCrop>false</ScaleCrop>
  <LinksUpToDate>false</LinksUpToDate>
  <CharactersWithSpaces>5641</CharactersWithSpaces>
  <Application>WPS Office_11.3.0.8775_F1E327BC-269C-435d-A152-05C5408002CA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2018-06-04T08:28:00Z</dcterms:created>
  <dc:creator>祺函</dc:creator>
  <cp:lastModifiedBy>茜茜</cp:lastModifiedBy>
  <cp:lastPrinted>2018-06-05T07:38:00Z</cp:lastPrinted>
  <dcterms:modified xsi:type="dcterms:W3CDTF">2024-01-03T06:47:29Z</dcterms:modified>
  <cp:revision>27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2052-11.3.0.8775</vt:lpwstr>
  </property>
  <property fmtid="{D5CDD505-2E9C-101B-9397-08002B2CF9AE}" pid="3" name="ICV">
    <vt:lpwstr>25D0F41B7FA44EDBA9B68F9B5D34D41E_13</vt:lpwstr>
  </property>
</Properties>
</file>