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84"/>
          <w:szCs w:val="84"/>
        </w:rPr>
      </w:pPr>
    </w:p>
    <w:p>
      <w:pPr>
        <w:pStyle w:val="7"/>
        <w:jc w:val="center"/>
        <w:rPr>
          <w:sz w:val="84"/>
          <w:szCs w:val="84"/>
        </w:rPr>
      </w:pPr>
    </w:p>
    <w:p>
      <w:pPr>
        <w:pStyle w:val="7"/>
        <w:jc w:val="center"/>
        <w:rPr>
          <w:sz w:val="84"/>
          <w:szCs w:val="84"/>
        </w:rPr>
      </w:pPr>
    </w:p>
    <w:p>
      <w:pPr>
        <w:pStyle w:val="7"/>
        <w:jc w:val="center"/>
        <w:rPr>
          <w:sz w:val="84"/>
          <w:szCs w:val="84"/>
        </w:rPr>
      </w:pPr>
      <w:r>
        <w:rPr>
          <w:rFonts w:hint="eastAsia"/>
          <w:sz w:val="84"/>
          <w:szCs w:val="84"/>
        </w:rPr>
        <w:t>2020年度</w:t>
      </w:r>
    </w:p>
    <w:p>
      <w:pPr>
        <w:pStyle w:val="7"/>
        <w:jc w:val="center"/>
        <w:rPr>
          <w:sz w:val="84"/>
          <w:szCs w:val="84"/>
        </w:rPr>
      </w:pPr>
      <w:r>
        <w:rPr>
          <w:rFonts w:hint="eastAsia"/>
          <w:sz w:val="84"/>
          <w:szCs w:val="84"/>
        </w:rPr>
        <w:t>茶市镇人民政府</w:t>
      </w:r>
    </w:p>
    <w:p>
      <w:pPr>
        <w:pStyle w:val="7"/>
        <w:jc w:val="center"/>
        <w:rPr>
          <w:sz w:val="84"/>
          <w:szCs w:val="84"/>
        </w:rPr>
      </w:pPr>
      <w:r>
        <w:rPr>
          <w:rFonts w:hint="eastAsia"/>
          <w:sz w:val="84"/>
          <w:szCs w:val="84"/>
        </w:rPr>
        <w:t>部门决算</w:t>
      </w: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spacing w:line="540" w:lineRule="exact"/>
        <w:jc w:val="both"/>
        <w:rPr>
          <w:sz w:val="56"/>
          <w:szCs w:val="56"/>
        </w:rPr>
      </w:pPr>
    </w:p>
    <w:p>
      <w:pPr>
        <w:pStyle w:val="7"/>
        <w:spacing w:line="540" w:lineRule="exact"/>
        <w:jc w:val="both"/>
        <w:rPr>
          <w:sz w:val="56"/>
          <w:szCs w:val="56"/>
        </w:rPr>
      </w:pPr>
    </w:p>
    <w:p>
      <w:pPr>
        <w:pStyle w:val="7"/>
        <w:spacing w:line="520" w:lineRule="exact"/>
        <w:jc w:val="center"/>
        <w:rPr>
          <w:sz w:val="56"/>
          <w:szCs w:val="56"/>
        </w:rPr>
      </w:pPr>
    </w:p>
    <w:p>
      <w:pPr>
        <w:pStyle w:val="7"/>
        <w:spacing w:line="520" w:lineRule="exact"/>
        <w:jc w:val="center"/>
        <w:rPr>
          <w:sz w:val="56"/>
          <w:szCs w:val="56"/>
        </w:rPr>
      </w:pPr>
      <w:r>
        <w:rPr>
          <w:rFonts w:hint="eastAsia"/>
          <w:sz w:val="56"/>
          <w:szCs w:val="56"/>
        </w:rPr>
        <w:t>目 录</w:t>
      </w:r>
    </w:p>
    <w:p>
      <w:pPr>
        <w:pStyle w:val="7"/>
        <w:spacing w:line="520" w:lineRule="exact"/>
        <w:rPr>
          <w:rFonts w:ascii="仿宋_GB2312" w:hAnsi="仿宋_GB2312" w:cs="仿宋_GB2312"/>
          <w:b/>
          <w:sz w:val="28"/>
          <w:szCs w:val="28"/>
        </w:rPr>
      </w:pPr>
      <w:r>
        <w:rPr>
          <w:rFonts w:hint="eastAsia"/>
          <w:b/>
          <w:sz w:val="28"/>
          <w:szCs w:val="28"/>
        </w:rPr>
        <w:t>第一部分茶市镇人民政府单位概况</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7"/>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7"/>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7"/>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w:t>
      </w:r>
      <w:r>
        <w:rPr>
          <w:rFonts w:hint="eastAsia" w:hAnsi="仿宋_GB2312"/>
          <w:b/>
          <w:sz w:val="28"/>
          <w:szCs w:val="28"/>
        </w:rPr>
        <w:t>020年度部门决算情况说明</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r>
        <w:rPr>
          <w:rFonts w:hint="eastAsia"/>
          <w:b/>
          <w:bCs/>
          <w:sz w:val="72"/>
          <w:szCs w:val="72"/>
        </w:rPr>
        <w:t>第一部分</w:t>
      </w:r>
    </w:p>
    <w:p>
      <w:pPr>
        <w:jc w:val="center"/>
        <w:rPr>
          <w:b/>
          <w:bCs/>
          <w:sz w:val="72"/>
          <w:szCs w:val="72"/>
        </w:rPr>
      </w:pPr>
    </w:p>
    <w:p>
      <w:pPr>
        <w:jc w:val="center"/>
        <w:rPr>
          <w:b/>
          <w:bCs/>
          <w:sz w:val="72"/>
          <w:szCs w:val="72"/>
        </w:rPr>
      </w:pPr>
      <w:r>
        <w:rPr>
          <w:rFonts w:hint="eastAsia"/>
          <w:b/>
          <w:bCs/>
          <w:sz w:val="72"/>
          <w:szCs w:val="72"/>
        </w:rPr>
        <w:t>衡南县茶市镇人民</w:t>
      </w:r>
    </w:p>
    <w:p>
      <w:pPr>
        <w:jc w:val="center"/>
        <w:rPr>
          <w:b/>
          <w:bCs/>
          <w:sz w:val="72"/>
          <w:szCs w:val="72"/>
        </w:rPr>
      </w:pPr>
      <w:r>
        <w:rPr>
          <w:rFonts w:hint="eastAsia"/>
          <w:b/>
          <w:bCs/>
          <w:sz w:val="72"/>
          <w:szCs w:val="72"/>
        </w:rPr>
        <w:t>政府单位概况</w:t>
      </w:r>
    </w:p>
    <w:p>
      <w:pPr>
        <w:jc w:val="center"/>
        <w:rPr>
          <w:b/>
          <w:bCs/>
          <w:sz w:val="72"/>
          <w:szCs w:val="72"/>
        </w:rPr>
      </w:pPr>
    </w:p>
    <w:p>
      <w:pPr>
        <w:jc w:val="center"/>
        <w:rPr>
          <w:sz w:val="72"/>
          <w:szCs w:val="72"/>
        </w:rPr>
      </w:pPr>
    </w:p>
    <w:p>
      <w:pPr>
        <w:rPr>
          <w:sz w:val="72"/>
          <w:szCs w:val="72"/>
        </w:rPr>
      </w:pPr>
    </w:p>
    <w:p>
      <w:pPr>
        <w:widowControl/>
        <w:snapToGrid w:val="0"/>
        <w:spacing w:line="600" w:lineRule="exact"/>
        <w:ind w:firstLine="680" w:firstLineChars="200"/>
        <w:rPr>
          <w:rFonts w:ascii="方正黑体_GBK" w:hAnsi="方正黑体_GBK" w:eastAsia="方正黑体_GBK" w:cs="方正黑体_GBK"/>
          <w:kern w:val="0"/>
          <w:sz w:val="34"/>
          <w:szCs w:val="34"/>
        </w:rPr>
      </w:pPr>
    </w:p>
    <w:p>
      <w:pPr>
        <w:widowControl/>
        <w:snapToGrid w:val="0"/>
        <w:spacing w:line="600" w:lineRule="exact"/>
        <w:ind w:firstLine="680" w:firstLineChars="200"/>
        <w:rPr>
          <w:rFonts w:ascii="方正黑体_GBK" w:hAnsi="方正黑体_GBK" w:eastAsia="方正黑体_GBK" w:cs="方正黑体_GBK"/>
          <w:kern w:val="0"/>
          <w:sz w:val="34"/>
          <w:szCs w:val="34"/>
        </w:rPr>
      </w:pPr>
    </w:p>
    <w:p>
      <w:pPr>
        <w:widowControl/>
        <w:snapToGrid w:val="0"/>
        <w:spacing w:line="600" w:lineRule="exact"/>
        <w:ind w:firstLine="680" w:firstLineChars="200"/>
        <w:rPr>
          <w:rFonts w:ascii="方正黑体_GBK" w:hAnsi="方正黑体_GBK" w:eastAsia="方正黑体_GBK" w:cs="方正黑体_GBK"/>
          <w:kern w:val="0"/>
          <w:sz w:val="34"/>
          <w:szCs w:val="34"/>
        </w:rPr>
      </w:pPr>
    </w:p>
    <w:p>
      <w:pPr>
        <w:widowControl/>
        <w:snapToGrid w:val="0"/>
        <w:spacing w:line="600" w:lineRule="exact"/>
        <w:ind w:firstLine="680" w:firstLineChars="200"/>
        <w:rPr>
          <w:rFonts w:ascii="方正黑体_GBK" w:hAnsi="方正黑体_GBK" w:eastAsia="方正黑体_GBK" w:cs="方正黑体_GBK"/>
          <w:kern w:val="0"/>
          <w:sz w:val="34"/>
          <w:szCs w:val="34"/>
        </w:rPr>
      </w:pPr>
    </w:p>
    <w:p>
      <w:pPr>
        <w:widowControl/>
        <w:snapToGrid w:val="0"/>
        <w:spacing w:line="600" w:lineRule="exact"/>
        <w:ind w:firstLine="680" w:firstLineChars="200"/>
        <w:rPr>
          <w:rFonts w:ascii="方正黑体_GBK" w:hAnsi="方正黑体_GBK" w:eastAsia="方正黑体_GBK" w:cs="方正黑体_GBK"/>
          <w:kern w:val="0"/>
          <w:sz w:val="34"/>
          <w:szCs w:val="34"/>
        </w:rPr>
      </w:pPr>
      <w:r>
        <w:rPr>
          <w:rFonts w:hint="eastAsia" w:ascii="方正黑体_GBK" w:hAnsi="方正黑体_GBK" w:eastAsia="方正黑体_GBK" w:cs="方正黑体_GBK"/>
          <w:kern w:val="0"/>
          <w:sz w:val="34"/>
          <w:szCs w:val="34"/>
        </w:rPr>
        <w:t>一、部门职责</w:t>
      </w:r>
    </w:p>
    <w:p>
      <w:pPr>
        <w:pStyle w:val="4"/>
        <w:widowControl/>
        <w:numPr>
          <w:ilvl w:val="0"/>
          <w:numId w:val="1"/>
        </w:numPr>
        <w:shd w:val="clear" w:color="auto" w:fill="FFFFFF"/>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负责宣传贯彻党的路线、方针、政策和国家法律法规，执行上级党委的决定和命令。</w:t>
      </w:r>
    </w:p>
    <w:p>
      <w:pPr>
        <w:pStyle w:val="4"/>
        <w:widowControl/>
        <w:numPr>
          <w:ilvl w:val="0"/>
          <w:numId w:val="1"/>
        </w:numPr>
        <w:shd w:val="clear" w:color="auto" w:fill="FFFFFF"/>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负责对茶市镇实施政治、思想和方针政策的领导；负责乡镇的思想政治工作和精神文明建设。</w:t>
      </w:r>
    </w:p>
    <w:p>
      <w:pPr>
        <w:pStyle w:val="4"/>
        <w:widowControl/>
        <w:numPr>
          <w:ilvl w:val="0"/>
          <w:numId w:val="1"/>
        </w:numPr>
        <w:shd w:val="clear" w:color="auto" w:fill="FFFFFF"/>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负责乡镇社会治安综合治理工作；负责乡镇党风廉政建设；负责乡镇干部工作；负责乡镇基层党组织和乡镇机关支部的建设；负责对乡镇工青妇群众组织的领导；负责乡镇党的统战工作；负责乡镇和机关党员教育管理工作；负责乡镇武装部工作。</w:t>
      </w:r>
    </w:p>
    <w:p>
      <w:pPr>
        <w:pStyle w:val="4"/>
        <w:widowControl/>
        <w:shd w:val="clear" w:color="auto" w:fill="FFFFFF"/>
        <w:ind w:left="420" w:leftChars="200"/>
        <w:rPr>
          <w:rFonts w:ascii="方正仿宋_GBK" w:hAnsi="方正仿宋_GBK" w:eastAsia="方正仿宋_GBK" w:cs="方正仿宋_GBK"/>
          <w:sz w:val="34"/>
          <w:szCs w:val="34"/>
        </w:rPr>
      </w:pPr>
      <w:r>
        <w:rPr>
          <w:rFonts w:hint="eastAsia" w:ascii="宋体" w:hAnsi="宋体" w:eastAsia="宋体" w:cs="宋体"/>
          <w:color w:val="000000"/>
          <w:sz w:val="28"/>
          <w:szCs w:val="28"/>
        </w:rPr>
        <w:t>4、完成上级机关交办的其他工作任务。</w:t>
      </w:r>
    </w:p>
    <w:p>
      <w:pPr>
        <w:widowControl/>
        <w:snapToGrid w:val="0"/>
        <w:spacing w:line="600" w:lineRule="exact"/>
        <w:ind w:firstLine="680" w:firstLineChars="200"/>
        <w:rPr>
          <w:rFonts w:ascii="方正黑体_GBK" w:hAnsi="方正黑体_GBK" w:eastAsia="方正黑体_GBK" w:cs="方正黑体_GBK"/>
          <w:kern w:val="0"/>
          <w:sz w:val="34"/>
          <w:szCs w:val="34"/>
        </w:rPr>
      </w:pPr>
      <w:r>
        <w:rPr>
          <w:rFonts w:hint="eastAsia" w:ascii="方正黑体_GBK" w:hAnsi="方正黑体_GBK" w:eastAsia="方正黑体_GBK" w:cs="方正黑体_GBK"/>
          <w:kern w:val="0"/>
          <w:sz w:val="34"/>
          <w:szCs w:val="34"/>
        </w:rPr>
        <w:t>二、机构设置及决算单位构成</w:t>
      </w:r>
    </w:p>
    <w:p>
      <w:pPr>
        <w:widowControl/>
        <w:snapToGrid w:val="0"/>
        <w:spacing w:line="600" w:lineRule="exact"/>
        <w:ind w:firstLine="680" w:firstLineChars="200"/>
        <w:rPr>
          <w:rFonts w:ascii="方正楷体_GBK" w:hAnsi="方正楷体_GBK" w:eastAsia="方正楷体_GBK" w:cs="方正楷体_GBK"/>
          <w:kern w:val="0"/>
          <w:sz w:val="34"/>
          <w:szCs w:val="34"/>
        </w:rPr>
      </w:pPr>
      <w:r>
        <w:rPr>
          <w:rFonts w:hint="eastAsia" w:ascii="方正楷体_GBK" w:hAnsi="方正楷体_GBK" w:eastAsia="方正楷体_GBK" w:cs="方正楷体_GBK"/>
          <w:kern w:val="0"/>
          <w:sz w:val="34"/>
          <w:szCs w:val="34"/>
        </w:rPr>
        <w:t>（一）内设机构设置</w:t>
      </w:r>
    </w:p>
    <w:p>
      <w:pPr>
        <w:pStyle w:val="4"/>
        <w:widowControl/>
        <w:shd w:val="clear" w:color="auto" w:fill="FFFFFF"/>
        <w:ind w:left="420" w:leftChars="200"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茶市镇为独立的行政单位，属于一级预算单位，根据编委核定，本单位内设机构：党政办公室、党建办公室、经济发展办公室、社会治安和应急管理办公室、自然资源和生态环境办公室，社会事务办公室。另设三中心一大队：社会事务综合服务中心、农业综合服务中心、政务服务中心和综合行政执法大队。</w:t>
      </w:r>
    </w:p>
    <w:p>
      <w:pPr>
        <w:autoSpaceDE w:val="0"/>
        <w:snapToGrid w:val="0"/>
        <w:spacing w:line="600" w:lineRule="exact"/>
        <w:ind w:firstLine="680" w:firstLineChars="200"/>
        <w:rPr>
          <w:rFonts w:ascii="方正楷体_GBK" w:hAnsi="方正楷体_GBK" w:eastAsia="方正楷体_GBK" w:cs="方正楷体_GBK"/>
          <w:kern w:val="0"/>
          <w:sz w:val="34"/>
          <w:szCs w:val="34"/>
        </w:rPr>
      </w:pPr>
      <w:r>
        <w:rPr>
          <w:rFonts w:hint="eastAsia" w:ascii="方正楷体_GBK" w:hAnsi="方正楷体_GBK" w:eastAsia="方正楷体_GBK" w:cs="方正楷体_GBK"/>
          <w:kern w:val="0"/>
          <w:sz w:val="34"/>
          <w:szCs w:val="34"/>
        </w:rPr>
        <w:t>（二）决算单位构成</w:t>
      </w:r>
    </w:p>
    <w:p>
      <w:pPr>
        <w:autoSpaceDE w:val="0"/>
        <w:snapToGrid w:val="0"/>
        <w:spacing w:line="600" w:lineRule="exact"/>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茶市镇2020年部门决算公开单位为镇政府本级。</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center"/>
        <w:rPr>
          <w:b/>
          <w:bCs/>
          <w:sz w:val="72"/>
          <w:szCs w:val="72"/>
        </w:rPr>
      </w:pPr>
      <w:r>
        <w:rPr>
          <w:rFonts w:hint="eastAsia"/>
          <w:b/>
          <w:bCs/>
          <w:sz w:val="72"/>
          <w:szCs w:val="72"/>
        </w:rPr>
        <w:t>第二部分</w:t>
      </w:r>
    </w:p>
    <w:p>
      <w:pPr>
        <w:jc w:val="center"/>
        <w:rPr>
          <w:b/>
          <w:bCs/>
          <w:sz w:val="72"/>
          <w:szCs w:val="72"/>
        </w:rPr>
      </w:pPr>
    </w:p>
    <w:p>
      <w:pPr>
        <w:jc w:val="center"/>
        <w:rPr>
          <w:b/>
          <w:bCs/>
          <w:sz w:val="72"/>
          <w:szCs w:val="72"/>
        </w:rPr>
      </w:pPr>
      <w:r>
        <w:rPr>
          <w:rFonts w:hint="eastAsia"/>
          <w:b/>
          <w:bCs/>
          <w:sz w:val="72"/>
          <w:szCs w:val="72"/>
        </w:rPr>
        <w:t>部门决算表</w:t>
      </w:r>
    </w:p>
    <w:p>
      <w:pPr>
        <w:jc w:val="center"/>
        <w:rPr>
          <w:b/>
          <w:bCs/>
          <w:sz w:val="72"/>
          <w:szCs w:val="72"/>
        </w:rPr>
      </w:pPr>
    </w:p>
    <w:p>
      <w:pPr>
        <w:jc w:val="center"/>
        <w:rPr>
          <w:b/>
          <w:bCs/>
          <w:sz w:val="72"/>
          <w:szCs w:val="72"/>
        </w:rPr>
      </w:pPr>
      <w:r>
        <w:rPr>
          <w:rFonts w:hint="eastAsia"/>
          <w:b/>
          <w:bCs/>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7"/>
        <w:rPr>
          <w:sz w:val="72"/>
          <w:szCs w:val="72"/>
        </w:rPr>
      </w:pPr>
    </w:p>
    <w:p>
      <w:pPr>
        <w:pStyle w:val="7"/>
        <w:rPr>
          <w:sz w:val="72"/>
          <w:szCs w:val="72"/>
        </w:rPr>
      </w:pPr>
    </w:p>
    <w:p>
      <w:pPr>
        <w:pStyle w:val="7"/>
        <w:rPr>
          <w:sz w:val="72"/>
          <w:szCs w:val="72"/>
        </w:rPr>
      </w:pPr>
    </w:p>
    <w:p>
      <w:pPr>
        <w:pStyle w:val="7"/>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第三部分</w:t>
      </w:r>
    </w:p>
    <w:p>
      <w:pPr>
        <w:pStyle w:val="7"/>
        <w:jc w:val="both"/>
        <w:rPr>
          <w:sz w:val="70"/>
          <w:szCs w:val="70"/>
        </w:rPr>
      </w:pPr>
    </w:p>
    <w:p>
      <w:pPr>
        <w:pStyle w:val="7"/>
        <w:jc w:val="center"/>
        <w:rPr>
          <w:sz w:val="70"/>
          <w:szCs w:val="70"/>
        </w:rPr>
      </w:pPr>
      <w:r>
        <w:rPr>
          <w:sz w:val="70"/>
          <w:szCs w:val="70"/>
        </w:rPr>
        <w:t>20</w:t>
      </w:r>
      <w:r>
        <w:rPr>
          <w:rFonts w:hint="eastAsia"/>
          <w:sz w:val="70"/>
          <w:szCs w:val="70"/>
        </w:rPr>
        <w:t>20年度部门决算</w:t>
      </w:r>
    </w:p>
    <w:p>
      <w:pPr>
        <w:pStyle w:val="7"/>
        <w:jc w:val="center"/>
        <w:rPr>
          <w:sz w:val="70"/>
          <w:szCs w:val="70"/>
        </w:rPr>
      </w:pPr>
      <w:r>
        <w:rPr>
          <w:rFonts w:hint="eastAsia"/>
          <w:sz w:val="70"/>
          <w:szCs w:val="70"/>
        </w:rPr>
        <w:t>情况说明</w:t>
      </w:r>
    </w:p>
    <w:p>
      <w:pPr>
        <w:widowControl/>
        <w:jc w:val="left"/>
        <w:rPr>
          <w:rFonts w:ascii="黑体" w:eastAsia="黑体" w:cs="黑体"/>
          <w:color w:val="000000"/>
          <w:kern w:val="0"/>
          <w:sz w:val="70"/>
          <w:szCs w:val="70"/>
        </w:rPr>
      </w:pPr>
      <w:r>
        <w:rPr>
          <w:sz w:val="70"/>
          <w:szCs w:val="70"/>
        </w:rPr>
        <w:br w:type="page"/>
      </w:r>
    </w:p>
    <w:p>
      <w:pPr>
        <w:pStyle w:val="7"/>
        <w:rPr>
          <w:rFonts w:asciiTheme="minorEastAsia" w:hAnsiTheme="minorEastAsia" w:eastAsiaTheme="minorEastAsia"/>
          <w:sz w:val="32"/>
          <w:szCs w:val="32"/>
        </w:rPr>
      </w:pPr>
    </w:p>
    <w:p>
      <w:pPr>
        <w:pStyle w:val="7"/>
        <w:rPr>
          <w:rFonts w:hAnsi="黑体"/>
          <w:b/>
          <w:sz w:val="32"/>
          <w:szCs w:val="32"/>
        </w:rPr>
      </w:pPr>
      <w:r>
        <w:rPr>
          <w:rFonts w:hint="eastAsia" w:hAnsi="黑体"/>
          <w:b/>
          <w:sz w:val="32"/>
          <w:szCs w:val="32"/>
        </w:rPr>
        <w:t>一、收入支出决算总体情况说明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2020年度收、支总计1133.34万元。与上年相比，增加了27.45万元，增加3%。收入支出略有增加的主要原因为是政府性基金预算财政拨款收入有所增加。</w:t>
      </w:r>
    </w:p>
    <w:p>
      <w:pPr>
        <w:pStyle w:val="7"/>
        <w:rPr>
          <w:rFonts w:hAnsi="黑体"/>
          <w:b/>
          <w:sz w:val="32"/>
          <w:szCs w:val="32"/>
        </w:rPr>
      </w:pPr>
      <w:r>
        <w:rPr>
          <w:rFonts w:hint="eastAsia" w:hAnsi="黑体"/>
          <w:b/>
          <w:sz w:val="32"/>
          <w:szCs w:val="32"/>
        </w:rPr>
        <w:t>二、收入决算情况说明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本年收入合计964.59万元，其中：财政拨款收入886.29万元，占91.88%；政府性基金预算财政拨款收入78.31万元，占8.12%.收入略有增加的主要原因为是政府性基金预算财政拨款收入有所增加。</w:t>
      </w:r>
    </w:p>
    <w:p>
      <w:pPr>
        <w:pStyle w:val="7"/>
        <w:rPr>
          <w:rFonts w:hAnsi="黑体"/>
          <w:b/>
          <w:sz w:val="32"/>
          <w:szCs w:val="32"/>
        </w:rPr>
      </w:pPr>
      <w:r>
        <w:rPr>
          <w:rFonts w:hint="eastAsia" w:hAnsi="黑体"/>
          <w:b/>
          <w:sz w:val="32"/>
          <w:szCs w:val="32"/>
        </w:rPr>
        <w:t>三、支出决算情况说明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本年支出合计964.59万元，其中：基本支出469.21万元，占48.64%；项目支出495.38万元，占51.36%。</w:t>
      </w:r>
    </w:p>
    <w:p>
      <w:pPr>
        <w:pStyle w:val="7"/>
        <w:rPr>
          <w:rFonts w:hAnsi="黑体"/>
          <w:b/>
          <w:sz w:val="32"/>
          <w:szCs w:val="32"/>
        </w:rPr>
      </w:pPr>
      <w:r>
        <w:rPr>
          <w:rFonts w:hint="eastAsia" w:hAnsi="黑体"/>
          <w:b/>
          <w:sz w:val="32"/>
          <w:szCs w:val="32"/>
        </w:rPr>
        <w:t>四、财政拨款收入支出决算总体情况说明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2020年度收入总计964.59万元。与2019年相比，增加了27.45万元，增加3%。支出总计964.59万元，与上年相比，增加了27.45万元，增加3%。收入支出略有增加的主要原因为是政府性基金预算财政拨款收入有所增加。</w:t>
      </w:r>
    </w:p>
    <w:p>
      <w:pPr>
        <w:pStyle w:val="7"/>
        <w:rPr>
          <w:rFonts w:hAnsi="黑体"/>
          <w:b/>
          <w:sz w:val="32"/>
          <w:szCs w:val="32"/>
        </w:rPr>
      </w:pPr>
      <w:r>
        <w:rPr>
          <w:rFonts w:hint="eastAsia" w:hAnsi="黑体"/>
          <w:b/>
          <w:sz w:val="32"/>
          <w:szCs w:val="32"/>
        </w:rPr>
        <w:t>五、一般公共预算财政拨款支出决算情况说明</w:t>
      </w:r>
    </w:p>
    <w:p>
      <w:pPr>
        <w:pStyle w:val="7"/>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（一）一般公共预算财政拨款支出决算总体情况</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2020年度一般公共预算财政拨款支出886.28万元，占本年支出合计的91.88%，与2019年相比，财政拨款支出增加了27.45万元，增加3%。主要用于社会保障和就业支出、卫生健康、农林水支出以及抗疫特别国债支出。</w:t>
      </w:r>
    </w:p>
    <w:p>
      <w:pPr>
        <w:pStyle w:val="7"/>
        <w:ind w:firstLine="482"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（二）一般公共预算财政拨款支出决算结构情况</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一般公共预算财政拨款支出886.28万元，主要用于以下方面：一般公共服务（类）支出413.05万元，占42.82%；社会保障和就业支出51.69万元，占5.35%；卫生健康支出11.76万元，占1.22%；农林水支出383.29万元，占39.74%；抗疫特别国债安排支出78.31万元，占8.12%。</w:t>
      </w:r>
    </w:p>
    <w:p>
      <w:pPr>
        <w:pStyle w:val="7"/>
        <w:ind w:firstLine="80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（三）一般公共预算财政拨款支出决算具体情况</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2020年度财政拨款支出年初预算数为575.29万元，支出决算数为886.28万元，完成年初预算的167.67%，与年初预算安排的差额主要是年终预算追加安排的支出。其中：</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年初预算为217.26万元，支出决算为</w:t>
      </w:r>
      <w:r>
        <w:rPr>
          <w:rFonts w:hint="eastAsia" w:asciiTheme="minorEastAsia" w:hAnsiTheme="minorEastAsia" w:eastAsiaTheme="minorEastAsia"/>
          <w:color w:val="auto"/>
          <w:sz w:val="32"/>
          <w:szCs w:val="32"/>
        </w:rPr>
        <w:t>413.05</w:t>
      </w:r>
      <w:r>
        <w:rPr>
          <w:rFonts w:hint="eastAsia" w:asciiTheme="minorEastAsia" w:hAnsiTheme="minorEastAsia" w:eastAsiaTheme="minorEastAsia"/>
          <w:sz w:val="32"/>
          <w:szCs w:val="32"/>
        </w:rPr>
        <w:t>万元，完成年初预算的190%，决算数大于年初预算数的主要原因是：人员异动及政策性调整。</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年初预算为35.42万元，支出决算为51.69万元，完成年初预算的146%，决算数大于年初预算数的主要原因是：人员增加、补缴社保费用。</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年初预算为7.26万元，支出决算为11.76万元，完成年初预算的162%，决算数大于年初预算数的主要原因是：追加医疗缴费等。</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4.农林水支出</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年初预算为309.35万元，支出决算为383.29万元，完成年初预算的124%，决算数大于年初预算数的主要原因是：追加村级集体经济引导项目经费。</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5.住房保障支出</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年初预算为5.85万元，支出决算为4.07万元，完成年初预算的70%，决算数小于年初预算数的主要原因是：人员异动调减。</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6.城乡社区支出</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年初预算为0万元，支出决算为12.42万元，决算数大于年初预算数的主要原因是：城乡卫生、社区经费支出。</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7.抗疫特别国债安排的支出</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年初预算为0万元，支出决算为78.31万元，决算数大于年初预算数的主要原因是：抗击疫情支出。</w:t>
      </w:r>
    </w:p>
    <w:p>
      <w:pPr>
        <w:pStyle w:val="7"/>
        <w:rPr>
          <w:rFonts w:hAnsi="黑体"/>
          <w:b/>
          <w:sz w:val="32"/>
          <w:szCs w:val="32"/>
        </w:rPr>
      </w:pPr>
      <w:r>
        <w:rPr>
          <w:rFonts w:hint="eastAsia" w:hAnsi="黑体"/>
          <w:b/>
          <w:sz w:val="32"/>
          <w:szCs w:val="32"/>
        </w:rPr>
        <w:t>六、一般公共预算财政拨款基本支出决算情况说明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469.21万元，其中：人员经费309.34万元，占基本支出的65.93%,主要包括基本工资、津贴补贴、奖金、伙食补助费、绩效工资、机关事业单位基本养老保险缴费、职工基本医疗保险缴费、其他社会保障缴费、住房公积金、其他工资福利支出、对其他个人和家庭的补助、抚恤金、生活补助、医疗补助、对其他个人和；公用经费159.87万元，占基本支出的34.07%，主要包括办公费、印刷费、水费、电费、差旅费、维修费、会议费、培训费、公务接待费、劳务费、工会经费、公务用车运行维护费、其他交通费用。</w:t>
      </w:r>
    </w:p>
    <w:p>
      <w:pPr>
        <w:pStyle w:val="7"/>
        <w:rPr>
          <w:rFonts w:hAnsi="黑体"/>
          <w:b/>
          <w:sz w:val="32"/>
          <w:szCs w:val="32"/>
        </w:rPr>
      </w:pPr>
      <w:r>
        <w:rPr>
          <w:rFonts w:hint="eastAsia" w:hAnsi="黑体"/>
          <w:b/>
          <w:sz w:val="32"/>
          <w:szCs w:val="32"/>
        </w:rPr>
        <w:t>七、一般公共预算财政拨款三公经费支出决算情况说明</w:t>
      </w:r>
    </w:p>
    <w:p>
      <w:pPr>
        <w:pStyle w:val="7"/>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“三公”经费年初预算12万元，本年决算数1.53万元完成12.75%。其中：</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因公出国（境）费支出预算为0万元，支出决算为0万元，完成预算的0%，决算数与年初预算数持平。</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公务接待费支出预算为0万元，支出决算为0万元，比上年决算减少了0.98万元，主要原因是严格控制公务接待开支。</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公务用车购置费及运行维护费支出预算数为4万元，支出决算为1.53万元，决算数与年初预算数减少2.47万元，递减61.75%。主要原因是严格控制了车辆运行，1.53万元为正常用车开支。</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三公经费总体支出减少的原因主要是我镇较好的落实了上级要求，厉行节约，压缩一般性行政经费，严格三公经费支出的审核把关和规范三公经费支出程序。</w:t>
      </w:r>
    </w:p>
    <w:p>
      <w:pPr>
        <w:pStyle w:val="7"/>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2020年度“三公”经费财政拨款支出决算中，公务接待费支出决算0万元，占0%,公务用车购置费及运行维护费支出决算1.53万元，占100%。其中：</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1、公务接待费支出决算为0万元，全年共接待上级机关检查组0个、来宾0人次。</w:t>
      </w:r>
    </w:p>
    <w:p>
      <w:pPr>
        <w:ind w:firstLine="800" w:firstLineChars="250"/>
        <w:rPr>
          <w:rFonts w:asciiTheme="minorEastAsia" w:hAnsiTheme="minorEastAsia"/>
          <w:sz w:val="32"/>
          <w:szCs w:val="32"/>
        </w:rPr>
      </w:pPr>
      <w:r>
        <w:rPr>
          <w:rFonts w:hint="eastAsia" w:asciiTheme="minorEastAsia" w:hAnsiTheme="minorEastAsia"/>
          <w:sz w:val="32"/>
          <w:szCs w:val="32"/>
        </w:rPr>
        <w:t>2、公务用车购置费及运行维护费支出决算为1.53万元，其中：公务用车购置费0万元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公务用车运行维护费1.53万元，主要是公务用车运行维护支出，截止2020年12月31日，我单位开支财政拨款的公务用车保有量为1辆。无新增车辆。</w:t>
      </w:r>
    </w:p>
    <w:p>
      <w:pPr>
        <w:pStyle w:val="7"/>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3、因公出国（境）费支出决算为0万元，全年安排因公出国（境）团组0个，累计0人次。</w:t>
      </w:r>
    </w:p>
    <w:p>
      <w:pPr>
        <w:pStyle w:val="2"/>
      </w:pPr>
    </w:p>
    <w:p>
      <w:pPr>
        <w:pStyle w:val="7"/>
        <w:rPr>
          <w:rFonts w:hAnsi="黑体"/>
          <w:b/>
          <w:sz w:val="32"/>
          <w:szCs w:val="32"/>
        </w:rPr>
      </w:pPr>
      <w:r>
        <w:rPr>
          <w:rFonts w:hint="eastAsia" w:hAnsi="黑体"/>
          <w:b/>
          <w:sz w:val="32"/>
          <w:szCs w:val="32"/>
        </w:rPr>
        <w:t>八、政府性基金预算收入支出决算情况</w:t>
      </w:r>
    </w:p>
    <w:p>
      <w:pPr>
        <w:spacing w:line="600" w:lineRule="exact"/>
        <w:ind w:firstLine="600"/>
        <w:rPr>
          <w:rFonts w:cs="黑体" w:asciiTheme="minorEastAsia" w:hAnsiTheme="minorEastAsia"/>
          <w:color w:val="000000"/>
          <w:kern w:val="0"/>
          <w:sz w:val="32"/>
          <w:szCs w:val="32"/>
        </w:rPr>
      </w:pPr>
      <w:r>
        <w:rPr>
          <w:rFonts w:hint="eastAsia" w:asciiTheme="minorEastAsia" w:hAnsiTheme="minorEastAsia"/>
          <w:sz w:val="32"/>
          <w:szCs w:val="32"/>
        </w:rPr>
        <w:t xml:space="preserve">  2020年度本单位有政府性基金收支</w:t>
      </w:r>
      <w:r>
        <w:rPr>
          <w:rFonts w:hint="eastAsia" w:cs="黑体" w:asciiTheme="minorEastAsia" w:hAnsiTheme="minorEastAsia"/>
          <w:color w:val="000000"/>
          <w:kern w:val="0"/>
          <w:sz w:val="32"/>
          <w:szCs w:val="32"/>
        </w:rPr>
        <w:t>。其中：用于疫情期间政府食堂生活费及食堂添置物资7.366万元；用于各村及居委会疫情防控资金18.97万元；用于茶市镇卫生院和石桥卫生院疫情防控工作经费24.13万元；用于其他疫情防控支出26.46万元（其中购买疫情防控物资支出9.39万元，疫情期间防控宣传广告制作费用3.76万元，疫情期间防控宣传用车支出4.81万元，疫情期间疫情控制防护材料支出8.51万元）。</w:t>
      </w:r>
    </w:p>
    <w:p>
      <w:pPr>
        <w:pStyle w:val="7"/>
        <w:rPr>
          <w:rFonts w:hAnsi="黑体"/>
          <w:b/>
          <w:sz w:val="32"/>
          <w:szCs w:val="32"/>
        </w:rPr>
      </w:pPr>
      <w:r>
        <w:rPr>
          <w:rFonts w:hint="eastAsia" w:hAnsi="黑体"/>
          <w:b/>
          <w:sz w:val="32"/>
          <w:szCs w:val="32"/>
        </w:rPr>
        <w:t>九、国有资本经营预算财政拨款支出决算情况</w:t>
      </w:r>
    </w:p>
    <w:p>
      <w:pPr>
        <w:ind w:firstLine="600" w:firstLineChars="200"/>
        <w:rPr>
          <w:sz w:val="30"/>
          <w:szCs w:val="30"/>
        </w:rPr>
      </w:pPr>
      <w:r>
        <w:rPr>
          <w:rFonts w:hint="eastAsia"/>
          <w:sz w:val="30"/>
          <w:szCs w:val="30"/>
        </w:rPr>
        <w:t>本单位2020年没有国有资本经营预算财政拨款支出。</w:t>
      </w:r>
    </w:p>
    <w:p>
      <w:pPr>
        <w:pStyle w:val="7"/>
        <w:rPr>
          <w:rFonts w:hAnsi="黑体"/>
          <w:b/>
          <w:sz w:val="32"/>
          <w:szCs w:val="32"/>
        </w:rPr>
      </w:pPr>
    </w:p>
    <w:p>
      <w:pPr>
        <w:pStyle w:val="7"/>
        <w:rPr>
          <w:rFonts w:hAnsi="黑体"/>
          <w:b/>
          <w:sz w:val="32"/>
          <w:szCs w:val="32"/>
        </w:rPr>
      </w:pPr>
      <w:r>
        <w:rPr>
          <w:rFonts w:hint="eastAsia" w:hAnsi="黑体"/>
          <w:b/>
          <w:sz w:val="32"/>
          <w:szCs w:val="32"/>
        </w:rPr>
        <w:t>十、机关运行经费支出说明</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cstheme="minorBidi"/>
          <w:color w:val="auto"/>
          <w:kern w:val="2"/>
          <w:sz w:val="32"/>
          <w:szCs w:val="32"/>
        </w:rPr>
        <w:t>机关运行经费本年支出159.87万元，与上年的152.58万元相比，增加4.78%。其中：办公费59.47万元，维修（护）费39.06万元，其他商品服务支出27.00万元。变动原因为维修费偏</w:t>
      </w:r>
      <w:r>
        <w:rPr>
          <w:rFonts w:hint="eastAsia" w:asciiTheme="minorEastAsia" w:hAnsiTheme="minorEastAsia" w:eastAsiaTheme="minorEastAsia"/>
          <w:sz w:val="32"/>
          <w:szCs w:val="32"/>
        </w:rPr>
        <w:t>高，政府办公楼维修增加了开支。</w:t>
      </w:r>
    </w:p>
    <w:p>
      <w:pPr>
        <w:pStyle w:val="7"/>
        <w:rPr>
          <w:rFonts w:hAnsi="黑体"/>
          <w:b/>
          <w:sz w:val="32"/>
          <w:szCs w:val="32"/>
        </w:rPr>
      </w:pPr>
      <w:r>
        <w:rPr>
          <w:rFonts w:hint="eastAsia" w:hAnsi="黑体"/>
          <w:b/>
          <w:sz w:val="32"/>
          <w:szCs w:val="32"/>
        </w:rPr>
        <w:t>十一、一般性支出情况</w:t>
      </w:r>
    </w:p>
    <w:p>
      <w:pPr>
        <w:pStyle w:val="7"/>
        <w:ind w:firstLine="640" w:firstLineChars="200"/>
        <w:rPr>
          <w:rFonts w:asciiTheme="minorEastAsia" w:hAnsiTheme="minorEastAsia" w:eastAsiaTheme="minorEastAsia" w:cstheme="minorBidi"/>
          <w:color w:val="auto"/>
          <w:kern w:val="2"/>
          <w:sz w:val="32"/>
          <w:szCs w:val="32"/>
          <w:lang w:val="zh-CN"/>
        </w:rPr>
      </w:pPr>
      <w:r>
        <w:rPr>
          <w:rFonts w:hint="eastAsia" w:asciiTheme="minorEastAsia" w:hAnsiTheme="minorEastAsia" w:eastAsiaTheme="minorEastAsia" w:cstheme="minorBidi"/>
          <w:color w:val="auto"/>
          <w:kern w:val="2"/>
          <w:sz w:val="32"/>
          <w:szCs w:val="32"/>
        </w:rPr>
        <w:t>会议费支出情况：2020年会议费完成3.37万元，用于召开人大会议、政协会、党代会，村干部等会议支出；培训费支出情况：2020年培训费完成1.67万元，用于干部参加上级机关组织的业务骨干培训。未举办节庆、晚会、论坛、赛事等活动。</w:t>
      </w:r>
    </w:p>
    <w:p>
      <w:pPr>
        <w:pStyle w:val="7"/>
        <w:rPr>
          <w:rFonts w:hAnsi="黑体"/>
          <w:b/>
          <w:sz w:val="32"/>
          <w:szCs w:val="32"/>
        </w:rPr>
      </w:pPr>
      <w:r>
        <w:rPr>
          <w:rFonts w:hint="eastAsia" w:hAnsi="黑体"/>
          <w:b/>
          <w:sz w:val="32"/>
          <w:szCs w:val="32"/>
        </w:rPr>
        <w:t>十二、关于政府采购支出说明</w:t>
      </w:r>
    </w:p>
    <w:p>
      <w:pPr>
        <w:pStyle w:val="7"/>
        <w:ind w:firstLine="640" w:firstLineChars="200"/>
        <w:rPr>
          <w:rFonts w:hAnsi="黑体"/>
          <w:b/>
          <w:sz w:val="32"/>
          <w:szCs w:val="32"/>
        </w:rPr>
      </w:pPr>
      <w:r>
        <w:rPr>
          <w:rFonts w:hint="eastAsia" w:asciiTheme="minorEastAsia" w:hAnsiTheme="minorEastAsia" w:eastAsiaTheme="minorEastAsia" w:cstheme="minorBidi"/>
          <w:color w:val="auto"/>
          <w:kern w:val="2"/>
          <w:sz w:val="32"/>
          <w:szCs w:val="32"/>
        </w:rPr>
        <w:t>本年度本单位政府采购支出22.23万元，均为财政拨款支出。全部为货物采购支出。包括办公桌椅，办公用电脑，打印机，街道垃圾桶。</w:t>
      </w:r>
    </w:p>
    <w:p>
      <w:pPr>
        <w:autoSpaceDE w:val="0"/>
        <w:autoSpaceDN w:val="0"/>
        <w:adjustRightInd w:val="0"/>
        <w:spacing w:line="520" w:lineRule="exact"/>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十三、关于国有资产占用情况说明</w:t>
      </w:r>
    </w:p>
    <w:p>
      <w:pPr>
        <w:pStyle w:val="7"/>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截至2020年12月31日，本单位共有车辆1辆，其中，其他用车1辆，其他用车主要是干部下村公务用车；单位价值50万元以上通用设备0台（套）；单位价值100万元以上专用设备0台（套）。</w:t>
      </w:r>
    </w:p>
    <w:p>
      <w:pPr>
        <w:pStyle w:val="7"/>
        <w:rPr>
          <w:rFonts w:hAnsi="黑体"/>
          <w:b/>
          <w:sz w:val="32"/>
          <w:szCs w:val="32"/>
        </w:rPr>
      </w:pPr>
      <w:r>
        <w:rPr>
          <w:rFonts w:hint="eastAsia" w:hAnsi="黑体"/>
          <w:b/>
          <w:sz w:val="32"/>
          <w:szCs w:val="32"/>
        </w:rPr>
        <w:t>十四、关于2020年度预算绩效情况说明</w:t>
      </w:r>
    </w:p>
    <w:p>
      <w:pPr>
        <w:widowControl/>
        <w:jc w:val="left"/>
        <w:rPr>
          <w:rFonts w:asciiTheme="minorEastAsia" w:hAnsiTheme="minorEastAsia"/>
          <w:sz w:val="32"/>
          <w:szCs w:val="32"/>
        </w:rPr>
      </w:pPr>
      <w:r>
        <w:rPr>
          <w:rFonts w:hint="eastAsia" w:asciiTheme="minorEastAsia" w:hAnsiTheme="minorEastAsia"/>
          <w:sz w:val="32"/>
          <w:szCs w:val="32"/>
        </w:rPr>
        <w:t>（一）预算绩效管理工作开展情况</w:t>
      </w:r>
    </w:p>
    <w:p>
      <w:pPr>
        <w:pStyle w:val="7"/>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我镇对部门整体支出绩效开展了自评。绩效评价结果显示，我镇2020年度绩效目标完成较好，在预算配置、预算执行、预算管理等方面较好的支持了财政中心工作发展。2020年，我镇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pPr>
        <w:widowControl/>
        <w:jc w:val="left"/>
        <w:rPr>
          <w:rFonts w:asciiTheme="minorEastAsia" w:hAnsiTheme="minorEastAsia"/>
          <w:sz w:val="32"/>
          <w:szCs w:val="32"/>
        </w:rPr>
      </w:pPr>
      <w:r>
        <w:rPr>
          <w:rFonts w:hint="eastAsia" w:asciiTheme="minorEastAsia" w:hAnsiTheme="minorEastAsia"/>
          <w:sz w:val="32"/>
          <w:szCs w:val="32"/>
        </w:rPr>
        <w:t xml:space="preserve">（二）部门整体支出绩效自评结果 </w:t>
      </w:r>
    </w:p>
    <w:p>
      <w:pPr>
        <w:widowControl/>
        <w:ind w:firstLine="640" w:firstLineChars="200"/>
        <w:jc w:val="left"/>
        <w:rPr>
          <w:rFonts w:asciiTheme="minorEastAsia" w:hAnsiTheme="minorEastAsia"/>
          <w:sz w:val="32"/>
          <w:szCs w:val="32"/>
        </w:rPr>
      </w:pPr>
      <w:r>
        <w:rPr>
          <w:rFonts w:asciiTheme="minorEastAsia" w:hAnsiTheme="minorEastAsia"/>
          <w:sz w:val="32"/>
          <w:szCs w:val="32"/>
        </w:rPr>
        <w:t>2020</w:t>
      </w:r>
      <w:r>
        <w:rPr>
          <w:rFonts w:hint="eastAsia" w:asciiTheme="minorEastAsia" w:hAnsiTheme="minorEastAsia"/>
          <w:sz w:val="32"/>
          <w:szCs w:val="32"/>
        </w:rPr>
        <w:t>年，在县委、县政府的坚强领导下，我镇坚持以习近平新时代中国特色社会主义思想为指导，认真落实中央和省委、省政府重大决策部署，以强化执行力、提升创新力、增强凝聚力为抓手，圆满完成了各项工作任务，在服务省政府统筹推进全省常态化疫情防控和经济社会发展等方面作出了积极贡献，根据部门整体支出绩效评价指标，部门整体支出绩效得分</w:t>
      </w:r>
      <w:r>
        <w:rPr>
          <w:rFonts w:hint="eastAsia"/>
          <w:sz w:val="28"/>
          <w:szCs w:val="28"/>
        </w:rPr>
        <w:t>96</w:t>
      </w:r>
      <w:r>
        <w:rPr>
          <w:rFonts w:hint="eastAsia" w:asciiTheme="minorEastAsia" w:hAnsiTheme="minorEastAsia"/>
          <w:sz w:val="32"/>
          <w:szCs w:val="32"/>
        </w:rPr>
        <w:t>分。从评价情况来看，预算执行有效，完成情况较好，基本达到预算绩效目标</w:t>
      </w:r>
    </w:p>
    <w:p>
      <w:pPr>
        <w:ind w:firstLine="640" w:firstLineChars="200"/>
        <w:rPr>
          <w:rFonts w:cs="黑体" w:asciiTheme="minorEastAsia" w:hAnsiTheme="minorEastAsia"/>
          <w:color w:val="000000"/>
          <w:kern w:val="0"/>
          <w:sz w:val="32"/>
          <w:szCs w:val="3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4"/>
        <w:shd w:val="clear" w:color="auto" w:fill="FFFFFF"/>
        <w:rPr>
          <w:color w:val="333333"/>
          <w:sz w:val="28"/>
          <w:szCs w:val="28"/>
        </w:rPr>
      </w:pPr>
      <w:r>
        <w:rPr>
          <w:rFonts w:hint="eastAsia"/>
          <w:color w:val="333333"/>
          <w:sz w:val="28"/>
          <w:szCs w:val="28"/>
        </w:rPr>
        <w:t>三、附属单位上缴收入：指事业单位附属独立核算单位按有关规定上缴的收入。 </w:t>
      </w:r>
    </w:p>
    <w:p>
      <w:pPr>
        <w:pStyle w:val="4"/>
        <w:shd w:val="clear" w:color="auto" w:fill="FFFFFF"/>
        <w:rPr>
          <w:color w:val="333333"/>
          <w:sz w:val="28"/>
          <w:szCs w:val="28"/>
        </w:rPr>
      </w:pPr>
      <w:r>
        <w:rPr>
          <w:rFonts w:hint="eastAsia"/>
          <w:color w:val="333333"/>
          <w:sz w:val="28"/>
          <w:szCs w:val="28"/>
        </w:rPr>
        <w:t>四、其他收入：指单位取得的除上述“财政拨款收入”、“事业收入”、“附属单位上缴收入”等以外的收入。 </w:t>
      </w:r>
    </w:p>
    <w:p>
      <w:pPr>
        <w:pStyle w:val="4"/>
        <w:shd w:val="clear" w:color="auto" w:fill="FFFFFF"/>
        <w:rPr>
          <w:color w:val="333333"/>
          <w:sz w:val="28"/>
          <w:szCs w:val="28"/>
        </w:rPr>
      </w:pPr>
      <w:r>
        <w:rPr>
          <w:rFonts w:hint="eastAsia"/>
          <w:color w:val="333333"/>
          <w:sz w:val="28"/>
          <w:szCs w:val="28"/>
        </w:rPr>
        <w:t>五、年初结转和结余：指以前年度尚未完成、结转到本年仍按有关规定继续使用的资金。 </w:t>
      </w:r>
    </w:p>
    <w:p>
      <w:pPr>
        <w:pStyle w:val="4"/>
        <w:shd w:val="clear" w:color="auto" w:fill="FFFFFF"/>
        <w:rPr>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4"/>
        <w:shd w:val="clear" w:color="auto" w:fill="FFFFFF"/>
        <w:rPr>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 </w:t>
      </w:r>
    </w:p>
    <w:p>
      <w:pPr>
        <w:pStyle w:val="4"/>
        <w:shd w:val="clear" w:color="auto" w:fill="FFFFFF"/>
        <w:rPr>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 </w:t>
      </w:r>
    </w:p>
    <w:p>
      <w:pPr>
        <w:pStyle w:val="4"/>
        <w:shd w:val="clear" w:color="auto" w:fill="FFFFFF"/>
        <w:rPr>
          <w:color w:val="333333"/>
          <w:sz w:val="28"/>
          <w:szCs w:val="28"/>
        </w:rPr>
      </w:pPr>
      <w:r>
        <w:rPr>
          <w:rFonts w:hint="eastAsia"/>
          <w:color w:val="333333"/>
          <w:sz w:val="28"/>
          <w:szCs w:val="28"/>
        </w:rPr>
        <w:t>九、基本支出：指为保障机构正常运转、完成日常工作任务而发生的人员支出和公用支出。 </w:t>
      </w:r>
    </w:p>
    <w:p>
      <w:pPr>
        <w:pStyle w:val="4"/>
        <w:shd w:val="clear" w:color="auto" w:fill="FFFFFF"/>
        <w:rPr>
          <w:color w:val="333333"/>
          <w:sz w:val="28"/>
          <w:szCs w:val="28"/>
        </w:rPr>
      </w:pPr>
      <w:r>
        <w:rPr>
          <w:rFonts w:hint="eastAsia"/>
          <w:color w:val="333333"/>
          <w:sz w:val="28"/>
          <w:szCs w:val="28"/>
        </w:rPr>
        <w:t>十、项目支出：指在基本支出之外，为完成特定行政任务和事业发展目标所发生的支出。 </w:t>
      </w:r>
    </w:p>
    <w:p>
      <w:pPr>
        <w:pStyle w:val="4"/>
        <w:shd w:val="clear" w:color="auto" w:fill="FFFFFF"/>
        <w:rPr>
          <w:color w:val="333333"/>
          <w:sz w:val="28"/>
          <w:szCs w:val="28"/>
        </w:rPr>
      </w:pPr>
      <w:r>
        <w:rPr>
          <w:rFonts w:hint="eastAsia"/>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cs="黑体" w:asciiTheme="minorEastAsia" w:hAnsiTheme="minorEastAsia"/>
          <w:color w:val="000000"/>
          <w:kern w:val="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hint="eastAsia" w:cs="黑体" w:asciiTheme="minorEastAsia" w:hAnsiTheme="minorEastAsia"/>
          <w:color w:val="000000"/>
          <w:kern w:val="0"/>
          <w:sz w:val="32"/>
          <w:szCs w:val="32"/>
        </w:rPr>
        <w:br w:type="page"/>
      </w: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widowControl/>
        <w:spacing w:line="540" w:lineRule="atLeast"/>
        <w:jc w:val="center"/>
        <w:rPr>
          <w:rFonts w:ascii="仿宋" w:hAnsi="仿宋" w:eastAsia="仿宋" w:cs="仿宋"/>
          <w:b/>
          <w:bCs/>
          <w:sz w:val="36"/>
          <w:szCs w:val="36"/>
        </w:rPr>
      </w:pPr>
      <w:r>
        <w:rPr>
          <w:rFonts w:hint="eastAsia" w:ascii="仿宋" w:hAnsi="仿宋" w:eastAsia="仿宋" w:cs="仿宋"/>
          <w:b/>
          <w:bCs/>
          <w:color w:val="000000"/>
          <w:kern w:val="0"/>
          <w:sz w:val="36"/>
          <w:szCs w:val="36"/>
        </w:rPr>
        <w:t>茶市镇2020年部门整体支出绩效自评报告</w:t>
      </w:r>
    </w:p>
    <w:p>
      <w:pPr>
        <w:ind w:firstLine="560" w:firstLineChars="200"/>
        <w:jc w:val="left"/>
        <w:rPr>
          <w:rFonts w:ascii="仿宋" w:hAnsi="仿宋" w:eastAsia="仿宋"/>
          <w:bCs/>
          <w:color w:val="383838"/>
          <w:sz w:val="32"/>
          <w:shd w:val="clear" w:color="auto" w:fill="FFFFFF"/>
        </w:rPr>
      </w:pPr>
      <w:r>
        <w:rPr>
          <w:rFonts w:hint="eastAsia" w:ascii="仿宋" w:hAnsi="仿宋" w:eastAsia="仿宋" w:cs="仿宋"/>
          <w:color w:val="000000"/>
          <w:kern w:val="0"/>
          <w:sz w:val="28"/>
          <w:szCs w:val="28"/>
        </w:rPr>
        <w:t> </w:t>
      </w:r>
      <w:r>
        <w:rPr>
          <w:rFonts w:hint="eastAsia" w:ascii="仿宋" w:hAnsi="仿宋" w:eastAsia="仿宋"/>
          <w:bCs/>
          <w:color w:val="383838"/>
          <w:sz w:val="32"/>
          <w:shd w:val="clear" w:color="auto" w:fill="FFFFFF"/>
        </w:rPr>
        <w:t>为加强财政预算资金管理，进一步规范预算资金使用，提高财政资金使用效益，根据《衡南县财政局关于开展2020年度财政资金绩效自评工作的通知》（清财绩[2021]66号）要求，我镇对2020年度本单位财政性资金整体使用情况进行了绩效自评，现将具体绩效评价情况报告如下：</w:t>
      </w:r>
    </w:p>
    <w:p>
      <w:pPr>
        <w:spacing w:line="600" w:lineRule="exact"/>
        <w:ind w:left="420" w:leftChars="200"/>
        <w:rPr>
          <w:rFonts w:ascii="黑体" w:eastAsia="黑体"/>
          <w:sz w:val="32"/>
          <w:szCs w:val="32"/>
        </w:rPr>
      </w:pPr>
      <w:r>
        <w:rPr>
          <w:rFonts w:hint="eastAsia" w:ascii="黑体" w:eastAsia="黑体"/>
          <w:sz w:val="32"/>
          <w:szCs w:val="32"/>
        </w:rPr>
        <w:t>一、单位基本情况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茶市镇人民政府为全额财政拨款单位，纳入财政会计集中核算和国库集中支付体系，财务制度执行《预算法》、《行政单位会计制度》。</w:t>
      </w:r>
    </w:p>
    <w:p>
      <w:pPr>
        <w:numPr>
          <w:ilvl w:val="0"/>
          <w:numId w:val="2"/>
        </w:numPr>
        <w:spacing w:line="600" w:lineRule="exact"/>
        <w:ind w:left="630"/>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、部门职能</w:t>
      </w:r>
    </w:p>
    <w:p>
      <w:pPr>
        <w:ind w:firstLine="640" w:firstLineChars="200"/>
        <w:jc w:val="left"/>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1、负责党的路线、方针、政策和国家法律、法规在本行政区域内的宣传、贯彻、落实。加强基层党组织和政权建设，为本地区经济的发展和社会稳定提供政治、社会环境和组织保证。</w:t>
      </w:r>
    </w:p>
    <w:p>
      <w:pPr>
        <w:ind w:firstLine="640" w:firstLineChars="200"/>
        <w:jc w:val="left"/>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2、负责制定本行政区域内经济建设和各项社会事业发展的规划，并组织实施。依法管理经济和社会事务，促进本片区两个文明建设。负责本行政区域内的民主与法制建设工作，维护和保障公民的各项合法权利。</w:t>
      </w:r>
    </w:p>
    <w:p>
      <w:pPr>
        <w:ind w:firstLine="640" w:firstLineChars="200"/>
        <w:jc w:val="left"/>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3、负责茶市镇党委、人大、政府、政协联络工委、纪律委员会、人民武装及共青团、妇联等群团组织的日常工作。</w:t>
      </w:r>
    </w:p>
    <w:p>
      <w:pPr>
        <w:ind w:firstLine="640" w:firstLineChars="200"/>
        <w:jc w:val="left"/>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4、负责完成上级机关交办的其他工作任务。</w:t>
      </w:r>
    </w:p>
    <w:p>
      <w:pPr>
        <w:spacing w:line="600" w:lineRule="exact"/>
        <w:ind w:left="638" w:leftChars="304"/>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（二）、基本情况。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本镇辖有14个村，2个居委会，305个村民小组，共计</w:t>
      </w:r>
      <w:r>
        <w:rPr>
          <w:rFonts w:ascii="仿宋" w:hAnsi="仿宋" w:eastAsia="仿宋"/>
          <w:bCs/>
          <w:color w:val="383838"/>
          <w:sz w:val="32"/>
          <w:shd w:val="clear" w:color="auto" w:fill="FFFFFF"/>
        </w:rPr>
        <w:t>9162</w:t>
      </w:r>
      <w:r>
        <w:rPr>
          <w:rFonts w:hint="eastAsia" w:ascii="仿宋" w:hAnsi="仿宋" w:eastAsia="仿宋"/>
          <w:bCs/>
          <w:color w:val="383838"/>
          <w:sz w:val="32"/>
          <w:shd w:val="clear" w:color="auto" w:fill="FFFFFF"/>
        </w:rPr>
        <w:t>户，总人口</w:t>
      </w:r>
      <w:r>
        <w:rPr>
          <w:rFonts w:ascii="仿宋" w:hAnsi="仿宋" w:eastAsia="仿宋"/>
          <w:bCs/>
          <w:color w:val="383838"/>
          <w:sz w:val="32"/>
          <w:shd w:val="clear" w:color="auto" w:fill="FFFFFF"/>
        </w:rPr>
        <w:t>3.35</w:t>
      </w:r>
      <w:r>
        <w:rPr>
          <w:rFonts w:hint="eastAsia" w:ascii="仿宋" w:hAnsi="仿宋" w:eastAsia="仿宋"/>
          <w:bCs/>
          <w:color w:val="383838"/>
          <w:sz w:val="32"/>
          <w:shd w:val="clear" w:color="auto" w:fill="FFFFFF"/>
        </w:rPr>
        <w:t>万人。政府机关现有在编财政供养人员97人；享受遗嘱补助人员10人；政府工勤人员2人。政府公务用车1辆。本单位分政府机关及财政所。</w:t>
      </w:r>
    </w:p>
    <w:p>
      <w:pPr>
        <w:spacing w:line="600" w:lineRule="exact"/>
        <w:ind w:left="638" w:leftChars="304"/>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（三）、部门主要工作任务及实施情况。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全镇较好地完成了2020年初设定的工作任务，各项专项项目得到有序开展。到年底项目实施已完成100%，资金拨付报账到位率为95%，项目验收完成率为100%。</w:t>
      </w:r>
    </w:p>
    <w:p>
      <w:pPr>
        <w:spacing w:line="600" w:lineRule="exact"/>
        <w:ind w:firstLine="640" w:firstLineChars="200"/>
      </w:pPr>
      <w:r>
        <w:rPr>
          <w:rFonts w:hint="eastAsia" w:ascii="黑体" w:eastAsia="黑体"/>
          <w:sz w:val="32"/>
          <w:szCs w:val="32"/>
        </w:rPr>
        <w:t>二、部门整体支出管理及使用情况</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（一）部门预算决算收支情况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2020年年初预算收入575.29万元，其中：工资福利支出154.46万元，一般商品和服务支出90.4万元，对个人和家庭的补助4.68万元，项目支出325.75万元。</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2020年决算收入886.29万元。本年度总支出886.29万元，其中：工资福利支出158.1万元，一般商品和服务支出159.87万元，对个人和家庭的补助151.23万元；项目支出495.38万元。</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（二）支出分类情况。</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1.基本支出</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基本支出为保障单位机构正常运转、完成日常工作任务而发生的各项支出，包括用于基本工资、津贴补贴等人员经费以及办公费、印刷费、水电费等日常公用经费。</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2020年年初预算批复的</w:t>
      </w:r>
      <w:r>
        <w:rPr>
          <w:rFonts w:hint="eastAsia" w:ascii="仿宋" w:hAnsi="仿宋" w:eastAsia="仿宋"/>
          <w:bCs/>
          <w:color w:val="383838"/>
          <w:sz w:val="32"/>
          <w:shd w:val="clear" w:color="auto" w:fill="FFFFFF"/>
        </w:rPr>
        <w:t>基本支出为249.54万元，2020年决算基本支出469.21万元，其中：工资福利支出158.1万元，一般商品和服务支出159.87万元，对个人和家庭的补助151.23万元。</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2.“三公”经费情况</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2020年“三公”经费实际支出1.53万元，其中公务接待0万元，公务用车1.53万元，2020年“三公”经费比上年减少1.57万元。</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 xml:space="preserve">我镇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2.项目支出</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w:t>
      </w:r>
      <w:r>
        <w:rPr>
          <w:rFonts w:hint="eastAsia" w:ascii="仿宋" w:hAnsi="仿宋" w:eastAsia="仿宋" w:cs="仿宋"/>
          <w:color w:val="333333"/>
          <w:spacing w:val="-2"/>
          <w:sz w:val="28"/>
          <w:szCs w:val="28"/>
        </w:rPr>
        <w:t>20</w:t>
      </w:r>
      <w:r>
        <w:rPr>
          <w:rFonts w:hint="eastAsia" w:ascii="仿宋" w:hAnsi="仿宋" w:eastAsia="仿宋" w:cs="Times New Roman"/>
          <w:bCs/>
          <w:color w:val="383838"/>
          <w:sz w:val="32"/>
          <w:shd w:val="clear" w:color="auto" w:fill="FFFFFF"/>
        </w:rPr>
        <w:t>年年初预算批复的项目支出为325.75万元，2020年决算项目支出495.38万元。其中：社会和保障就业支出11.36万元，城乡社区支出12.42万元，村级转移支付支出383.29万元，交通运输支出10万元，抗疫特别国债支出78.31万元。</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项目的开展主要根据</w:t>
      </w:r>
      <w:bookmarkStart w:id="0" w:name="_GoBack"/>
      <w:bookmarkEnd w:id="0"/>
      <w:r>
        <w:rPr>
          <w:rFonts w:hint="eastAsia" w:ascii="仿宋" w:hAnsi="仿宋" w:eastAsia="仿宋" w:cs="Times New Roman"/>
          <w:bCs/>
          <w:color w:val="383838"/>
          <w:sz w:val="32"/>
          <w:shd w:val="clear" w:color="auto" w:fill="FFFFFF"/>
          <w:lang w:eastAsia="zh-CN"/>
        </w:rPr>
        <w:t>县委、县政府</w:t>
      </w:r>
      <w:r>
        <w:rPr>
          <w:rFonts w:hint="eastAsia" w:ascii="仿宋" w:hAnsi="仿宋" w:eastAsia="仿宋" w:cs="Times New Roman"/>
          <w:bCs/>
          <w:color w:val="383838"/>
          <w:sz w:val="32"/>
          <w:shd w:val="clear" w:color="auto" w:fill="FFFFFF"/>
        </w:rPr>
        <w:t>的安排，绩效总目标和阶段性目标都已按照计划完成，未逾期。所有开支均按照我单位财务管理制度执行，资金的使用严格把关。</w:t>
      </w:r>
    </w:p>
    <w:p>
      <w:pPr>
        <w:spacing w:line="600" w:lineRule="exact"/>
        <w:ind w:firstLine="640" w:firstLineChars="200"/>
        <w:rPr>
          <w:rFonts w:ascii="黑体" w:eastAsia="黑体"/>
          <w:sz w:val="32"/>
          <w:szCs w:val="32"/>
        </w:rPr>
      </w:pPr>
      <w:r>
        <w:rPr>
          <w:rFonts w:hint="eastAsia" w:ascii="黑体" w:eastAsia="黑体"/>
          <w:sz w:val="32"/>
          <w:szCs w:val="32"/>
        </w:rPr>
        <w:t>三、绩效评价工作情况</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（一）评价目的</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2021年各项工作的开展。</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（二）评价方法</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根据衡南县财政局《衡南县预算绩效管理工作考核办法》（南财预[2015]174号）及县财政局会议精神，我镇成立了绩效评价工作组，开展部门整体支出绩效评价工作，具体工作方法包括：</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1、查阅资料。查阅2020年度预算安排、预算追加、经费支出、资金管理、资产管理等相关文件资料和财务凭证。</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2、核实数据。对2020年度部门整体支出数据的准确性、真实性进行核实，将2020年度部门整体支出情况与2020年度预算情况、2020年度部门整体支出情况进行比较分析。</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3、实地查看。现场查看各类实物资产。</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4、汇总归纳。根据取得的各项数据及文件资料，结合现场评价情况进行综合分析、归纳汇总，填写基础数据表、评价指标评分表。</w:t>
      </w:r>
    </w:p>
    <w:p>
      <w:pPr>
        <w:spacing w:line="600" w:lineRule="exact"/>
        <w:ind w:firstLine="640" w:firstLineChars="200"/>
        <w:rPr>
          <w:rFonts w:ascii="仿宋" w:hAnsi="仿宋" w:eastAsia="仿宋" w:cs="Times New Roman"/>
          <w:bCs/>
          <w:color w:val="383838"/>
          <w:sz w:val="32"/>
          <w:szCs w:val="24"/>
          <w:shd w:val="clear" w:color="auto" w:fill="FFFFFF"/>
        </w:rPr>
      </w:pPr>
      <w:r>
        <w:rPr>
          <w:rFonts w:hint="eastAsia" w:ascii="仿宋" w:hAnsi="仿宋" w:eastAsia="仿宋" w:cs="Times New Roman"/>
          <w:bCs/>
          <w:color w:val="383838"/>
          <w:sz w:val="32"/>
          <w:szCs w:val="24"/>
          <w:shd w:val="clear" w:color="auto" w:fill="FFFFFF"/>
        </w:rPr>
        <w:t>5、形成绩效评价报告。</w:t>
      </w:r>
    </w:p>
    <w:p>
      <w:pPr>
        <w:pStyle w:val="2"/>
      </w:pPr>
    </w:p>
    <w:p>
      <w:pPr>
        <w:spacing w:line="600" w:lineRule="exact"/>
        <w:ind w:firstLine="640" w:firstLineChars="200"/>
        <w:rPr>
          <w:rFonts w:ascii="仿宋" w:hAnsi="仿宋" w:eastAsia="仿宋" w:cs="Times New Roman"/>
          <w:bCs/>
          <w:color w:val="383838"/>
          <w:sz w:val="32"/>
          <w:shd w:val="clear" w:color="auto" w:fill="FFFFFF"/>
        </w:rPr>
      </w:pPr>
      <w:r>
        <w:rPr>
          <w:rFonts w:hint="eastAsia" w:ascii="黑体" w:eastAsia="黑体"/>
          <w:sz w:val="32"/>
          <w:szCs w:val="32"/>
        </w:rPr>
        <w:t>四、部门总体支出绩效评价</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2020年我镇根据年初工作规划及财政预算计划，积极履职、强化管理，较好的完成了年度工作目标。通过加强预算收支管理、不断建立健全内部管理制度、梳理内部管理流程，部门整体支出管理情况得到提升。我镇2020年度部门整体支出绩效评价自评得分为96分。具体工作主要体现在以下几个方面：</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二是依法依规公开部门预决算。根据全县部门预决算公开工作统一安排部署，我部公开了2020年部门预算和“三公”经费预算，社会反响良好，圆满完成了“三公”经费预算公开工作。</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三是加强资产管理。建立了资产管理制度，固定资产利用率高于90%，定期进行了资产盘点和资产清理，总体执行情况良好。</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2020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 。</w:t>
      </w:r>
    </w:p>
    <w:p>
      <w:pPr>
        <w:spacing w:line="600" w:lineRule="exact"/>
        <w:ind w:firstLine="640" w:firstLineChars="200"/>
        <w:rPr>
          <w:rFonts w:ascii="黑体" w:eastAsia="黑体"/>
          <w:sz w:val="32"/>
          <w:szCs w:val="32"/>
        </w:rPr>
      </w:pPr>
      <w:r>
        <w:rPr>
          <w:rFonts w:hint="eastAsia" w:ascii="黑体" w:eastAsia="黑体"/>
          <w:sz w:val="32"/>
          <w:szCs w:val="32"/>
        </w:rPr>
        <w:t>五、存在的主要问题</w:t>
      </w:r>
    </w:p>
    <w:p>
      <w:pPr>
        <w:pStyle w:val="4"/>
        <w:widowControl/>
        <w:spacing w:line="33" w:lineRule="atLeast"/>
        <w:ind w:firstLine="420"/>
        <w:jc w:val="both"/>
        <w:rPr>
          <w:rFonts w:ascii="仿宋" w:hAnsi="仿宋" w:eastAsia="仿宋"/>
          <w:bCs/>
          <w:color w:val="383838"/>
          <w:kern w:val="2"/>
          <w:sz w:val="32"/>
          <w:szCs w:val="24"/>
          <w:shd w:val="clear" w:color="auto" w:fill="FFFFFF"/>
        </w:rPr>
      </w:pPr>
      <w:r>
        <w:rPr>
          <w:rFonts w:hint="eastAsia" w:ascii="仿宋" w:hAnsi="仿宋" w:eastAsia="仿宋"/>
          <w:bCs/>
          <w:color w:val="383838"/>
          <w:kern w:val="2"/>
          <w:sz w:val="32"/>
          <w:szCs w:val="24"/>
          <w:shd w:val="clear" w:color="auto" w:fill="FFFFFF"/>
        </w:rPr>
        <w:t>1.预决算项目支出编制需进一步明确、精细化。同时项目执行率需进一步提高。</w:t>
      </w:r>
    </w:p>
    <w:p>
      <w:pPr>
        <w:pStyle w:val="4"/>
        <w:widowControl/>
        <w:spacing w:line="33" w:lineRule="atLeast"/>
        <w:ind w:firstLine="420"/>
        <w:jc w:val="both"/>
        <w:rPr>
          <w:rFonts w:ascii="仿宋" w:hAnsi="仿宋" w:eastAsia="仿宋"/>
          <w:bCs/>
          <w:color w:val="383838"/>
          <w:kern w:val="2"/>
          <w:sz w:val="32"/>
          <w:szCs w:val="24"/>
          <w:shd w:val="clear" w:color="auto" w:fill="FFFFFF"/>
        </w:rPr>
      </w:pPr>
      <w:r>
        <w:rPr>
          <w:rFonts w:hint="eastAsia" w:ascii="仿宋" w:hAnsi="仿宋" w:eastAsia="仿宋"/>
          <w:bCs/>
          <w:color w:val="383838"/>
          <w:kern w:val="2"/>
          <w:sz w:val="32"/>
          <w:szCs w:val="24"/>
          <w:shd w:val="clear" w:color="auto" w:fill="FFFFFF"/>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spacing w:line="600" w:lineRule="exact"/>
        <w:ind w:firstLine="640" w:firstLineChars="200"/>
        <w:rPr>
          <w:rFonts w:ascii="黑体" w:eastAsia="黑体"/>
          <w:sz w:val="32"/>
          <w:szCs w:val="32"/>
        </w:rPr>
      </w:pPr>
      <w:r>
        <w:rPr>
          <w:rFonts w:hint="eastAsia" w:ascii="黑体" w:eastAsia="黑体"/>
          <w:sz w:val="32"/>
          <w:szCs w:val="32"/>
        </w:rPr>
        <w:t>六、改进措施及建议</w:t>
      </w:r>
    </w:p>
    <w:p>
      <w:pPr>
        <w:pStyle w:val="4"/>
        <w:widowControl/>
        <w:spacing w:line="33" w:lineRule="atLeast"/>
        <w:ind w:firstLine="420"/>
        <w:jc w:val="both"/>
        <w:rPr>
          <w:rFonts w:ascii="仿宋" w:hAnsi="仿宋" w:eastAsia="仿宋"/>
          <w:bCs/>
          <w:color w:val="383838"/>
          <w:kern w:val="2"/>
          <w:sz w:val="32"/>
          <w:szCs w:val="24"/>
          <w:shd w:val="clear" w:color="auto" w:fill="FFFFFF"/>
        </w:rPr>
      </w:pPr>
      <w:r>
        <w:rPr>
          <w:rFonts w:hint="eastAsia" w:ascii="仿宋" w:hAnsi="仿宋" w:eastAsia="仿宋"/>
          <w:bCs/>
          <w:color w:val="383838"/>
          <w:kern w:val="2"/>
          <w:sz w:val="32"/>
          <w:szCs w:val="24"/>
          <w:shd w:val="clear" w:color="auto" w:fill="FFFFFF"/>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4"/>
        <w:widowControl/>
        <w:spacing w:line="33" w:lineRule="atLeast"/>
        <w:ind w:firstLine="420"/>
        <w:jc w:val="both"/>
        <w:rPr>
          <w:rFonts w:ascii="仿宋" w:hAnsi="仿宋" w:eastAsia="仿宋"/>
          <w:bCs/>
          <w:color w:val="383838"/>
          <w:kern w:val="2"/>
          <w:sz w:val="32"/>
          <w:szCs w:val="24"/>
          <w:shd w:val="clear" w:color="auto" w:fill="FFFFFF"/>
        </w:rPr>
      </w:pPr>
      <w:r>
        <w:rPr>
          <w:rFonts w:hint="eastAsia" w:ascii="仿宋" w:hAnsi="仿宋" w:eastAsia="仿宋"/>
          <w:bCs/>
          <w:color w:val="383838"/>
          <w:kern w:val="2"/>
          <w:sz w:val="32"/>
          <w:szCs w:val="24"/>
          <w:shd w:val="clear" w:color="auto" w:fill="FFFFFF"/>
        </w:rPr>
        <w:t>2、合理安排会计岗位，强烈要求提升村级会计人员工作能力，增加业务知识培训，加强决算工作与财务处理工作对接。          </w:t>
      </w:r>
    </w:p>
    <w:p>
      <w:pPr>
        <w:pStyle w:val="4"/>
        <w:widowControl/>
        <w:spacing w:line="33" w:lineRule="atLeast"/>
        <w:ind w:firstLine="420"/>
        <w:jc w:val="both"/>
        <w:rPr>
          <w:rFonts w:ascii="仿宋" w:hAnsi="仿宋" w:eastAsia="仿宋"/>
          <w:bCs/>
          <w:color w:val="383838"/>
          <w:kern w:val="2"/>
          <w:sz w:val="32"/>
          <w:szCs w:val="24"/>
          <w:shd w:val="clear" w:color="auto" w:fill="FFFFFF"/>
        </w:rPr>
      </w:pPr>
    </w:p>
    <w:p>
      <w:pPr>
        <w:pStyle w:val="4"/>
        <w:widowControl/>
        <w:spacing w:line="33" w:lineRule="atLeast"/>
        <w:ind w:firstLine="420"/>
        <w:jc w:val="both"/>
        <w:rPr>
          <w:rFonts w:ascii="仿宋" w:hAnsi="仿宋" w:eastAsia="仿宋"/>
          <w:bCs/>
          <w:color w:val="383838"/>
          <w:kern w:val="2"/>
          <w:sz w:val="32"/>
          <w:szCs w:val="24"/>
          <w:shd w:val="clear" w:color="auto"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5FB92"/>
    <w:multiLevelType w:val="singleLevel"/>
    <w:tmpl w:val="E975FB92"/>
    <w:lvl w:ilvl="0" w:tentative="0">
      <w:start w:val="1"/>
      <w:numFmt w:val="decimal"/>
      <w:suff w:val="nothing"/>
      <w:lvlText w:val="%1、"/>
      <w:lvlJc w:val="left"/>
    </w:lvl>
  </w:abstractNum>
  <w:abstractNum w:abstractNumId="1">
    <w:nsid w:val="55EFAA59"/>
    <w:multiLevelType w:val="singleLevel"/>
    <w:tmpl w:val="55EFAA59"/>
    <w:lvl w:ilvl="0" w:tentative="0">
      <w:start w:val="1"/>
      <w:numFmt w:val="chineseCounting"/>
      <w:suff w:val="nothing"/>
      <w:lvlText w:val="（%1）"/>
      <w:lvlJc w:val="left"/>
      <w:pPr>
        <w:ind w:left="-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54A23C7C"/>
    <w:rsid w:val="000A0066"/>
    <w:rsid w:val="00356637"/>
    <w:rsid w:val="004B2152"/>
    <w:rsid w:val="004C7B77"/>
    <w:rsid w:val="004E007A"/>
    <w:rsid w:val="00511EAC"/>
    <w:rsid w:val="00790A7E"/>
    <w:rsid w:val="008231DF"/>
    <w:rsid w:val="00E158E6"/>
    <w:rsid w:val="0AD754D6"/>
    <w:rsid w:val="12077921"/>
    <w:rsid w:val="17824CCB"/>
    <w:rsid w:val="1FAC61B8"/>
    <w:rsid w:val="2461715B"/>
    <w:rsid w:val="2D402677"/>
    <w:rsid w:val="30EC4C39"/>
    <w:rsid w:val="335051B5"/>
    <w:rsid w:val="3A0879DA"/>
    <w:rsid w:val="3AD56CC2"/>
    <w:rsid w:val="3B826CA1"/>
    <w:rsid w:val="48D817FF"/>
    <w:rsid w:val="54A23C7C"/>
    <w:rsid w:val="5F5036AD"/>
    <w:rsid w:val="681F04A2"/>
    <w:rsid w:val="7BC12D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8">
    <w:name w:val="List Paragraph"/>
    <w:basedOn w:val="1"/>
    <w:qFormat/>
    <w:uiPriority w:val="34"/>
    <w:pPr>
      <w:ind w:firstLine="420" w:firstLineChars="200"/>
    </w:pPr>
  </w:style>
  <w:style w:type="character" w:customStyle="1" w:styleId="9">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7862</Words>
  <Characters>1499</Characters>
  <Lines>12</Lines>
  <Paragraphs>18</Paragraphs>
  <TotalTime>19</TotalTime>
  <ScaleCrop>false</ScaleCrop>
  <LinksUpToDate>false</LinksUpToDate>
  <CharactersWithSpaces>9343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2021-11-11T01:28:00Z</dcterms:created>
  <dc:creator>Administrator</dc:creator>
  <cp:lastModifiedBy>孙泽宇</cp:lastModifiedBy>
  <dcterms:modified xsi:type="dcterms:W3CDTF">2023-12-04T08:30:54Z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B3935F367C9542C08E780F3A0C1BA449_13</vt:lpwstr>
  </property>
</Properties>
</file>